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7A4BFB" w:rsidR="007D49E4" w:rsidP="4AA51CF6" w:rsidRDefault="00603083" w14:paraId="00000001" w14:textId="2ED0063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60" w:after="0" w:line="240" w:lineRule="auto"/>
        <w:rPr>
          <w:b/>
          <w:bCs/>
          <w:color w:val="000000"/>
          <w:sz w:val="28"/>
          <w:szCs w:val="28"/>
        </w:rPr>
      </w:pPr>
      <w:r w:rsidRPr="4AA51CF6">
        <w:rPr>
          <w:b/>
          <w:bCs/>
          <w:color w:val="000000" w:themeColor="text1"/>
          <w:sz w:val="28"/>
          <w:szCs w:val="28"/>
        </w:rPr>
        <w:t xml:space="preserve">1.4 </w:t>
      </w:r>
      <w:r w:rsidRPr="4AA51CF6">
        <w:rPr>
          <w:b/>
          <w:bCs/>
          <w:sz w:val="28"/>
          <w:szCs w:val="28"/>
        </w:rPr>
        <w:t>Digitální ekonomika a společnost, inovativní start-</w:t>
      </w:r>
      <w:proofErr w:type="spellStart"/>
      <w:r w:rsidRPr="4AA51CF6">
        <w:rPr>
          <w:b/>
          <w:bCs/>
          <w:sz w:val="28"/>
          <w:szCs w:val="28"/>
        </w:rPr>
        <w:t>upy</w:t>
      </w:r>
      <w:proofErr w:type="spellEnd"/>
      <w:r w:rsidRPr="4AA51CF6">
        <w:rPr>
          <w:b/>
          <w:bCs/>
          <w:sz w:val="28"/>
          <w:szCs w:val="28"/>
        </w:rPr>
        <w:t xml:space="preserve"> a nové technologie</w:t>
      </w:r>
      <w:r w:rsidRPr="4AA51CF6">
        <w:rPr>
          <w:b/>
          <w:bCs/>
          <w:color w:val="000000" w:themeColor="text1"/>
          <w:sz w:val="28"/>
          <w:szCs w:val="28"/>
        </w:rPr>
        <w:t xml:space="preserve"> </w:t>
      </w:r>
    </w:p>
    <w:p w:rsidRPr="007A4BFB" w:rsidR="007D49E4" w:rsidP="4AA51CF6" w:rsidRDefault="007D49E4" w14:paraId="00000002" w14:textId="7777777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rPr>
          <w:i/>
          <w:iCs/>
          <w:color w:val="2196FF"/>
          <w:sz w:val="20"/>
          <w:szCs w:val="20"/>
        </w:rPr>
      </w:pPr>
    </w:p>
    <w:p w:rsidR="7D05E766" w:rsidP="4AA51CF6" w:rsidRDefault="00603083" w14:paraId="5C1F9ACC" w14:textId="4047A8DA">
      <w:pPr>
        <w:spacing w:before="80" w:after="0" w:line="240" w:lineRule="auto"/>
        <w:rPr>
          <w:b/>
          <w:bCs/>
          <w:color w:val="000000" w:themeColor="text1"/>
          <w:sz w:val="20"/>
          <w:szCs w:val="20"/>
        </w:rPr>
      </w:pPr>
      <w:r w:rsidRPr="4AA51CF6">
        <w:rPr>
          <w:b/>
          <w:bCs/>
          <w:color w:val="000000" w:themeColor="text1"/>
          <w:sz w:val="20"/>
          <w:szCs w:val="20"/>
        </w:rPr>
        <w:t>1. Popis komponenty</w:t>
      </w:r>
    </w:p>
    <w:tbl>
      <w:tblPr>
        <w:tblStyle w:val="Mkatabulky"/>
        <w:tblW w:w="9771" w:type="dxa"/>
        <w:tblLayout w:type="fixed"/>
        <w:tblLook w:val="04A0" w:firstRow="1" w:lastRow="0" w:firstColumn="1" w:lastColumn="0" w:noHBand="0" w:noVBand="1"/>
      </w:tblPr>
      <w:tblGrid>
        <w:gridCol w:w="9771"/>
      </w:tblGrid>
      <w:tr w:rsidR="29DCD323" w:rsidTr="4EAC0756" w14:paraId="039A2F8D" w14:textId="77777777">
        <w:tc>
          <w:tcPr>
            <w:tcW w:w="97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5687485D" w:rsidP="4AA51CF6" w:rsidRDefault="74D26E77" w14:paraId="123D28AA" w14:textId="77777777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 w:rsidRPr="4AA51CF6">
              <w:rPr>
                <w:b/>
                <w:bCs/>
                <w:sz w:val="20"/>
                <w:szCs w:val="20"/>
              </w:rPr>
              <w:t>Digitální ekonomika a společnost, inovativní start-</w:t>
            </w:r>
            <w:proofErr w:type="spellStart"/>
            <w:r w:rsidRPr="4AA51CF6">
              <w:rPr>
                <w:b/>
                <w:bCs/>
                <w:sz w:val="20"/>
                <w:szCs w:val="20"/>
              </w:rPr>
              <w:t>upy</w:t>
            </w:r>
            <w:proofErr w:type="spellEnd"/>
            <w:r w:rsidRPr="4AA51CF6">
              <w:rPr>
                <w:b/>
                <w:bCs/>
                <w:sz w:val="20"/>
                <w:szCs w:val="20"/>
              </w:rPr>
              <w:t xml:space="preserve"> a nové technologie</w:t>
            </w:r>
          </w:p>
          <w:p w:rsidR="29DCD323" w:rsidP="4AA51CF6" w:rsidRDefault="43EBF486" w14:paraId="44DB6607" w14:textId="5728F41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4AA51CF6">
              <w:rPr>
                <w:b/>
                <w:bCs/>
                <w:color w:val="000000" w:themeColor="text1"/>
                <w:sz w:val="20"/>
                <w:szCs w:val="20"/>
              </w:rPr>
              <w:t xml:space="preserve">Oblast politiky: </w:t>
            </w:r>
            <w:r w:rsidRPr="4AA51CF6">
              <w:rPr>
                <w:color w:val="000000" w:themeColor="text1"/>
                <w:sz w:val="20"/>
                <w:szCs w:val="20"/>
              </w:rPr>
              <w:t>Digital</w:t>
            </w:r>
            <w:r w:rsidR="000A579A">
              <w:rPr>
                <w:color w:val="000000" w:themeColor="text1"/>
                <w:sz w:val="20"/>
                <w:szCs w:val="20"/>
              </w:rPr>
              <w:t>izace</w:t>
            </w:r>
          </w:p>
          <w:p w:rsidR="29DCD323" w:rsidP="4AA51CF6" w:rsidRDefault="43EBF486" w14:paraId="239C2921" w14:textId="7DF92EED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4AA51CF6">
              <w:rPr>
                <w:b/>
                <w:bCs/>
                <w:color w:val="000000" w:themeColor="text1"/>
                <w:sz w:val="20"/>
                <w:szCs w:val="20"/>
              </w:rPr>
              <w:t xml:space="preserve">Cíl: </w:t>
            </w:r>
          </w:p>
          <w:p w:rsidR="71C35906" w:rsidP="4AA51CF6" w:rsidRDefault="64BDA2DF" w14:paraId="4DB489B9" w14:textId="10AAEB1A">
            <w:pPr>
              <w:spacing w:after="120"/>
              <w:jc w:val="both"/>
              <w:rPr>
                <w:color w:val="000000" w:themeColor="text1"/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Skokově posunout českou ekonomiku v oblasti moderních digitálních technologií, které budou motorem hospodářského oživení a návratu k hospodářskému růstu. Tyto technologie jsou základem digitální transformace podniků (navazující komponenta 1.5), především malých a středních (SME).</w:t>
            </w:r>
          </w:p>
          <w:p w:rsidR="29DCD323" w:rsidP="4AA51CF6" w:rsidRDefault="43EBF486" w14:paraId="4132116E" w14:textId="52B5FFB2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4AA51CF6">
              <w:rPr>
                <w:b/>
                <w:bCs/>
                <w:color w:val="000000" w:themeColor="text1"/>
                <w:sz w:val="20"/>
                <w:szCs w:val="20"/>
              </w:rPr>
              <w:t xml:space="preserve">Reformy a investice: </w:t>
            </w:r>
          </w:p>
          <w:p w:rsidR="548DB210" w:rsidP="4EAC0756" w:rsidRDefault="17F5E8AC" w14:paraId="791899C4" w14:textId="73070BD8">
            <w:pPr>
              <w:spacing w:after="120"/>
              <w:jc w:val="both"/>
              <w:rPr>
                <w:sz w:val="20"/>
                <w:szCs w:val="20"/>
              </w:rPr>
            </w:pPr>
            <w:r w:rsidRPr="4EAC0756">
              <w:rPr>
                <w:color w:val="000000" w:themeColor="text1"/>
                <w:sz w:val="20"/>
                <w:szCs w:val="20"/>
              </w:rPr>
              <w:t xml:space="preserve">1. Koordinace digitální transformace ekonomiky zasažené </w:t>
            </w:r>
            <w:proofErr w:type="spellStart"/>
            <w:r w:rsidRPr="4EAC0756">
              <w:rPr>
                <w:color w:val="000000" w:themeColor="text1"/>
                <w:sz w:val="20"/>
                <w:szCs w:val="20"/>
              </w:rPr>
              <w:t>koronavirovou</w:t>
            </w:r>
            <w:proofErr w:type="spellEnd"/>
            <w:r w:rsidRPr="4EAC0756">
              <w:rPr>
                <w:color w:val="000000" w:themeColor="text1"/>
                <w:sz w:val="20"/>
                <w:szCs w:val="20"/>
              </w:rPr>
              <w:t xml:space="preserve"> krizí, přenos nejlepší praxe a know-how - řídící aktivita digitální transformace české ekonomiky, zahrnuje proměnu systému koordinace podpory digitální ekonomiky a </w:t>
            </w:r>
            <w:r w:rsidRPr="4EAC0756">
              <w:rPr>
                <w:sz w:val="20"/>
                <w:szCs w:val="20"/>
              </w:rPr>
              <w:t>projekty, které propojí a zkoordinuji veškeré aktéry v oblasti digitální agendy a digitální transformace, vytvoří samotný institucionální a technologický základ pro skokovou transformaci a prostředky pro přenos dobré praxe, a to zejména v návaznosti na klíčové aktivity Evropské komise v této oblasti.</w:t>
            </w:r>
            <w:r w:rsidRPr="4EAC0756" w:rsidR="6189C974">
              <w:rPr>
                <w:sz w:val="20"/>
                <w:szCs w:val="20"/>
              </w:rPr>
              <w:t xml:space="preserve"> Součástí je ucelená podpora investic a rozvoje inovativních firem, start-</w:t>
            </w:r>
            <w:proofErr w:type="spellStart"/>
            <w:r w:rsidRPr="4EAC0756" w:rsidR="6189C974">
              <w:rPr>
                <w:sz w:val="20"/>
                <w:szCs w:val="20"/>
              </w:rPr>
              <w:t>upů</w:t>
            </w:r>
            <w:proofErr w:type="spellEnd"/>
            <w:r w:rsidRPr="4EAC0756" w:rsidR="6189C974">
              <w:rPr>
                <w:sz w:val="20"/>
                <w:szCs w:val="20"/>
              </w:rPr>
              <w:t xml:space="preserve">, projektů a nových technologií – zahrnuje </w:t>
            </w:r>
            <w:proofErr w:type="spellStart"/>
            <w:r w:rsidRPr="4EAC0756" w:rsidR="6189C974">
              <w:rPr>
                <w:sz w:val="20"/>
                <w:szCs w:val="20"/>
              </w:rPr>
              <w:t>koinvestiční</w:t>
            </w:r>
            <w:proofErr w:type="spellEnd"/>
            <w:r w:rsidRPr="4EAC0756" w:rsidR="6189C974">
              <w:rPr>
                <w:sz w:val="20"/>
                <w:szCs w:val="20"/>
              </w:rPr>
              <w:t xml:space="preserve"> a dotační programy a další podpůrné aktivity pro přímou podporu vzniku nových technologií ve firmách typu start-up a spin-</w:t>
            </w:r>
            <w:proofErr w:type="spellStart"/>
            <w:r w:rsidRPr="4EAC0756" w:rsidR="6189C974">
              <w:rPr>
                <w:sz w:val="20"/>
                <w:szCs w:val="20"/>
              </w:rPr>
              <w:t>off</w:t>
            </w:r>
            <w:proofErr w:type="spellEnd"/>
            <w:r w:rsidRPr="4EAC0756" w:rsidR="6189C974">
              <w:rPr>
                <w:sz w:val="20"/>
                <w:szCs w:val="20"/>
              </w:rPr>
              <w:t>, a to včetně jejich inkubace, akcelerace a internacionalizace.</w:t>
            </w:r>
          </w:p>
          <w:p w:rsidR="548DB210" w:rsidP="4EAC0756" w:rsidRDefault="17F5E8AC" w14:paraId="66BC76AB" w14:textId="5620FFF6">
            <w:pPr>
              <w:spacing w:after="120"/>
              <w:jc w:val="both"/>
              <w:rPr>
                <w:sz w:val="20"/>
                <w:szCs w:val="20"/>
              </w:rPr>
            </w:pPr>
            <w:r w:rsidRPr="4EAC0756">
              <w:rPr>
                <w:sz w:val="20"/>
                <w:szCs w:val="20"/>
              </w:rPr>
              <w:t>- navazující investice 1.1 až 1.6</w:t>
            </w:r>
            <w:r w:rsidRPr="4EAC0756" w:rsidR="27C25F7F">
              <w:rPr>
                <w:sz w:val="20"/>
                <w:szCs w:val="20"/>
              </w:rPr>
              <w:t xml:space="preserve"> a 2.1 až 2.5</w:t>
            </w:r>
          </w:p>
          <w:p w:rsidR="548DB210" w:rsidP="4AA51CF6" w:rsidRDefault="548DB210" w14:paraId="18D3F773" w14:textId="4025E2E5">
            <w:pPr>
              <w:spacing w:after="120"/>
              <w:jc w:val="both"/>
              <w:rPr>
                <w:sz w:val="20"/>
                <w:szCs w:val="20"/>
              </w:rPr>
            </w:pPr>
          </w:p>
          <w:p w:rsidR="548DB210" w:rsidP="4AA51CF6" w:rsidRDefault="55960DA0" w14:paraId="5DFD613F" w14:textId="087E36A6">
            <w:pPr>
              <w:spacing w:after="120"/>
              <w:jc w:val="both"/>
              <w:rPr>
                <w:sz w:val="20"/>
                <w:szCs w:val="20"/>
              </w:rPr>
            </w:pPr>
            <w:r w:rsidRPr="4EAC0756">
              <w:rPr>
                <w:color w:val="000000" w:themeColor="text1"/>
                <w:sz w:val="20"/>
                <w:szCs w:val="20"/>
              </w:rPr>
              <w:t>2</w:t>
            </w:r>
            <w:r w:rsidRPr="4EAC0756" w:rsidR="17F5E8AC">
              <w:rPr>
                <w:color w:val="000000" w:themeColor="text1"/>
                <w:sz w:val="20"/>
                <w:szCs w:val="20"/>
              </w:rPr>
              <w:t xml:space="preserve">. </w:t>
            </w:r>
            <w:r w:rsidRPr="4EAC0756" w:rsidR="17F5E8AC">
              <w:rPr>
                <w:sz w:val="20"/>
                <w:szCs w:val="20"/>
              </w:rPr>
              <w:t xml:space="preserve">Podpora strategických odvětví – obsahuje konkrétní podporu VVI ve strategických odvětvích, a to v oblastech, které byly buď zásadně zasaženy </w:t>
            </w:r>
            <w:proofErr w:type="spellStart"/>
            <w:r w:rsidRPr="4EAC0756" w:rsidR="17F5E8AC">
              <w:rPr>
                <w:sz w:val="20"/>
                <w:szCs w:val="20"/>
              </w:rPr>
              <w:t>koronavirovou</w:t>
            </w:r>
            <w:proofErr w:type="spellEnd"/>
            <w:r w:rsidRPr="4EAC0756" w:rsidR="17F5E8AC">
              <w:rPr>
                <w:sz w:val="20"/>
                <w:szCs w:val="20"/>
              </w:rPr>
              <w:t xml:space="preserve"> krizí a/nebo nabízí zásadní potenciál pro další budoucí růst. Součástí je </w:t>
            </w:r>
            <w:proofErr w:type="spellStart"/>
            <w:r w:rsidRPr="4EAC0756" w:rsidR="17F5E8AC">
              <w:rPr>
                <w:sz w:val="20"/>
                <w:szCs w:val="20"/>
              </w:rPr>
              <w:t>flagship</w:t>
            </w:r>
            <w:proofErr w:type="spellEnd"/>
            <w:r w:rsidRPr="4EAC0756" w:rsidR="17F5E8AC">
              <w:rPr>
                <w:sz w:val="20"/>
                <w:szCs w:val="20"/>
              </w:rPr>
              <w:t xml:space="preserve"> projekt pro podporu kvantové komunikační infrastruktury.</w:t>
            </w:r>
          </w:p>
          <w:p w:rsidR="548DB210" w:rsidP="4AA51CF6" w:rsidRDefault="0D09B489" w14:paraId="06F5CCC7" w14:textId="196C90EF">
            <w:pPr>
              <w:spacing w:after="120"/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- navazující investice 3.1 a 3.2</w:t>
            </w:r>
          </w:p>
          <w:p w:rsidR="29DCD323" w:rsidP="4AA51CF6" w:rsidRDefault="43EBF486" w14:paraId="5033F016" w14:textId="5F995965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4AA51CF6">
              <w:rPr>
                <w:b/>
                <w:bCs/>
                <w:color w:val="000000" w:themeColor="text1"/>
                <w:sz w:val="20"/>
                <w:szCs w:val="20"/>
              </w:rPr>
              <w:t xml:space="preserve">Odhadované náklady: </w:t>
            </w:r>
          </w:p>
          <w:p w:rsidR="347F7DF5" w:rsidP="000A579A" w:rsidRDefault="29404EC6" w14:paraId="630DED3C" w14:textId="51C11493">
            <w:pPr>
              <w:spacing w:after="120"/>
              <w:rPr>
                <w:color w:val="000000" w:themeColor="text1"/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5 710</w:t>
            </w:r>
            <w:r w:rsidRPr="000A579A">
              <w:rPr>
                <w:sz w:val="20"/>
                <w:szCs w:val="20"/>
              </w:rPr>
              <w:t xml:space="preserve"> mil. Kč</w:t>
            </w:r>
            <w:r w:rsidRPr="000A579A" w:rsidR="000A579A">
              <w:rPr>
                <w:sz w:val="20"/>
                <w:szCs w:val="20"/>
              </w:rPr>
              <w:t xml:space="preserve"> (plně zahrnuto do RRF)</w:t>
            </w:r>
            <w:r w:rsidR="347F7DF5">
              <w:br/>
            </w:r>
          </w:p>
        </w:tc>
      </w:tr>
    </w:tbl>
    <w:p w:rsidR="7D05E766" w:rsidP="4AA51CF6" w:rsidRDefault="7D05E766" w14:paraId="24E3696C" w14:textId="798C350D">
      <w:pPr>
        <w:spacing w:before="80" w:after="0" w:line="240" w:lineRule="auto"/>
        <w:rPr>
          <w:b/>
          <w:bCs/>
          <w:color w:val="000000" w:themeColor="text1"/>
          <w:sz w:val="20"/>
          <w:szCs w:val="20"/>
        </w:rPr>
      </w:pPr>
    </w:p>
    <w:p w:rsidRPr="007A4BFB" w:rsidR="007D49E4" w:rsidP="4AA51CF6" w:rsidRDefault="00603083" w14:paraId="00000015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b/>
          <w:bCs/>
          <w:sz w:val="20"/>
          <w:szCs w:val="20"/>
        </w:rPr>
      </w:pPr>
      <w:r w:rsidRPr="4AA51CF6">
        <w:rPr>
          <w:b/>
          <w:bCs/>
          <w:color w:val="000000" w:themeColor="text1"/>
          <w:sz w:val="20"/>
          <w:szCs w:val="20"/>
        </w:rPr>
        <w:t>a) Detail komponenty</w:t>
      </w:r>
    </w:p>
    <w:p w:rsidR="00EB5AC6" w:rsidP="4AA51CF6" w:rsidRDefault="00EB5AC6" w14:paraId="1EE9D290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sz w:val="20"/>
          <w:szCs w:val="20"/>
        </w:rPr>
      </w:pPr>
      <w:r w:rsidRPr="4AA51CF6">
        <w:rPr>
          <w:sz w:val="20"/>
          <w:szCs w:val="20"/>
        </w:rPr>
        <w:t xml:space="preserve">Česká ekonomika bude v následujících letech kriticky zasažena ekonomickou krizí s mimořádným dopadem na zaměstnanost a tvorbu přidané hodnoty. Pro co nejrychlejší návrat k dlouhodobému a udržitelnému růstu byl proto v souladu s Inovační strategií ČR vypracován tento komplexní plán reforem spočívajících v podpoře digitálních technologií a na nich založené digitální transformaci ekonomiky. </w:t>
      </w:r>
    </w:p>
    <w:p w:rsidR="00EB5AC6" w:rsidP="4AA51CF6" w:rsidRDefault="00EB5AC6" w14:paraId="0B3FA7AC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sz w:val="20"/>
          <w:szCs w:val="20"/>
        </w:rPr>
      </w:pPr>
      <w:r w:rsidRPr="4AA51CF6">
        <w:rPr>
          <w:sz w:val="20"/>
          <w:szCs w:val="20"/>
        </w:rPr>
        <w:t>Reformy v rámci této (1.4) a navazující (1.5) komponenty proto obsahují komplexní soubor aktivit:</w:t>
      </w:r>
    </w:p>
    <w:p w:rsidR="00EB5AC6" w:rsidP="4AA51CF6" w:rsidRDefault="00EB5AC6" w14:paraId="24101E4B" w14:textId="77777777">
      <w:pPr>
        <w:pStyle w:val="Odstavecseseznamem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libri" w:hAnsi="Calibri" w:eastAsia="Calibri" w:cs="Calibri"/>
          <w:sz w:val="20"/>
          <w:szCs w:val="20"/>
        </w:rPr>
      </w:pPr>
      <w:r w:rsidRPr="4AA51CF6">
        <w:rPr>
          <w:rFonts w:ascii="Calibri" w:hAnsi="Calibri" w:eastAsia="Calibri" w:cs="Calibri"/>
          <w:sz w:val="20"/>
          <w:szCs w:val="20"/>
        </w:rPr>
        <w:t xml:space="preserve">Reforma a doplnění systému koordinace a podpory digitální ekonomiky a digitální transformace ekonomiky – zastřešující aktivita (1.4.1) </w:t>
      </w:r>
    </w:p>
    <w:p w:rsidR="00EB5AC6" w:rsidP="4AA51CF6" w:rsidRDefault="00EB5AC6" w14:paraId="1966EE8D" w14:textId="77777777">
      <w:pPr>
        <w:pStyle w:val="Odstavecseseznamem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libri" w:hAnsi="Calibri" w:eastAsia="Calibri" w:cs="Calibri"/>
          <w:sz w:val="20"/>
          <w:szCs w:val="20"/>
        </w:rPr>
      </w:pPr>
      <w:r w:rsidRPr="4AA51CF6">
        <w:rPr>
          <w:rFonts w:ascii="Calibri" w:hAnsi="Calibri" w:eastAsia="Calibri" w:cs="Calibri"/>
          <w:sz w:val="20"/>
          <w:szCs w:val="20"/>
        </w:rPr>
        <w:t>Podpora vzniku nových moderních, především digitálních technologií a na nich postavených rychle rostoucích firem typu start-up a spin-</w:t>
      </w:r>
      <w:proofErr w:type="spellStart"/>
      <w:r w:rsidRPr="4AA51CF6">
        <w:rPr>
          <w:rFonts w:ascii="Calibri" w:hAnsi="Calibri" w:eastAsia="Calibri" w:cs="Calibri"/>
          <w:sz w:val="20"/>
          <w:szCs w:val="20"/>
        </w:rPr>
        <w:t>off</w:t>
      </w:r>
      <w:proofErr w:type="spellEnd"/>
      <w:r w:rsidRPr="4AA51CF6">
        <w:rPr>
          <w:rFonts w:ascii="Calibri" w:hAnsi="Calibri" w:eastAsia="Calibri" w:cs="Calibri"/>
          <w:sz w:val="20"/>
          <w:szCs w:val="20"/>
        </w:rPr>
        <w:t xml:space="preserve"> (1.4.2)</w:t>
      </w:r>
    </w:p>
    <w:p w:rsidR="00EB5AC6" w:rsidP="4AA51CF6" w:rsidRDefault="00EB5AC6" w14:paraId="1CDA5FC1" w14:textId="77777777">
      <w:pPr>
        <w:pStyle w:val="Odstavecseseznamem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libri" w:hAnsi="Calibri" w:eastAsia="Calibri" w:cs="Calibri"/>
          <w:sz w:val="20"/>
          <w:szCs w:val="20"/>
        </w:rPr>
      </w:pPr>
      <w:r w:rsidRPr="4AA51CF6">
        <w:rPr>
          <w:rFonts w:ascii="Calibri" w:hAnsi="Calibri" w:eastAsia="Calibri" w:cs="Calibri"/>
          <w:sz w:val="20"/>
          <w:szCs w:val="20"/>
        </w:rPr>
        <w:t>Zvláštní podpora tzv. strategických digitálních technologií a jejich certifikace (1.4.3)</w:t>
      </w:r>
    </w:p>
    <w:p w:rsidR="00EB5AC6" w:rsidP="4AA51CF6" w:rsidRDefault="00EB5AC6" w14:paraId="0098425D" w14:textId="77777777">
      <w:pPr>
        <w:pStyle w:val="Odstavecseseznamem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libri" w:hAnsi="Calibri" w:eastAsia="Calibri" w:cs="Calibri"/>
          <w:sz w:val="20"/>
          <w:szCs w:val="20"/>
        </w:rPr>
      </w:pPr>
      <w:r w:rsidRPr="4AA51CF6">
        <w:rPr>
          <w:rFonts w:ascii="Calibri" w:hAnsi="Calibri" w:eastAsia="Calibri" w:cs="Calibri"/>
          <w:sz w:val="20"/>
          <w:szCs w:val="20"/>
        </w:rPr>
        <w:t>Vytvoření infrastruktury pro přenos digitálních technologií do reálné ekonomiky (1.5.1 a 2)</w:t>
      </w:r>
    </w:p>
    <w:p w:rsidRPr="00717BCD" w:rsidR="00EB5AC6" w:rsidP="4AA51CF6" w:rsidRDefault="00EB5AC6" w14:paraId="6C3695B1" w14:textId="77777777">
      <w:pPr>
        <w:pStyle w:val="Odstavecseseznamem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libri" w:hAnsi="Calibri" w:eastAsia="Calibri" w:cs="Calibri"/>
          <w:sz w:val="20"/>
          <w:szCs w:val="20"/>
        </w:rPr>
      </w:pPr>
      <w:r w:rsidRPr="4AA51CF6">
        <w:rPr>
          <w:rFonts w:ascii="Calibri" w:hAnsi="Calibri" w:eastAsia="Calibri" w:cs="Calibri"/>
          <w:sz w:val="20"/>
          <w:szCs w:val="20"/>
        </w:rPr>
        <w:t xml:space="preserve">Přímá podpora digitální transformace samotných firem, především SME (1.5.3). </w:t>
      </w:r>
    </w:p>
    <w:p w:rsidR="00EB5AC6" w:rsidP="4AA51CF6" w:rsidRDefault="00EB5AC6" w14:paraId="05199214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sz w:val="20"/>
          <w:szCs w:val="20"/>
        </w:rPr>
      </w:pPr>
      <w:r w:rsidRPr="4AA51CF6">
        <w:rPr>
          <w:sz w:val="20"/>
          <w:szCs w:val="20"/>
        </w:rPr>
        <w:t>Logicky a systémově jsou pak obě navazující komponenty 1.4 a 1.5 rozděleny tak, že první obsahuje řídící a průřezové aktivity celé digitální transformace, podporu vzniku nových technologií a strategických technologií, tedy jakousi hlavu celé digitální transformace české ekonomiky. Druhá pak konkrétní vznik infrastruktury pro přenos technologií do podnikové praxe, a to v podobě vybudování prvků Evropského digitálního ekosystému, společně s konkrétními programy přímé podpory digitální transformace podniků, se zvláštním zaměřením na kybernetickou bezpečnost. Obě komponenty se přirozeně opírají a navazují na budování komunikačních sítí v rámci komponenty 1.3 a jsou plně komplementární k dalším komponentám, především komponentě 5. Výzkum vývoj a inovace a 3. Vzdělávání a trh práce.</w:t>
      </w:r>
    </w:p>
    <w:p w:rsidRPr="007A4BFB" w:rsidR="00EB5AC6" w:rsidP="4AA51CF6" w:rsidRDefault="00EB5AC6" w14:paraId="4105C223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sz w:val="20"/>
          <w:szCs w:val="20"/>
        </w:rPr>
      </w:pPr>
      <w:r w:rsidRPr="4AA51CF6">
        <w:rPr>
          <w:sz w:val="20"/>
          <w:szCs w:val="20"/>
        </w:rPr>
        <w:lastRenderedPageBreak/>
        <w:t>V obou komponentách (1.4 a 1.5) jsou pokryty pouze oblasti, kde dochází k tržnímu selhání a/nebo je průkazně zapotřebí veřejné ingerence k akceleraci a dosažení stanoveného cíle – skokově posunout českou ekonomiku v oblasti moderních digitálních technologií, které budou motorem hospodářského oživení a návratu k hospodářskému růstu. Příkladem je reforma Výboru pro digitální ekonomiku a společnost a na něj nově navázaných platforem a pracovních skupin. Například platformy pro vzdělávání profesionálů v oboru digitální transformace, kteří dnes chybí v samotných firmách. Dále demonstrativní projekty, které ukáží potenciál technologií a navedou k jejich další realizaci ze soukromých i veřejných zdrojů. V oblasti financování je upřednostněno vytváření infrastruktury pro rozvoj kapitálového trhu a soukromých investic, jako je vytvoření evropského trhu pro financování SME založeného na decentralizovaných technologiích (DLT) v rámci projektu EBSI Evropské komise. Přímé dotační programy pak tyto aktivity primárně doplňují.</w:t>
      </w:r>
    </w:p>
    <w:p w:rsidRPr="00717BCD" w:rsidR="00EB5AC6" w:rsidP="4AA51CF6" w:rsidRDefault="00EB5AC6" w14:paraId="14F58D63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sz w:val="20"/>
          <w:szCs w:val="20"/>
        </w:rPr>
      </w:pPr>
      <w:r w:rsidRPr="4AA51CF6">
        <w:rPr>
          <w:sz w:val="20"/>
          <w:szCs w:val="20"/>
        </w:rPr>
        <w:t>Zvláštní důraz je přitom napříč komponentami kladen na podporu klíčových a strategických technologií, Komponenta, a zvláště část podpory klíčových a strategických technologií se též opírá o Národní výzkumnou a inovační strategii pro inteligentní specializaci 2021-2027 (Národní RIS3 strategie), jež je výrazně orientována na identifikaci a difúzi technologií a inovací, které jsou zásadní pro transformaci perspektivních odvětví v ČR. Národní RIS3 strategie za tímto účelem nastavuje komplexní procesy, které též zahrnují identifikaci nově vznikajících technologií a trendů, a jsou provázány na průřezovou prioritu strategie, kterou je koncepční rozvoj digitálního ekosystému v ČR.</w:t>
      </w:r>
    </w:p>
    <w:p w:rsidR="00A87523" w:rsidP="4AA51CF6" w:rsidRDefault="00A87523" w14:paraId="51481272" w14:textId="322C4DB5">
      <w:pPr>
        <w:spacing w:line="240" w:lineRule="auto"/>
        <w:rPr>
          <w:b/>
          <w:bCs/>
          <w:color w:val="000000"/>
          <w:sz w:val="20"/>
          <w:szCs w:val="20"/>
        </w:rPr>
      </w:pPr>
    </w:p>
    <w:p w:rsidRPr="007A4BFB" w:rsidR="007D49E4" w:rsidP="4AA51CF6" w:rsidRDefault="00603083" w14:paraId="0000001C" w14:textId="7241618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rPr>
          <w:b/>
          <w:bCs/>
          <w:color w:val="000000"/>
          <w:sz w:val="20"/>
          <w:szCs w:val="20"/>
        </w:rPr>
      </w:pPr>
      <w:r w:rsidRPr="4AA51CF6">
        <w:rPr>
          <w:b/>
          <w:bCs/>
          <w:color w:val="000000" w:themeColor="text1"/>
          <w:sz w:val="20"/>
          <w:szCs w:val="20"/>
        </w:rPr>
        <w:t>2. Hlavní výzvy a cíle</w:t>
      </w:r>
    </w:p>
    <w:p w:rsidRPr="007A4BFB" w:rsidR="007D49E4" w:rsidP="4AA51CF6" w:rsidRDefault="007D49E4" w14:paraId="0000001D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i/>
          <w:iCs/>
          <w:color w:val="2196FF"/>
          <w:sz w:val="20"/>
          <w:szCs w:val="20"/>
        </w:rPr>
      </w:pPr>
    </w:p>
    <w:p w:rsidRPr="007A4BFB" w:rsidR="007D49E4" w:rsidP="4AA51CF6" w:rsidRDefault="00603083" w14:paraId="0000001E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b/>
          <w:bCs/>
          <w:color w:val="000000"/>
          <w:sz w:val="20"/>
          <w:szCs w:val="20"/>
        </w:rPr>
      </w:pPr>
      <w:r w:rsidRPr="4AA51CF6">
        <w:rPr>
          <w:b/>
          <w:bCs/>
          <w:color w:val="000000" w:themeColor="text1"/>
          <w:sz w:val="20"/>
          <w:szCs w:val="20"/>
        </w:rPr>
        <w:t>a) Hlavní výzvy</w:t>
      </w:r>
    </w:p>
    <w:p w:rsidRPr="007A4BFB" w:rsidR="00EB5AC6" w:rsidP="4AA51CF6" w:rsidRDefault="00EB5AC6" w14:paraId="577AAA23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sz w:val="20"/>
          <w:szCs w:val="20"/>
        </w:rPr>
      </w:pPr>
      <w:r w:rsidRPr="4AA51CF6">
        <w:rPr>
          <w:sz w:val="20"/>
          <w:szCs w:val="20"/>
        </w:rPr>
        <w:t xml:space="preserve">Po letech stabilního růstu, který zvýšil příjmy a životní úroveň, bude česká ekonomika tvrdě zasažena </w:t>
      </w:r>
      <w:proofErr w:type="spellStart"/>
      <w:r w:rsidRPr="4AA51CF6">
        <w:rPr>
          <w:sz w:val="20"/>
          <w:szCs w:val="20"/>
        </w:rPr>
        <w:t>kovidovou</w:t>
      </w:r>
      <w:proofErr w:type="spellEnd"/>
      <w:r w:rsidRPr="4AA51CF6">
        <w:rPr>
          <w:sz w:val="20"/>
          <w:szCs w:val="20"/>
        </w:rPr>
        <w:t xml:space="preserve"> krizí a, jak konstatovala v aktuální zprávě OECD</w:t>
      </w:r>
      <w:r w:rsidRPr="4AA51CF6">
        <w:rPr>
          <w:sz w:val="20"/>
          <w:szCs w:val="20"/>
          <w:vertAlign w:val="superscript"/>
        </w:rPr>
        <w:footnoteReference w:id="1"/>
      </w:r>
      <w:r w:rsidRPr="4AA51CF6">
        <w:rPr>
          <w:sz w:val="20"/>
          <w:szCs w:val="20"/>
        </w:rPr>
        <w:t>, bude se zotavovat jen pomalu. V souladu s touto zprávou by se tak měla vláda zaměřit na stimulaci růstu investic a produktivity. Dále pak najít způsoby, jak rychle zlepšit rekvalifikaci uchazečů o zaměstnání, což by pomohlo obnovit produktivitu a růst a zcela to odpovídá dlouhodobým prioritám Evropské komise na rozvoj digitálních dovedností. Klíčovou výzvou bude samozřejmě nadále podporovat životaschopné firmy a pracovní místa, a současně umožňovat přerozdělování zdrojů napříč odvětvími k čemuž digitalizace významně přispěje. Zásadní výzvou je dosáhnout oživení, které bude inkluzivní, udržitelné a odolné vůči budoucím šokům v rámci budování odolnosti (</w:t>
      </w:r>
      <w:proofErr w:type="spellStart"/>
      <w:r w:rsidRPr="4AA51CF6">
        <w:rPr>
          <w:sz w:val="20"/>
          <w:szCs w:val="20"/>
        </w:rPr>
        <w:t>resilience</w:t>
      </w:r>
      <w:proofErr w:type="spellEnd"/>
      <w:r w:rsidRPr="4AA51CF6">
        <w:rPr>
          <w:sz w:val="20"/>
          <w:szCs w:val="20"/>
        </w:rPr>
        <w:t>) prostřednictvím moderních technologií.</w:t>
      </w:r>
    </w:p>
    <w:p w:rsidRPr="007A4BFB" w:rsidR="00EB5AC6" w:rsidP="4AA51CF6" w:rsidRDefault="00EB5AC6" w14:paraId="17DDD3F7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sz w:val="20"/>
          <w:szCs w:val="20"/>
        </w:rPr>
      </w:pPr>
      <w:r w:rsidRPr="4AA51CF6">
        <w:rPr>
          <w:sz w:val="20"/>
          <w:szCs w:val="20"/>
        </w:rPr>
        <w:t xml:space="preserve">OECD také konstatuje, že od vstupu Česka v roce 1995 zaznamenala země růst reálného HDP na obyvatele téměř o 90 % a těší se jedné z nejnižších úrovní chudoby, nezaměstnanosti a nerovnosti příjmů. Výzvy pro růst a blahobyt však existovaly už před pandemií především v oblasti produktivity práce a firemních inovací a investic do výzkumu a vývoje. Tyto oblasti jsou přímo pod vlivem </w:t>
      </w:r>
      <w:proofErr w:type="spellStart"/>
      <w:r w:rsidRPr="4AA51CF6">
        <w:rPr>
          <w:sz w:val="20"/>
          <w:szCs w:val="20"/>
        </w:rPr>
        <w:t>megatrendů</w:t>
      </w:r>
      <w:proofErr w:type="spellEnd"/>
      <w:r w:rsidRPr="4AA51CF6">
        <w:rPr>
          <w:sz w:val="20"/>
          <w:szCs w:val="20"/>
        </w:rPr>
        <w:t xml:space="preserve"> digitalizace a automatizace. Ekonomika tažená exportem je také citlivá na vnější otřesy a nízká celková nerovnost skrývá velké regionální rozdíly v příjmech, některé regiony neúměrně trpí stárnutím, nekvalifikovanou populací a také špatnou digitální konektivitou. Doporučení OECD se, krom jiného, zaměřují na lepší orientaci podpory výzkumu a vývoje na mladé firmy.</w:t>
      </w:r>
    </w:p>
    <w:p w:rsidRPr="007A4BFB" w:rsidR="00EB5AC6" w:rsidP="4AA51CF6" w:rsidRDefault="00EB5AC6" w14:paraId="341956A4" w14:textId="77777777">
      <w:pPr>
        <w:spacing w:after="120" w:line="240" w:lineRule="auto"/>
        <w:jc w:val="both"/>
        <w:rPr>
          <w:sz w:val="20"/>
          <w:szCs w:val="20"/>
        </w:rPr>
      </w:pPr>
      <w:r w:rsidRPr="4AA51CF6">
        <w:rPr>
          <w:sz w:val="20"/>
          <w:szCs w:val="20"/>
        </w:rPr>
        <w:t>Evropská komise v novém Koordinovaném plánu pro AI přímo doporučuje financovat novou generaci umělé inteligence. Cílem má být, že se EU posune kupředu směrem k “bezpečnější, důvěryhodnější a ekologičtější AI a udrží Evropu na špici ve vývoji AI.” Kromě vývoje podpůrných technologií mají programy EU také pomoci ukázat demonstrovat, “jak AI pomáhá transformovat hlavní hospodářská odvětví ve výrobě a službách a také řešit hlavní společenské výzvy v oblastech, jako je zdraví, civilní bezpečnost, klima, energetika, mobilita a zemědělství.”</w:t>
      </w:r>
    </w:p>
    <w:p w:rsidRPr="00A63654" w:rsidR="00EB5AC6" w:rsidP="4AA51CF6" w:rsidRDefault="00EB5AC6" w14:paraId="4B1D95FD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sz w:val="20"/>
          <w:szCs w:val="20"/>
        </w:rPr>
      </w:pPr>
      <w:r w:rsidRPr="4AA51CF6">
        <w:rPr>
          <w:sz w:val="20"/>
          <w:szCs w:val="20"/>
        </w:rPr>
        <w:t xml:space="preserve">Česko také dlouhodobě postrádá schopnost vybudovat rychle rostoucí technologické šampiony, kteří jsou přitom základním znakem úspěšného inovačního prostředí schopného obstát v globální konkurenci. V Evropě přitom počet takových firem dosahuje vyšších desítek. Výzvou pro ČR je využití klíčových a nově vznikajících technologií jako katalyzátorů změny v perspektivních sektorech. Tyto strategické technologie napomohou průmyslové transformaci, generování nových příležitostí, vytváření vysoké přidané hodnoty a růstu endogenních českých firem s mezinárodně konkurenceschopnými konečnými produkty pro trh a v nově vznikajících technologicky a znalostně náročných odvětvích. Česká ekonomika je postavena na průmyslové výrobě. Jakákoli další diverzifikace průmyslu je nutná, ale zároveň je v době krize potřeba uvažovat s nízkými investičními náklady na změnu produkce. Právě v důsledku dopadů aktuální krize došlo k významné změně v poptávce v některých strategických odvětvích, pro jejichž podporu byla, v rámci boje s následky </w:t>
      </w:r>
      <w:r w:rsidRPr="4AA51CF6">
        <w:rPr>
          <w:sz w:val="20"/>
          <w:szCs w:val="20"/>
        </w:rPr>
        <w:lastRenderedPageBreak/>
        <w:t>pandemie nemoci COVID-19, vládou ČR ustavena Rada pro podporu strategických technologií a produktů. Cílem této reformy je tak podpořit digitální transformaci těchto strategických odvětví.</w:t>
      </w:r>
    </w:p>
    <w:p w:rsidRPr="00A63654" w:rsidR="00EB5AC6" w:rsidP="4AA51CF6" w:rsidRDefault="00EB5AC6" w14:paraId="490FDE88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sz w:val="20"/>
          <w:szCs w:val="20"/>
        </w:rPr>
      </w:pPr>
      <w:r w:rsidRPr="4AA51CF6">
        <w:rPr>
          <w:sz w:val="20"/>
          <w:szCs w:val="20"/>
        </w:rPr>
        <w:t>Především v letecké dopravě, která byla těžce zasažena a je tradiční a vysoce prestižní součástí české průmyslové tradice je třeba podpořit radikální digitální transformaci a zefektivnění. Na základě existující poptávky ze strany velkých výrobců (Airbus), historické vysoké kvalifikaci pracovníků v leteckém průmyslu a analýzy struktury průmyslových výrobců v ČR by transformací části průmyslové výroby došlo ke zvýšení produkce s vysokým multiplikačním efektem na úrovni multiplikátoru 6 s vysokou přidanou hodnotou a vytvoření vysoce kvalifikovaných pracovních míst. Proto byla právě letecká technika jako strategické odvětví zvolena jako pilotní projekt s programem certifikací strategických technologií.</w:t>
      </w:r>
    </w:p>
    <w:p w:rsidRPr="00A63654" w:rsidR="00EB5AC6" w:rsidP="4AA51CF6" w:rsidRDefault="00EB5AC6" w14:paraId="00D8D629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sz w:val="20"/>
          <w:szCs w:val="20"/>
        </w:rPr>
      </w:pPr>
      <w:r w:rsidRPr="4AA51CF6">
        <w:rPr>
          <w:sz w:val="20"/>
          <w:szCs w:val="20"/>
        </w:rPr>
        <w:t xml:space="preserve">V rámci této komponenty bude podpořen i základní rozvoj kvantové infrastruktury, které jsou označeny jako evropský </w:t>
      </w:r>
      <w:proofErr w:type="spellStart"/>
      <w:r w:rsidRPr="4AA51CF6">
        <w:rPr>
          <w:sz w:val="20"/>
          <w:szCs w:val="20"/>
        </w:rPr>
        <w:t>flagship</w:t>
      </w:r>
      <w:proofErr w:type="spellEnd"/>
      <w:r w:rsidRPr="4AA51CF6">
        <w:rPr>
          <w:sz w:val="20"/>
          <w:szCs w:val="20"/>
        </w:rPr>
        <w:t>. S vybudováním kvantové infrastruktury dojde k možnosti dramatického zvýšení kvality a rychlosti výpočtů. V neposlední řadě tím dojde také k posílení celého průmyslového odvětví včetně obranného a bezpečnostního.</w:t>
      </w:r>
    </w:p>
    <w:p w:rsidRPr="007A4BFB" w:rsidR="00EB5AC6" w:rsidP="4AA51CF6" w:rsidRDefault="00EB5AC6" w14:paraId="199C92B4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sz w:val="20"/>
          <w:szCs w:val="20"/>
        </w:rPr>
      </w:pPr>
      <w:r w:rsidRPr="4AA51CF6">
        <w:rPr>
          <w:sz w:val="20"/>
          <w:szCs w:val="20"/>
        </w:rPr>
        <w:t>Aktuální pandemická situace přinesla řadu výzev nejen v podobě zdravotní, společenské a ekonomické krize, ale také v oblasti inovací. Mnoho inovativních firem zároveň osvědčilo v první vlně pandemie na jaře 2020, že jejich řešení ulehčila a zmírnila nutná omezení a jimi dané překážky pro běžný život občanů</w:t>
      </w:r>
    </w:p>
    <w:p w:rsidRPr="007A4BFB" w:rsidR="00EB5AC6" w:rsidP="4AA51CF6" w:rsidRDefault="00EB5AC6" w14:paraId="26B4B286" w14:textId="77777777">
      <w:pPr>
        <w:spacing w:after="120" w:line="240" w:lineRule="auto"/>
        <w:jc w:val="both"/>
        <w:rPr>
          <w:sz w:val="20"/>
          <w:szCs w:val="20"/>
        </w:rPr>
      </w:pPr>
      <w:r w:rsidRPr="4AA51CF6">
        <w:rPr>
          <w:sz w:val="20"/>
          <w:szCs w:val="20"/>
        </w:rPr>
        <w:t>Na základě výše uvedených doporučení a analýz byly v oblasti digitální ekonomiky, rozvoje moderních technologií a digitální transformace jasně identifikovány tři oblasti, kde je nutné přijmout reformy a investice v rámci Národního plánu obnovy:</w:t>
      </w:r>
    </w:p>
    <w:p w:rsidRPr="007A4BFB" w:rsidR="00EB5AC6" w:rsidP="4AA51CF6" w:rsidRDefault="00EB5AC6" w14:paraId="7D318752" w14:textId="77777777">
      <w:pPr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 w:rsidRPr="4AA51CF6">
        <w:rPr>
          <w:sz w:val="20"/>
          <w:szCs w:val="20"/>
        </w:rPr>
        <w:t>Digitalizace podniků, zejména SME a infrastruktura nutná pro jejich digitální transformaci.</w:t>
      </w:r>
    </w:p>
    <w:p w:rsidRPr="007A4BFB" w:rsidR="00EB5AC6" w:rsidP="4AA51CF6" w:rsidRDefault="00EB5AC6" w14:paraId="702145AA" w14:textId="77777777">
      <w:pPr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 w:rsidRPr="4AA51CF6">
        <w:rPr>
          <w:sz w:val="20"/>
          <w:szCs w:val="20"/>
        </w:rPr>
        <w:t>Podpora nových technologií a firem typu start-up a spin-</w:t>
      </w:r>
      <w:proofErr w:type="spellStart"/>
      <w:r w:rsidRPr="4AA51CF6">
        <w:rPr>
          <w:sz w:val="20"/>
          <w:szCs w:val="20"/>
        </w:rPr>
        <w:t>off</w:t>
      </w:r>
      <w:proofErr w:type="spellEnd"/>
      <w:r w:rsidRPr="4AA51CF6">
        <w:rPr>
          <w:sz w:val="20"/>
          <w:szCs w:val="20"/>
        </w:rPr>
        <w:t xml:space="preserve"> a budování digitálních šampionů.</w:t>
      </w:r>
    </w:p>
    <w:p w:rsidRPr="007A4BFB" w:rsidR="00EB5AC6" w:rsidP="4AA51CF6" w:rsidRDefault="00EB5AC6" w14:paraId="477A9081" w14:textId="77777777">
      <w:pPr>
        <w:numPr>
          <w:ilvl w:val="0"/>
          <w:numId w:val="13"/>
        </w:numPr>
        <w:spacing w:after="120" w:line="240" w:lineRule="auto"/>
        <w:jc w:val="both"/>
        <w:rPr>
          <w:sz w:val="20"/>
          <w:szCs w:val="20"/>
        </w:rPr>
      </w:pPr>
      <w:r w:rsidRPr="4AA51CF6">
        <w:rPr>
          <w:sz w:val="20"/>
          <w:szCs w:val="20"/>
        </w:rPr>
        <w:t>Zvláštní důraz na rozvoj klíčových a strategických technologií, zejména AI.</w:t>
      </w:r>
    </w:p>
    <w:p w:rsidRPr="007A4BFB" w:rsidR="00EB5AC6" w:rsidP="4AA51CF6" w:rsidRDefault="00EB5AC6" w14:paraId="4406878B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20"/>
          <w:szCs w:val="20"/>
        </w:rPr>
      </w:pPr>
    </w:p>
    <w:p w:rsidRPr="007A4BFB" w:rsidR="00EB5AC6" w:rsidP="4AA51CF6" w:rsidRDefault="00EB5AC6" w14:paraId="498AC1CD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b/>
          <w:bCs/>
          <w:sz w:val="20"/>
          <w:szCs w:val="20"/>
        </w:rPr>
      </w:pPr>
      <w:r w:rsidRPr="4AA51CF6">
        <w:rPr>
          <w:b/>
          <w:bCs/>
          <w:color w:val="000000" w:themeColor="text1"/>
          <w:sz w:val="20"/>
          <w:szCs w:val="20"/>
        </w:rPr>
        <w:t xml:space="preserve">b) Cíle </w:t>
      </w:r>
    </w:p>
    <w:p w:rsidRPr="007A4BFB" w:rsidR="00EB5AC6" w:rsidP="4AA51CF6" w:rsidRDefault="00EB5AC6" w14:paraId="6B39BB4C" w14:textId="77777777">
      <w:pPr>
        <w:spacing w:after="120" w:line="240" w:lineRule="auto"/>
        <w:jc w:val="both"/>
        <w:rPr>
          <w:sz w:val="20"/>
          <w:szCs w:val="20"/>
        </w:rPr>
      </w:pPr>
      <w:r w:rsidRPr="4AA51CF6">
        <w:rPr>
          <w:sz w:val="20"/>
          <w:szCs w:val="20"/>
        </w:rPr>
        <w:t xml:space="preserve">Hlavním cílem komponenty je rychlé společenské a ekonomické oživení z </w:t>
      </w:r>
      <w:proofErr w:type="spellStart"/>
      <w:r w:rsidRPr="4AA51CF6">
        <w:rPr>
          <w:sz w:val="20"/>
          <w:szCs w:val="20"/>
        </w:rPr>
        <w:t>koronavirové</w:t>
      </w:r>
      <w:proofErr w:type="spellEnd"/>
      <w:r w:rsidRPr="4AA51CF6">
        <w:rPr>
          <w:sz w:val="20"/>
          <w:szCs w:val="20"/>
        </w:rPr>
        <w:t xml:space="preserve"> krize prostřednictvím digitalizace, její využití jako příležitosti k digitální transformaci a naplnění cíle Inovační strategie ČR 2019-2030 - navrátit Česko do roku 2030 mezi nejvyspělejší inovační země světa.</w:t>
      </w:r>
    </w:p>
    <w:p w:rsidRPr="007A4BFB" w:rsidR="00EB5AC6" w:rsidP="4AA51CF6" w:rsidRDefault="00EB5AC6" w14:paraId="20D34D0B" w14:textId="77777777">
      <w:pPr>
        <w:spacing w:after="120" w:line="240" w:lineRule="auto"/>
        <w:jc w:val="both"/>
        <w:rPr>
          <w:sz w:val="20"/>
          <w:szCs w:val="20"/>
        </w:rPr>
      </w:pPr>
      <w:r w:rsidRPr="4AA51CF6">
        <w:rPr>
          <w:sz w:val="20"/>
          <w:szCs w:val="20"/>
        </w:rPr>
        <w:t>Konkrétně komponenta plně reaguje a odpovídá na doporučení Evropské komise pro ČR v rámci Evropského semestru pro rok 2019 a 2020. Zejména pak v následujících bodech:</w:t>
      </w:r>
    </w:p>
    <w:p w:rsidRPr="007A4BFB" w:rsidR="00EB5AC6" w:rsidP="4AA51CF6" w:rsidRDefault="00EB5AC6" w14:paraId="653F7157" w14:textId="77777777">
      <w:pPr>
        <w:numPr>
          <w:ilvl w:val="0"/>
          <w:numId w:val="16"/>
        </w:numPr>
        <w:spacing w:before="120" w:after="0" w:line="240" w:lineRule="auto"/>
        <w:jc w:val="both"/>
        <w:rPr>
          <w:sz w:val="20"/>
          <w:szCs w:val="20"/>
        </w:rPr>
      </w:pPr>
      <w:r w:rsidRPr="4AA51CF6">
        <w:rPr>
          <w:sz w:val="20"/>
          <w:szCs w:val="20"/>
        </w:rPr>
        <w:t xml:space="preserve">Zaměřit se v rámci investiční hospodářské politiky na (...) digitální infrastrukturu. </w:t>
      </w:r>
    </w:p>
    <w:p w:rsidRPr="007A4BFB" w:rsidR="00EB5AC6" w:rsidP="4AA51CF6" w:rsidRDefault="00EB5AC6" w14:paraId="4DEC0859" w14:textId="77777777">
      <w:pPr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4AA51CF6">
        <w:rPr>
          <w:sz w:val="20"/>
          <w:szCs w:val="20"/>
        </w:rPr>
        <w:t xml:space="preserve">Odstranit překážky bránící rozvoji plně funkčního inovačního ekosystému. </w:t>
      </w:r>
    </w:p>
    <w:p w:rsidRPr="007A4BFB" w:rsidR="00EB5AC6" w:rsidP="4AA51CF6" w:rsidRDefault="00EB5AC6" w14:paraId="73090DD4" w14:textId="77777777">
      <w:pPr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4AA51CF6">
        <w:rPr>
          <w:sz w:val="20"/>
          <w:szCs w:val="20"/>
        </w:rPr>
        <w:t>Přijmout veškerá nutná opatření k účinnému řešení pandemie, k udržení ekonomiky a k podpoře následného oživení.</w:t>
      </w:r>
    </w:p>
    <w:p w:rsidRPr="007A4BFB" w:rsidR="00EB5AC6" w:rsidP="4AA51CF6" w:rsidRDefault="00EB5AC6" w14:paraId="3D647381" w14:textId="77777777">
      <w:pPr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4AA51CF6">
        <w:rPr>
          <w:sz w:val="20"/>
          <w:szCs w:val="20"/>
        </w:rPr>
        <w:t>Podpořit malé a střední podniky větším využíváním finančních nástrojů k zajištění podpory likvidity.</w:t>
      </w:r>
    </w:p>
    <w:p w:rsidRPr="007A4BFB" w:rsidR="00EB5AC6" w:rsidP="4AA51CF6" w:rsidRDefault="00EB5AC6" w14:paraId="51AFEE82" w14:textId="77777777">
      <w:pPr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4AA51CF6">
        <w:rPr>
          <w:sz w:val="20"/>
          <w:szCs w:val="20"/>
        </w:rPr>
        <w:t>Zaměřit investice na (...) digitální transformaci, zejména na (...) technologie.</w:t>
      </w:r>
    </w:p>
    <w:p w:rsidRPr="007A4BFB" w:rsidR="00EB5AC6" w:rsidP="4AA51CF6" w:rsidRDefault="00EB5AC6" w14:paraId="655DD87A" w14:textId="77777777">
      <w:pPr>
        <w:numPr>
          <w:ilvl w:val="0"/>
          <w:numId w:val="16"/>
        </w:numPr>
        <w:spacing w:after="120" w:line="240" w:lineRule="auto"/>
        <w:jc w:val="both"/>
        <w:rPr>
          <w:sz w:val="20"/>
          <w:szCs w:val="20"/>
        </w:rPr>
      </w:pPr>
      <w:r w:rsidRPr="4AA51CF6">
        <w:rPr>
          <w:sz w:val="20"/>
          <w:szCs w:val="20"/>
        </w:rPr>
        <w:t xml:space="preserve">Zajistit inovativním podnikům přístup k financování a zlepšit spolupráci veřejného a soukromého sektoru v oblasti výzkumu a vývoje. </w:t>
      </w:r>
    </w:p>
    <w:p w:rsidRPr="007A4BFB" w:rsidR="00EB5AC6" w:rsidP="4AA51CF6" w:rsidRDefault="00EB5AC6" w14:paraId="5C46A5B2" w14:textId="77777777">
      <w:pPr>
        <w:spacing w:before="180" w:after="180" w:line="240" w:lineRule="auto"/>
        <w:jc w:val="both"/>
        <w:rPr>
          <w:sz w:val="20"/>
          <w:szCs w:val="20"/>
        </w:rPr>
      </w:pPr>
      <w:r w:rsidRPr="4AA51CF6">
        <w:rPr>
          <w:sz w:val="20"/>
          <w:szCs w:val="20"/>
        </w:rPr>
        <w:t xml:space="preserve">Cíle komponenty proto odpovídají na hlavní obecné zaměření a na konkrétní doporučení EK. Komponenta je zaměřená na vznik a propojení digitálního ekosystému především je cílem: </w:t>
      </w:r>
    </w:p>
    <w:p w:rsidRPr="007A4BFB" w:rsidR="00EB5AC6" w:rsidP="4AA51CF6" w:rsidRDefault="00EB5AC6" w14:paraId="1D4F94A7" w14:textId="77777777">
      <w:pPr>
        <w:numPr>
          <w:ilvl w:val="0"/>
          <w:numId w:val="14"/>
        </w:numPr>
        <w:spacing w:after="0" w:line="240" w:lineRule="auto"/>
        <w:jc w:val="both"/>
        <w:rPr>
          <w:sz w:val="20"/>
          <w:szCs w:val="20"/>
        </w:rPr>
      </w:pPr>
      <w:r w:rsidRPr="4AA51CF6">
        <w:rPr>
          <w:sz w:val="20"/>
          <w:szCs w:val="20"/>
        </w:rPr>
        <w:t xml:space="preserve">Rapidně zvýšit intenzitu digitalizace a adopce nových technologií v podnicích, zejména SME, </w:t>
      </w:r>
    </w:p>
    <w:p w:rsidRPr="007A4BFB" w:rsidR="00EB5AC6" w:rsidP="4AA51CF6" w:rsidRDefault="00EB5AC6" w14:paraId="11068F3B" w14:textId="77777777">
      <w:pPr>
        <w:numPr>
          <w:ilvl w:val="0"/>
          <w:numId w:val="14"/>
        </w:numPr>
        <w:spacing w:after="0" w:line="240" w:lineRule="auto"/>
        <w:jc w:val="both"/>
        <w:rPr>
          <w:sz w:val="20"/>
          <w:szCs w:val="20"/>
        </w:rPr>
      </w:pPr>
      <w:r w:rsidRPr="4AA51CF6">
        <w:rPr>
          <w:sz w:val="20"/>
          <w:szCs w:val="20"/>
        </w:rPr>
        <w:t>Vybudovat řídící a celkovou infrastrukturu umožňující skokovou digitální transformaci,</w:t>
      </w:r>
    </w:p>
    <w:p w:rsidRPr="007A4BFB" w:rsidR="00EB5AC6" w:rsidP="4AA51CF6" w:rsidRDefault="00EB5AC6" w14:paraId="43B185A1" w14:textId="77777777">
      <w:pPr>
        <w:numPr>
          <w:ilvl w:val="0"/>
          <w:numId w:val="14"/>
        </w:numPr>
        <w:spacing w:after="0" w:line="240" w:lineRule="auto"/>
        <w:jc w:val="both"/>
        <w:rPr>
          <w:sz w:val="20"/>
          <w:szCs w:val="20"/>
        </w:rPr>
      </w:pPr>
      <w:r w:rsidRPr="4AA51CF6">
        <w:rPr>
          <w:sz w:val="20"/>
          <w:szCs w:val="20"/>
        </w:rPr>
        <w:t>Otevřít nové formy financování digitální transformace podniků, zejména SME,</w:t>
      </w:r>
    </w:p>
    <w:p w:rsidRPr="007A4BFB" w:rsidR="00EB5AC6" w:rsidP="4AA51CF6" w:rsidRDefault="00EB5AC6" w14:paraId="0C603800" w14:textId="77777777">
      <w:pPr>
        <w:numPr>
          <w:ilvl w:val="0"/>
          <w:numId w:val="14"/>
        </w:numPr>
        <w:spacing w:after="0" w:line="240" w:lineRule="auto"/>
        <w:jc w:val="both"/>
        <w:rPr>
          <w:sz w:val="20"/>
          <w:szCs w:val="20"/>
        </w:rPr>
      </w:pPr>
      <w:r w:rsidRPr="4AA51CF6">
        <w:rPr>
          <w:sz w:val="20"/>
          <w:szCs w:val="20"/>
        </w:rPr>
        <w:t>Monitorovat a reagovat na společenské dopady digitalizace,</w:t>
      </w:r>
    </w:p>
    <w:p w:rsidRPr="007A4BFB" w:rsidR="00EB5AC6" w:rsidP="4AA51CF6" w:rsidRDefault="00EB5AC6" w14:paraId="6251088D" w14:textId="77777777">
      <w:pPr>
        <w:numPr>
          <w:ilvl w:val="0"/>
          <w:numId w:val="14"/>
        </w:numPr>
        <w:spacing w:after="0" w:line="240" w:lineRule="auto"/>
        <w:jc w:val="both"/>
        <w:rPr>
          <w:sz w:val="20"/>
          <w:szCs w:val="20"/>
        </w:rPr>
      </w:pPr>
      <w:r w:rsidRPr="4AA51CF6">
        <w:rPr>
          <w:sz w:val="20"/>
          <w:szCs w:val="20"/>
        </w:rPr>
        <w:t>Podpořit rozvoj klíčových a strategických technologií, zejména umělé inteligence,</w:t>
      </w:r>
    </w:p>
    <w:p w:rsidRPr="007A4BFB" w:rsidR="00EB5AC6" w:rsidP="4AA51CF6" w:rsidRDefault="00EB5AC6" w14:paraId="59C1FE09" w14:textId="77777777">
      <w:pPr>
        <w:numPr>
          <w:ilvl w:val="0"/>
          <w:numId w:val="14"/>
        </w:numPr>
        <w:spacing w:after="0" w:line="240" w:lineRule="auto"/>
        <w:jc w:val="both"/>
        <w:rPr>
          <w:sz w:val="20"/>
          <w:szCs w:val="20"/>
        </w:rPr>
      </w:pPr>
      <w:r w:rsidRPr="4AA51CF6">
        <w:rPr>
          <w:sz w:val="20"/>
          <w:szCs w:val="20"/>
        </w:rPr>
        <w:t xml:space="preserve">Podpořit rozvoj inovačního ekosystému, zejména pak inovativních </w:t>
      </w:r>
      <w:proofErr w:type="spellStart"/>
      <w:r w:rsidRPr="4AA51CF6">
        <w:rPr>
          <w:sz w:val="20"/>
          <w:szCs w:val="20"/>
        </w:rPr>
        <w:t>startupů</w:t>
      </w:r>
      <w:proofErr w:type="spellEnd"/>
      <w:r w:rsidRPr="4AA51CF6">
        <w:rPr>
          <w:sz w:val="20"/>
          <w:szCs w:val="20"/>
        </w:rPr>
        <w:t>,</w:t>
      </w:r>
    </w:p>
    <w:p w:rsidR="00EB5AC6" w:rsidP="4AA51CF6" w:rsidRDefault="00EB5AC6" w14:paraId="023B7FEE" w14:textId="77777777">
      <w:pPr>
        <w:numPr>
          <w:ilvl w:val="0"/>
          <w:numId w:val="14"/>
        </w:numPr>
        <w:spacing w:after="0" w:line="240" w:lineRule="auto"/>
        <w:jc w:val="both"/>
        <w:rPr>
          <w:sz w:val="20"/>
          <w:szCs w:val="20"/>
        </w:rPr>
      </w:pPr>
      <w:r w:rsidRPr="4AA51CF6">
        <w:rPr>
          <w:sz w:val="20"/>
          <w:szCs w:val="20"/>
        </w:rPr>
        <w:t>Pomoci vybudovat v Česku nové digitální šampiony.</w:t>
      </w:r>
    </w:p>
    <w:p w:rsidRPr="00A63654" w:rsidR="00EB5AC6" w:rsidP="4AA51CF6" w:rsidRDefault="00EB5AC6" w14:paraId="3FA78D13" w14:textId="77777777">
      <w:pPr>
        <w:spacing w:after="0" w:line="240" w:lineRule="auto"/>
        <w:jc w:val="both"/>
        <w:rPr>
          <w:sz w:val="20"/>
          <w:szCs w:val="20"/>
        </w:rPr>
      </w:pPr>
    </w:p>
    <w:p w:rsidRPr="00A63654" w:rsidR="00EB5AC6" w:rsidP="4AA51CF6" w:rsidRDefault="00EB5AC6" w14:paraId="19DBF3EA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sz w:val="20"/>
          <w:szCs w:val="20"/>
        </w:rPr>
      </w:pPr>
      <w:r w:rsidRPr="4AA51CF6">
        <w:rPr>
          <w:sz w:val="20"/>
          <w:szCs w:val="20"/>
        </w:rPr>
        <w:t xml:space="preserve">Cílem podpory strategického průmyslu je především diverzifikace silné závislosti na jednom průmyslovém oboru a zároveň využití silných stránek struktury výroby v ČR. Nutností je vybudování infrastruktury potřebné pro vytváření digitálních modelů výroby, aby došlo k efektivnímu nastavení výroby s vysokou produktivitou. Zároveň pro toto je nutné nastavení dalších podmínek umožňujících sběr dat pro vytváření a využívání modelů (digitálních dvojčat) do reálného světa. Zároveň s tím je nutno uvést, že komplementární produkcí je vývoj a výroba </w:t>
      </w:r>
      <w:proofErr w:type="spellStart"/>
      <w:r w:rsidRPr="4AA51CF6">
        <w:rPr>
          <w:sz w:val="20"/>
          <w:szCs w:val="20"/>
        </w:rPr>
        <w:t>dronů</w:t>
      </w:r>
      <w:proofErr w:type="spellEnd"/>
      <w:r w:rsidRPr="4AA51CF6">
        <w:rPr>
          <w:sz w:val="20"/>
          <w:szCs w:val="20"/>
        </w:rPr>
        <w:t xml:space="preserve"> a podobných produktů pro </w:t>
      </w:r>
      <w:r w:rsidRPr="4AA51CF6">
        <w:rPr>
          <w:sz w:val="20"/>
          <w:szCs w:val="20"/>
        </w:rPr>
        <w:lastRenderedPageBreak/>
        <w:t>civilní a vojenské účely, které mohou být využity pro řešení dalších společenských otázek jako např. sběr dat pro zachování vody v krajině, katastrální a další oblasti.</w:t>
      </w:r>
    </w:p>
    <w:p w:rsidR="00EB5AC6" w:rsidP="4AA51CF6" w:rsidRDefault="00EB5AC6" w14:paraId="2629129B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sz w:val="20"/>
          <w:szCs w:val="20"/>
        </w:rPr>
      </w:pPr>
      <w:r w:rsidRPr="4AA51CF6">
        <w:rPr>
          <w:sz w:val="20"/>
          <w:szCs w:val="20"/>
        </w:rPr>
        <w:t xml:space="preserve">Díky této podpoře bude možné vytvářet důležité a náročné </w:t>
      </w:r>
      <w:proofErr w:type="gramStart"/>
      <w:r w:rsidRPr="4AA51CF6">
        <w:rPr>
          <w:sz w:val="20"/>
          <w:szCs w:val="20"/>
        </w:rPr>
        <w:t>3D</w:t>
      </w:r>
      <w:proofErr w:type="gramEnd"/>
      <w:r w:rsidRPr="4AA51CF6">
        <w:rPr>
          <w:sz w:val="20"/>
          <w:szCs w:val="20"/>
        </w:rPr>
        <w:t xml:space="preserve"> výpočty a celkové urychlení komplexních </w:t>
      </w:r>
      <w:proofErr w:type="spellStart"/>
      <w:r w:rsidRPr="4AA51CF6">
        <w:rPr>
          <w:sz w:val="20"/>
          <w:szCs w:val="20"/>
        </w:rPr>
        <w:t>multifyzikálních</w:t>
      </w:r>
      <w:proofErr w:type="spellEnd"/>
      <w:r w:rsidRPr="4AA51CF6">
        <w:rPr>
          <w:sz w:val="20"/>
          <w:szCs w:val="20"/>
        </w:rPr>
        <w:t xml:space="preserve"> simulací. Dále se očekává kvalitativní skok v počítačovém řízení a rychlé predikce na základě jeho modelu. Kvantové počítání může znamenat kvalitativní skok z dnešních výpočtů trvajících dlouho do náročných výpočtů v reálném čase. V neposlední řadě také předpokládá vytvoření prostředí pro přenos dat nejen z výzkumu, ale také zabezpečené rychlé komunikace pro celkovou bezpečnost ČR.</w:t>
      </w:r>
    </w:p>
    <w:p w:rsidR="00EB5AC6" w:rsidP="4AA51CF6" w:rsidRDefault="00EB5AC6" w14:paraId="10BB7970" w14:textId="77777777">
      <w:pPr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jc w:val="both"/>
        <w:rPr>
          <w:sz w:val="20"/>
          <w:szCs w:val="20"/>
        </w:rPr>
      </w:pPr>
      <w:r w:rsidRPr="4AA51CF6">
        <w:rPr>
          <w:sz w:val="20"/>
          <w:szCs w:val="20"/>
        </w:rPr>
        <w:t xml:space="preserve">Tato a navazující komponenta také plně korespondují a úzce se doplňují s Programem Digitální Evropa, který pomůže evropským podnikům, zejména menším podnikům, využívat rozsáhlých příležitostí, jež s sebou přináší digitální transformace, rozvíjet se a získat konkurenční výhodu. A to zejména pokud jde o umělou inteligenci, vysoce výkonnou výpočetní techniku a </w:t>
      </w:r>
      <w:proofErr w:type="spellStart"/>
      <w:r w:rsidRPr="4AA51CF6">
        <w:rPr>
          <w:sz w:val="20"/>
          <w:szCs w:val="20"/>
        </w:rPr>
        <w:t>cloud</w:t>
      </w:r>
      <w:proofErr w:type="spellEnd"/>
      <w:r w:rsidRPr="4AA51CF6">
        <w:rPr>
          <w:sz w:val="20"/>
          <w:szCs w:val="20"/>
        </w:rPr>
        <w:t xml:space="preserve"> </w:t>
      </w:r>
      <w:proofErr w:type="spellStart"/>
      <w:r w:rsidRPr="4AA51CF6">
        <w:rPr>
          <w:sz w:val="20"/>
          <w:szCs w:val="20"/>
        </w:rPr>
        <w:t>computing</w:t>
      </w:r>
      <w:proofErr w:type="spellEnd"/>
      <w:r w:rsidRPr="4AA51CF6">
        <w:rPr>
          <w:sz w:val="20"/>
          <w:szCs w:val="20"/>
        </w:rPr>
        <w:t>, analýzy velkých objemů dat a kybernetickou bezpečnost. Dále pak částečně i s programem Horizont Evropa pro výzkum a inovace (2021–2027) k posílení vědeckotechnické základny EU a Evropského výzkumného prostoru, ke zvýšení inovační kapacity, konkurenceschopnosti a tvorby pracovních míst v Evropě k plnění priorit občanů a udržení našeho sociálně-ekonomického modelu a hodnot. Samozřejmé je respektování a naplňování rovných příležitostí žen, mužů, LGBTI+ a všech příslušníků menšin.</w:t>
      </w:r>
    </w:p>
    <w:p w:rsidRPr="007A4BFB" w:rsidR="00EB5AC6" w:rsidP="4AA51CF6" w:rsidRDefault="00EB5AC6" w14:paraId="032E68DA" w14:textId="77777777">
      <w:pPr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jc w:val="both"/>
        <w:rPr>
          <w:sz w:val="20"/>
          <w:szCs w:val="20"/>
        </w:rPr>
      </w:pPr>
    </w:p>
    <w:p w:rsidR="4AA51CF6" w:rsidP="4AA51CF6" w:rsidRDefault="4AA51CF6" w14:paraId="250976E7" w14:textId="0C290653">
      <w:pPr>
        <w:spacing w:before="200" w:after="120" w:line="240" w:lineRule="auto"/>
        <w:jc w:val="both"/>
        <w:rPr>
          <w:sz w:val="20"/>
          <w:szCs w:val="20"/>
        </w:rPr>
      </w:pPr>
    </w:p>
    <w:p w:rsidRPr="007A4BFB" w:rsidR="00EB5AC6" w:rsidP="4AA51CF6" w:rsidRDefault="00EB5AC6" w14:paraId="26791849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b/>
          <w:bCs/>
          <w:color w:val="000000"/>
          <w:sz w:val="20"/>
          <w:szCs w:val="20"/>
        </w:rPr>
      </w:pPr>
      <w:r w:rsidRPr="4AA51CF6">
        <w:rPr>
          <w:b/>
          <w:bCs/>
          <w:color w:val="000000" w:themeColor="text1"/>
          <w:sz w:val="20"/>
          <w:szCs w:val="20"/>
        </w:rPr>
        <w:t>c) Národní strategický kontext</w:t>
      </w:r>
    </w:p>
    <w:p w:rsidRPr="007A4BFB" w:rsidR="00EB5AC6" w:rsidP="4AA51CF6" w:rsidRDefault="00EB5AC6" w14:paraId="0EA57EFE" w14:textId="7777777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sz w:val="20"/>
          <w:szCs w:val="20"/>
        </w:rPr>
      </w:pPr>
      <w:r w:rsidRPr="4AA51CF6">
        <w:rPr>
          <w:sz w:val="20"/>
          <w:szCs w:val="20"/>
        </w:rPr>
        <w:t xml:space="preserve">Inovační strategie ČR 2019-2030 a Program Country </w:t>
      </w:r>
      <w:proofErr w:type="spellStart"/>
      <w:r w:rsidRPr="4AA51CF6">
        <w:rPr>
          <w:sz w:val="20"/>
          <w:szCs w:val="20"/>
        </w:rPr>
        <w:t>for</w:t>
      </w:r>
      <w:proofErr w:type="spellEnd"/>
      <w:r w:rsidRPr="4AA51CF6">
        <w:rPr>
          <w:sz w:val="20"/>
          <w:szCs w:val="20"/>
        </w:rPr>
        <w:t xml:space="preserve"> </w:t>
      </w:r>
      <w:proofErr w:type="spellStart"/>
      <w:r w:rsidRPr="4AA51CF6">
        <w:rPr>
          <w:sz w:val="20"/>
          <w:szCs w:val="20"/>
        </w:rPr>
        <w:t>the</w:t>
      </w:r>
      <w:proofErr w:type="spellEnd"/>
      <w:r w:rsidRPr="4AA51CF6">
        <w:rPr>
          <w:sz w:val="20"/>
          <w:szCs w:val="20"/>
        </w:rPr>
        <w:t xml:space="preserve"> </w:t>
      </w:r>
      <w:proofErr w:type="spellStart"/>
      <w:r w:rsidRPr="4AA51CF6">
        <w:rPr>
          <w:sz w:val="20"/>
          <w:szCs w:val="20"/>
        </w:rPr>
        <w:t>Future</w:t>
      </w:r>
      <w:proofErr w:type="spellEnd"/>
      <w:r w:rsidRPr="4AA51CF6">
        <w:rPr>
          <w:sz w:val="20"/>
          <w:szCs w:val="20"/>
        </w:rPr>
        <w:t>.</w:t>
      </w:r>
    </w:p>
    <w:p w:rsidRPr="007A4BFB" w:rsidR="00EB5AC6" w:rsidP="4AA51CF6" w:rsidRDefault="00EB5AC6" w14:paraId="7E0591EA" w14:textId="7777777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sz w:val="20"/>
          <w:szCs w:val="20"/>
        </w:rPr>
      </w:pPr>
      <w:r w:rsidRPr="4AA51CF6">
        <w:rPr>
          <w:sz w:val="20"/>
          <w:szCs w:val="20"/>
        </w:rPr>
        <w:t>Strategie Digitální Česko – koncepce Digitální ekonomika a společnost,</w:t>
      </w:r>
    </w:p>
    <w:p w:rsidR="00EB5AC6" w:rsidP="4AA51CF6" w:rsidRDefault="00EB5AC6" w14:paraId="36BBAE54" w14:textId="7777777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sz w:val="20"/>
          <w:szCs w:val="20"/>
        </w:rPr>
      </w:pPr>
      <w:r w:rsidRPr="4AA51CF6">
        <w:rPr>
          <w:sz w:val="20"/>
          <w:szCs w:val="20"/>
        </w:rPr>
        <w:t>Národní strategie umělé inteligence v ČR,</w:t>
      </w:r>
    </w:p>
    <w:p w:rsidRPr="00466612" w:rsidR="00EB5AC6" w:rsidP="4AA51CF6" w:rsidRDefault="00EB5AC6" w14:paraId="591B8AC8" w14:textId="7777777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sz w:val="20"/>
          <w:szCs w:val="20"/>
        </w:rPr>
      </w:pPr>
      <w:r w:rsidRPr="4AA51CF6">
        <w:rPr>
          <w:sz w:val="20"/>
          <w:szCs w:val="20"/>
        </w:rPr>
        <w:t>Národní výzkumná a inovační strategie pro inteligentní specializaci ČR 2021-2027,</w:t>
      </w:r>
    </w:p>
    <w:p w:rsidRPr="007A4BFB" w:rsidR="00EB5AC6" w:rsidP="4AA51CF6" w:rsidRDefault="00EB5AC6" w14:paraId="10A7F253" w14:textId="7777777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sz w:val="20"/>
          <w:szCs w:val="20"/>
        </w:rPr>
      </w:pPr>
      <w:r w:rsidRPr="4AA51CF6">
        <w:rPr>
          <w:sz w:val="20"/>
          <w:szCs w:val="20"/>
        </w:rPr>
        <w:t>Koncepce rozvoje kapitálového trhu v ČR,</w:t>
      </w:r>
    </w:p>
    <w:p w:rsidRPr="007A4BFB" w:rsidR="00EB5AC6" w:rsidP="4AA51CF6" w:rsidRDefault="00EB5AC6" w14:paraId="16082190" w14:textId="7777777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sz w:val="20"/>
          <w:szCs w:val="20"/>
        </w:rPr>
      </w:pPr>
      <w:r w:rsidRPr="4AA51CF6">
        <w:rPr>
          <w:sz w:val="20"/>
          <w:szCs w:val="20"/>
        </w:rPr>
        <w:t>Strategie podpory malých a středních podniků v České republice pro období 2021–2027,</w:t>
      </w:r>
    </w:p>
    <w:p w:rsidRPr="007A4BFB" w:rsidR="00EB5AC6" w:rsidP="4AA51CF6" w:rsidRDefault="00EB5AC6" w14:paraId="50FC48C2" w14:textId="7777777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sz w:val="20"/>
          <w:szCs w:val="20"/>
        </w:rPr>
      </w:pPr>
      <w:r w:rsidRPr="4AA51CF6">
        <w:rPr>
          <w:sz w:val="20"/>
          <w:szCs w:val="20"/>
        </w:rPr>
        <w:t>Investice prostřednictvím OP P</w:t>
      </w:r>
      <w:r w:rsidRPr="4AA51CF6">
        <w:rPr>
          <w:color w:val="000000" w:themeColor="text1"/>
          <w:sz w:val="20"/>
          <w:szCs w:val="20"/>
        </w:rPr>
        <w:t>IK 2014-2020 a OP TAK do digitálních projekt</w:t>
      </w:r>
      <w:r w:rsidRPr="4AA51CF6">
        <w:rPr>
          <w:sz w:val="20"/>
          <w:szCs w:val="20"/>
        </w:rPr>
        <w:t>ů.</w:t>
      </w:r>
    </w:p>
    <w:p w:rsidRPr="007A4BFB" w:rsidR="00EB5AC6" w:rsidP="4AA51CF6" w:rsidRDefault="00EB5AC6" w14:paraId="79802432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sz w:val="20"/>
          <w:szCs w:val="20"/>
        </w:rPr>
      </w:pPr>
    </w:p>
    <w:p w:rsidRPr="007A4BFB" w:rsidR="00EB5AC6" w:rsidP="4AA51CF6" w:rsidRDefault="71EC1E02" w14:paraId="43F99DAE" w14:textId="76846BE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b/>
          <w:bCs/>
          <w:color w:val="000000"/>
          <w:sz w:val="20"/>
          <w:szCs w:val="20"/>
        </w:rPr>
      </w:pPr>
      <w:r w:rsidRPr="4AA51CF6">
        <w:rPr>
          <w:b/>
          <w:bCs/>
          <w:color w:val="000000" w:themeColor="text1"/>
          <w:sz w:val="20"/>
          <w:szCs w:val="20"/>
        </w:rPr>
        <w:t xml:space="preserve">d) </w:t>
      </w:r>
      <w:r w:rsidRPr="4AA51CF6" w:rsidR="00EB5AC6">
        <w:rPr>
          <w:b/>
          <w:bCs/>
          <w:color w:val="000000" w:themeColor="text1"/>
          <w:sz w:val="20"/>
          <w:szCs w:val="20"/>
        </w:rPr>
        <w:t>Předchozí snahy</w:t>
      </w:r>
    </w:p>
    <w:p w:rsidRPr="007A4BFB" w:rsidR="00EB5AC6" w:rsidP="4AA51CF6" w:rsidRDefault="00EB5AC6" w14:paraId="5A22FE71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sz w:val="20"/>
          <w:szCs w:val="20"/>
        </w:rPr>
      </w:pPr>
      <w:r w:rsidRPr="4AA51CF6">
        <w:rPr>
          <w:sz w:val="20"/>
          <w:szCs w:val="20"/>
        </w:rPr>
        <w:t>Komponenta nejen navazuje na již existující předkrizové iniciativy, ale především je rozvíjí s ohledem na ekonomické a sociální dopady, především s ohledem na pomoc SME. V oblasti podpory rozšíření klíčových a strategických technologií a koncepčního rozvoje digitálního ekosystému v ČR je komponenta též v souladu s Národní RIS3 strategii 2021-2027. Reformy v rámci komponenty zahrnují aktivity pro digitální transformaci – od vytvoření infrastruktury v rámci Evropského ekosystému až po samotné programy podpory digitalizace. Navazují přitom na aktivity a strategické dokumenty na úrovni ČR a EU, kromě prioritní podpory SME, pak především podporu příslušných technologií, v čele s umělou inteligencí. Komponenta tak plně navazuje na priority EU, především v oblasti digitální agendy.</w:t>
      </w:r>
    </w:p>
    <w:p w:rsidRPr="007A4BFB" w:rsidR="007D49E4" w:rsidP="4AA51CF6" w:rsidRDefault="00603083" w14:paraId="00000048" w14:textId="7777777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b/>
          <w:bCs/>
          <w:color w:val="000000"/>
          <w:sz w:val="20"/>
          <w:szCs w:val="20"/>
        </w:rPr>
      </w:pPr>
      <w:r w:rsidRPr="4AA51CF6">
        <w:rPr>
          <w:b/>
          <w:bCs/>
          <w:color w:val="000000" w:themeColor="text1"/>
          <w:sz w:val="20"/>
          <w:szCs w:val="20"/>
        </w:rPr>
        <w:t xml:space="preserve">3. Popis reforem a investic komponenty </w:t>
      </w:r>
    </w:p>
    <w:p w:rsidR="00A52833" w:rsidP="4AA51CF6" w:rsidRDefault="00A52833" w14:paraId="525BB202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b/>
          <w:bCs/>
          <w:color w:val="000000"/>
          <w:sz w:val="20"/>
          <w:szCs w:val="20"/>
        </w:rPr>
      </w:pPr>
    </w:p>
    <w:p w:rsidRPr="007A4BFB" w:rsidR="007D49E4" w:rsidP="4AA51CF6" w:rsidRDefault="00603083" w14:paraId="0000004A" w14:textId="5162B23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b/>
          <w:bCs/>
          <w:color w:val="000000"/>
          <w:sz w:val="20"/>
          <w:szCs w:val="20"/>
        </w:rPr>
      </w:pPr>
      <w:r w:rsidRPr="4AA51CF6">
        <w:rPr>
          <w:b/>
          <w:bCs/>
          <w:color w:val="000000" w:themeColor="text1"/>
          <w:sz w:val="20"/>
          <w:szCs w:val="20"/>
        </w:rPr>
        <w:t>a) Popis reforem</w:t>
      </w:r>
    </w:p>
    <w:p w:rsidR="00A52833" w:rsidP="4AA51CF6" w:rsidRDefault="00623093" w14:paraId="0F9C7DD4" w14:textId="0633D0F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sz w:val="20"/>
          <w:szCs w:val="20"/>
        </w:rPr>
      </w:pPr>
      <w:r w:rsidRPr="4AA51CF6">
        <w:rPr>
          <w:sz w:val="20"/>
          <w:szCs w:val="20"/>
        </w:rPr>
        <w:t xml:space="preserve">Společnou ambicí všech reforem v rámci komponenty je především pomoci rychlému znovuoživení ekonomiky. </w:t>
      </w:r>
      <w:r w:rsidRPr="4AA51CF6" w:rsidR="00466612">
        <w:rPr>
          <w:sz w:val="20"/>
          <w:szCs w:val="20"/>
        </w:rPr>
        <w:t xml:space="preserve">Trojice </w:t>
      </w:r>
      <w:r w:rsidRPr="4AA51CF6" w:rsidR="00DD0E46">
        <w:rPr>
          <w:sz w:val="20"/>
          <w:szCs w:val="20"/>
        </w:rPr>
        <w:t xml:space="preserve">na sebe navazujících </w:t>
      </w:r>
      <w:r w:rsidRPr="4AA51CF6" w:rsidR="00466612">
        <w:rPr>
          <w:sz w:val="20"/>
          <w:szCs w:val="20"/>
        </w:rPr>
        <w:t xml:space="preserve">reforem v rámci této komponenty </w:t>
      </w:r>
      <w:r w:rsidRPr="4AA51CF6" w:rsidR="00DD0E46">
        <w:rPr>
          <w:sz w:val="20"/>
          <w:szCs w:val="20"/>
        </w:rPr>
        <w:t xml:space="preserve">(1.4) a reforma v rámci následující komponenty (1.5) </w:t>
      </w:r>
      <w:r w:rsidRPr="4AA51CF6" w:rsidR="00466612">
        <w:rPr>
          <w:sz w:val="20"/>
          <w:szCs w:val="20"/>
        </w:rPr>
        <w:t>pokrýv</w:t>
      </w:r>
      <w:r w:rsidRPr="4AA51CF6" w:rsidR="00DD0E46">
        <w:rPr>
          <w:sz w:val="20"/>
          <w:szCs w:val="20"/>
        </w:rPr>
        <w:t>ají</w:t>
      </w:r>
      <w:r w:rsidRPr="4AA51CF6" w:rsidR="00466612">
        <w:rPr>
          <w:sz w:val="20"/>
          <w:szCs w:val="20"/>
        </w:rPr>
        <w:t xml:space="preserve"> celé spektrum digitální transformace ekonomiky, která je jedním z hlavních nástrojů obnovy a zvýšení konkurenceschopnosti podniků, především SME. </w:t>
      </w:r>
      <w:r w:rsidRPr="4AA51CF6">
        <w:rPr>
          <w:sz w:val="20"/>
          <w:szCs w:val="20"/>
        </w:rPr>
        <w:t>Vzájemná návaznost reforem a investic je znázorněna na diagramu níže:</w:t>
      </w:r>
    </w:p>
    <w:p w:rsidR="0017667B" w:rsidP="4AA51CF6" w:rsidRDefault="0017667B" w14:paraId="0CE4A159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sz w:val="20"/>
          <w:szCs w:val="20"/>
        </w:rPr>
      </w:pPr>
    </w:p>
    <w:p w:rsidR="00466612" w:rsidP="4AA51CF6" w:rsidRDefault="0017667B" w14:paraId="61B9E2F0" w14:textId="62133F9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b/>
          <w:bCs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177A5EF1" wp14:editId="5B6A8D2C">
            <wp:extent cx="6120130" cy="3463925"/>
            <wp:effectExtent l="0" t="0" r="1270" b="3175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6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52833" w:rsidR="00454475" w:rsidP="4AA51CF6" w:rsidRDefault="00454475" w14:paraId="353C62A3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b/>
          <w:bCs/>
          <w:sz w:val="20"/>
          <w:szCs w:val="20"/>
        </w:rPr>
      </w:pPr>
    </w:p>
    <w:p w:rsidR="0017667B" w:rsidP="4AA51CF6" w:rsidRDefault="0017667B" w14:paraId="5C1130F4" w14:textId="1D967B94">
      <w:pPr>
        <w:spacing w:line="240" w:lineRule="auto"/>
        <w:rPr>
          <w:b/>
          <w:bCs/>
          <w:sz w:val="20"/>
          <w:szCs w:val="20"/>
        </w:rPr>
      </w:pPr>
    </w:p>
    <w:p w:rsidRPr="00A52833" w:rsidR="007D49E4" w:rsidP="4AA51CF6" w:rsidRDefault="00A52833" w14:paraId="0000004C" w14:textId="5A089B4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b/>
          <w:bCs/>
          <w:sz w:val="20"/>
          <w:szCs w:val="20"/>
        </w:rPr>
      </w:pPr>
      <w:r w:rsidRPr="4EAC0756">
        <w:rPr>
          <w:b/>
          <w:bCs/>
          <w:sz w:val="20"/>
          <w:szCs w:val="20"/>
        </w:rPr>
        <w:t>1.</w:t>
      </w:r>
      <w:r w:rsidRPr="4EAC0756" w:rsidR="0097007C">
        <w:rPr>
          <w:b/>
          <w:bCs/>
          <w:sz w:val="20"/>
          <w:szCs w:val="20"/>
        </w:rPr>
        <w:t xml:space="preserve"> </w:t>
      </w:r>
      <w:r w:rsidRPr="4EAC0756">
        <w:rPr>
          <w:b/>
          <w:bCs/>
          <w:sz w:val="20"/>
          <w:szCs w:val="20"/>
        </w:rPr>
        <w:t>Institucionální reforma systému koordinace a podpory digitální agendy a digitální transformace, vč.</w:t>
      </w:r>
      <w:r w:rsidRPr="4EAC0756" w:rsidR="6117E6D1">
        <w:rPr>
          <w:b/>
          <w:bCs/>
          <w:sz w:val="20"/>
          <w:szCs w:val="20"/>
        </w:rPr>
        <w:t xml:space="preserve"> strategie</w:t>
      </w:r>
      <w:r w:rsidRPr="4EAC0756">
        <w:rPr>
          <w:b/>
          <w:bCs/>
          <w:sz w:val="20"/>
          <w:szCs w:val="20"/>
        </w:rPr>
        <w:t xml:space="preserve"> RIS 3 - řídící aktivita</w:t>
      </w:r>
    </w:p>
    <w:tbl>
      <w:tblPr>
        <w:tblStyle w:val="a"/>
        <w:tblW w:w="96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7223"/>
      </w:tblGrid>
      <w:tr w:rsidRPr="007A4BFB" w:rsidR="007D49E4" w:rsidTr="22001951" w14:paraId="554D5086" w14:textId="77777777">
        <w:tc>
          <w:tcPr>
            <w:tcW w:w="2405" w:type="dxa"/>
            <w:tcMar/>
          </w:tcPr>
          <w:p w:rsidRPr="007A4BFB" w:rsidR="007D49E4" w:rsidP="4AA51CF6" w:rsidRDefault="00603083" w14:paraId="0000004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0"/>
                <w:szCs w:val="20"/>
              </w:rPr>
            </w:pPr>
            <w:r w:rsidRPr="4AA51CF6">
              <w:rPr>
                <w:color w:val="000000" w:themeColor="text1"/>
                <w:sz w:val="20"/>
                <w:szCs w:val="20"/>
              </w:rPr>
              <w:t>Výzva</w:t>
            </w:r>
          </w:p>
        </w:tc>
        <w:tc>
          <w:tcPr>
            <w:tcW w:w="7223" w:type="dxa"/>
            <w:tcMar/>
          </w:tcPr>
          <w:p w:rsidRPr="007A4BFB" w:rsidR="007D49E4" w:rsidP="4EAC0756" w:rsidRDefault="2B932E34" w14:paraId="5BBE411D" w14:textId="6D150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sz w:val="20"/>
                <w:szCs w:val="20"/>
              </w:rPr>
            </w:pPr>
            <w:r w:rsidRPr="4EAC0756">
              <w:rPr>
                <w:sz w:val="20"/>
                <w:szCs w:val="20"/>
              </w:rPr>
              <w:t xml:space="preserve">Cílem nástroje pro obnovu a odolnost (RRF) je zmírnit hospodářský a sociální dopad opatření přijatých proti pandemii </w:t>
            </w:r>
            <w:proofErr w:type="spellStart"/>
            <w:r w:rsidRPr="4EAC0756" w:rsidR="00A67E3E">
              <w:rPr>
                <w:sz w:val="20"/>
                <w:szCs w:val="20"/>
              </w:rPr>
              <w:t>koronaviru</w:t>
            </w:r>
            <w:proofErr w:type="spellEnd"/>
            <w:r w:rsidRPr="4EAC0756" w:rsidR="00A67E3E">
              <w:rPr>
                <w:sz w:val="20"/>
                <w:szCs w:val="20"/>
              </w:rPr>
              <w:t xml:space="preserve"> </w:t>
            </w:r>
            <w:r w:rsidRPr="4EAC0756">
              <w:rPr>
                <w:sz w:val="20"/>
                <w:szCs w:val="20"/>
              </w:rPr>
              <w:t xml:space="preserve">a zajistit, aby byly evropské ekonomiky a společnosti lépe připraveny na zelený a digitální přechod. Samotná Komise uvádí, že RRF má potenciál být “game </w:t>
            </w:r>
            <w:proofErr w:type="spellStart"/>
            <w:r w:rsidRPr="4EAC0756">
              <w:rPr>
                <w:sz w:val="20"/>
                <w:szCs w:val="20"/>
              </w:rPr>
              <w:t>changer</w:t>
            </w:r>
            <w:proofErr w:type="spellEnd"/>
            <w:r w:rsidRPr="4EAC0756">
              <w:rPr>
                <w:sz w:val="20"/>
                <w:szCs w:val="20"/>
              </w:rPr>
              <w:t xml:space="preserve">” v oblasti umělé inteligence a automatizace podniků. Pro koordinaci jednotlivých kroků digitální transformace ekonomiky zasažené </w:t>
            </w:r>
            <w:proofErr w:type="spellStart"/>
            <w:r w:rsidRPr="4EAC0756">
              <w:rPr>
                <w:sz w:val="20"/>
                <w:szCs w:val="20"/>
              </w:rPr>
              <w:t>koronavirovou</w:t>
            </w:r>
            <w:proofErr w:type="spellEnd"/>
            <w:r w:rsidRPr="4EAC0756">
              <w:rPr>
                <w:sz w:val="20"/>
                <w:szCs w:val="20"/>
              </w:rPr>
              <w:t xml:space="preserve"> krizí je třeba </w:t>
            </w:r>
            <w:r w:rsidRPr="4EAC0756" w:rsidR="00466612">
              <w:rPr>
                <w:sz w:val="20"/>
                <w:szCs w:val="20"/>
              </w:rPr>
              <w:t xml:space="preserve">reformovat existující systém a </w:t>
            </w:r>
            <w:r w:rsidRPr="4EAC0756">
              <w:rPr>
                <w:sz w:val="20"/>
                <w:szCs w:val="20"/>
              </w:rPr>
              <w:t xml:space="preserve">Výbor pro digitální </w:t>
            </w:r>
            <w:r w:rsidRPr="4EAC0756" w:rsidR="00466612">
              <w:rPr>
                <w:sz w:val="20"/>
                <w:szCs w:val="20"/>
              </w:rPr>
              <w:t>ekonomiku a společnost</w:t>
            </w:r>
            <w:r w:rsidRPr="4EAC0756" w:rsidR="00DD0E46">
              <w:rPr>
                <w:sz w:val="20"/>
                <w:szCs w:val="20"/>
              </w:rPr>
              <w:t xml:space="preserve"> řídící pilíř Digitální ekonomika a společnost – strategie Digitální Česko</w:t>
            </w:r>
            <w:r w:rsidRPr="4EAC0756">
              <w:rPr>
                <w:sz w:val="20"/>
                <w:szCs w:val="20"/>
              </w:rPr>
              <w:t xml:space="preserve">. Celý nově vzniklý robustní systém, digitální transformace </w:t>
            </w:r>
            <w:r w:rsidRPr="4EAC0756" w:rsidR="00466612">
              <w:rPr>
                <w:sz w:val="20"/>
                <w:szCs w:val="20"/>
              </w:rPr>
              <w:t>ekonomiky</w:t>
            </w:r>
            <w:r w:rsidRPr="4EAC0756">
              <w:rPr>
                <w:sz w:val="20"/>
                <w:szCs w:val="20"/>
              </w:rPr>
              <w:t xml:space="preserve"> musí být navázán na systém podpory identifikace a šíření perspektivních technologií, zvyšování digitálních dovedností a využívání inovačního potenciálu českého průmyslového i akademického prostředí.</w:t>
            </w:r>
          </w:p>
          <w:p w:rsidRPr="007A4BFB" w:rsidR="007D49E4" w:rsidP="4EAC0756" w:rsidRDefault="5716DF8D" w14:paraId="35106B74" w14:textId="2C745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sz w:val="20"/>
                <w:szCs w:val="20"/>
              </w:rPr>
            </w:pPr>
            <w:r w:rsidRPr="4EAC0756">
              <w:rPr>
                <w:sz w:val="20"/>
                <w:szCs w:val="20"/>
              </w:rPr>
              <w:t>Je třeba zdůra</w:t>
            </w:r>
            <w:r w:rsidRPr="4EAC0756" w:rsidR="5BB5E4E6">
              <w:rPr>
                <w:sz w:val="20"/>
                <w:szCs w:val="20"/>
              </w:rPr>
              <w:t>znit, že ú</w:t>
            </w:r>
            <w:r w:rsidRPr="4EAC0756">
              <w:rPr>
                <w:sz w:val="20"/>
                <w:szCs w:val="20"/>
              </w:rPr>
              <w:t xml:space="preserve">spěšné české technologické společnosti, které se prosadily ve světovém kontextu, dosahují věkem až na počátek devadesátých let. Jedním z klíčových důvodů je přitom nedostatek likvidity, který se projevuje v určitých segmentech evropského i českého trhu v oblasti investic a podpory inovací. Navíc od počátku krize se objem investic rizikového kapitálu propadl zatím o 12 procent v meziměsíčním srovnání oproti roku 2019. Lze očekávat, že nedostatek likvidity v některých segmentech může krize jen prohloubit, a to především v oblasti úplného počátku technologických </w:t>
            </w:r>
            <w:proofErr w:type="spellStart"/>
            <w:r w:rsidRPr="4EAC0756">
              <w:rPr>
                <w:sz w:val="20"/>
                <w:szCs w:val="20"/>
              </w:rPr>
              <w:t>startupů</w:t>
            </w:r>
            <w:proofErr w:type="spellEnd"/>
            <w:r w:rsidRPr="4EAC0756">
              <w:rPr>
                <w:sz w:val="20"/>
                <w:szCs w:val="20"/>
              </w:rPr>
              <w:t>, kde se míra selhání pohybuje minimálně na třetině zainvestovaných projektů. Je proto vhodné nabídnout alternativy k tradičnímu investičnímu financování, zejména s ohledem na snížení míry rizika, která může v nadcházejícím období vzrůst na úroveň, kdy nebude řada jinak potenciálně velmi úspěšných projektů financována, a to zejména právě v kapitálově náročných strategických odvětvích a oborech.</w:t>
            </w:r>
          </w:p>
          <w:p w:rsidRPr="007A4BFB" w:rsidR="007D49E4" w:rsidP="4EAC0756" w:rsidRDefault="5716DF8D" w14:paraId="55BB07D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sz w:val="20"/>
                <w:szCs w:val="20"/>
              </w:rPr>
            </w:pPr>
            <w:r w:rsidRPr="4EAC0756">
              <w:rPr>
                <w:sz w:val="20"/>
                <w:szCs w:val="20"/>
              </w:rPr>
              <w:t xml:space="preserve">Na podporu začínajících podniků plánuje Evropská Komise spustit investiční schéma pro vybrané technologie, zejména AI a </w:t>
            </w:r>
            <w:proofErr w:type="spellStart"/>
            <w:r w:rsidRPr="4EAC0756">
              <w:rPr>
                <w:sz w:val="20"/>
                <w:szCs w:val="20"/>
              </w:rPr>
              <w:t>blockchain</w:t>
            </w:r>
            <w:proofErr w:type="spellEnd"/>
            <w:r w:rsidRPr="4EAC0756">
              <w:rPr>
                <w:sz w:val="20"/>
                <w:szCs w:val="20"/>
              </w:rPr>
              <w:t xml:space="preserve">. První fáze programu proběhla v letech </w:t>
            </w:r>
            <w:r w:rsidRPr="4EAC0756">
              <w:rPr>
                <w:sz w:val="20"/>
                <w:szCs w:val="20"/>
              </w:rPr>
              <w:lastRenderedPageBreak/>
              <w:t>2020–2021. Komise tak již poskytla 100 milionů euro v rámci programu Horizont 2020. Celkový objem investic v první fázi bude mezi 400–500 miliony euro.</w:t>
            </w:r>
          </w:p>
          <w:p w:rsidRPr="007A4BFB" w:rsidR="007D49E4" w:rsidP="4AA51CF6" w:rsidRDefault="5716DF8D" w14:paraId="0000004E" w14:textId="2ADE4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sz w:val="20"/>
                <w:szCs w:val="20"/>
              </w:rPr>
            </w:pPr>
            <w:r w:rsidRPr="4EAC0756">
              <w:rPr>
                <w:sz w:val="20"/>
                <w:szCs w:val="20"/>
              </w:rPr>
              <w:t>Dalším problémem je také velmi podrobná regulace některých odvětví, její někdy nejasný výklad nebo s ní spojená délka povolovacích řízení, které ztěžují či dokonce znemožňují zavádění inovativních služeb na trh. Technologické společnosti, zejména start-</w:t>
            </w:r>
            <w:proofErr w:type="spellStart"/>
            <w:r w:rsidRPr="4EAC0756">
              <w:rPr>
                <w:sz w:val="20"/>
                <w:szCs w:val="20"/>
              </w:rPr>
              <w:t>upy</w:t>
            </w:r>
            <w:proofErr w:type="spellEnd"/>
            <w:r w:rsidRPr="4EAC0756">
              <w:rPr>
                <w:sz w:val="20"/>
                <w:szCs w:val="20"/>
              </w:rPr>
              <w:t xml:space="preserve"> a malé podniky, které zkouší nové služby a obchodní modely často čelí nepochopení jejich podstaty, jsou nuceny přizpůsobit se platným předpisům či projít komplexním a velmi drahým povolovacím řízením. Hrozí jim tak ztráta konkurenceschopnosti a investorů, kteří nechtějí čekat měsíce a léta v nejistotě, zda nimi podporovaný projekt bude ve výsledků uveden na trh. V kontextu rychle vyvíjejících se technologií je “zlepšování právní úpravy jedním z klíčových předpokladů udržitelného růstu, podpory konkurenceschopnosti, inovaci, digitalizaci a vytváření pracovních míst”, jak zdůraznily členské státy v Závěrech Rady o „regulačních pískovištích“ z 16. listopadu 2020”. Tyto závěry a další evropské dokumenty, např. Strategie pro malé a střední podniky z března 2020, Strategie pro digitální finance ze září 2020 nebo letošní deklarace EU </w:t>
            </w:r>
            <w:proofErr w:type="spellStart"/>
            <w:r w:rsidRPr="4EAC0756">
              <w:rPr>
                <w:sz w:val="20"/>
                <w:szCs w:val="20"/>
              </w:rPr>
              <w:t>Startup</w:t>
            </w:r>
            <w:proofErr w:type="spellEnd"/>
            <w:r w:rsidRPr="4EAC0756">
              <w:rPr>
                <w:sz w:val="20"/>
                <w:szCs w:val="20"/>
              </w:rPr>
              <w:t xml:space="preserve"> </w:t>
            </w:r>
            <w:proofErr w:type="spellStart"/>
            <w:r w:rsidRPr="4EAC0756">
              <w:rPr>
                <w:sz w:val="20"/>
                <w:szCs w:val="20"/>
              </w:rPr>
              <w:t>Nations</w:t>
            </w:r>
            <w:proofErr w:type="spellEnd"/>
            <w:r w:rsidRPr="4EAC0756">
              <w:rPr>
                <w:sz w:val="20"/>
                <w:szCs w:val="20"/>
              </w:rPr>
              <w:t xml:space="preserve"> Standard, zdůrazňují význam regulatorních </w:t>
            </w:r>
            <w:proofErr w:type="spellStart"/>
            <w:r w:rsidRPr="4EAC0756">
              <w:rPr>
                <w:sz w:val="20"/>
                <w:szCs w:val="20"/>
              </w:rPr>
              <w:t>sandboxů</w:t>
            </w:r>
            <w:proofErr w:type="spellEnd"/>
            <w:r w:rsidRPr="4EAC0756">
              <w:rPr>
                <w:sz w:val="20"/>
                <w:szCs w:val="20"/>
              </w:rPr>
              <w:t xml:space="preserve"> (“regulačních pískovišť”) jako “příležitosti pro inovace a růst všech podniků” a “k pokroku v regulaci”.</w:t>
            </w:r>
          </w:p>
        </w:tc>
      </w:tr>
      <w:tr w:rsidRPr="007A4BFB" w:rsidR="007D49E4" w:rsidTr="22001951" w14:paraId="61B1F742" w14:textId="77777777">
        <w:tc>
          <w:tcPr>
            <w:tcW w:w="2405" w:type="dxa"/>
            <w:tcMar/>
          </w:tcPr>
          <w:p w:rsidRPr="007A4BFB" w:rsidR="007D49E4" w:rsidP="4AA51CF6" w:rsidRDefault="00603083" w14:paraId="0000004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0"/>
                <w:szCs w:val="20"/>
              </w:rPr>
            </w:pPr>
            <w:r w:rsidRPr="4AA51CF6">
              <w:rPr>
                <w:color w:val="000000" w:themeColor="text1"/>
                <w:sz w:val="20"/>
                <w:szCs w:val="20"/>
              </w:rPr>
              <w:lastRenderedPageBreak/>
              <w:t>Cíl</w:t>
            </w:r>
          </w:p>
        </w:tc>
        <w:tc>
          <w:tcPr>
            <w:tcW w:w="7223" w:type="dxa"/>
            <w:tcMar/>
          </w:tcPr>
          <w:p w:rsidRPr="007A4BFB" w:rsidR="007D49E4" w:rsidP="4EAC0756" w:rsidRDefault="2B932E34" w14:paraId="0ADEBE80" w14:textId="34574CAB">
            <w:pPr>
              <w:spacing w:after="240"/>
              <w:jc w:val="both"/>
              <w:rPr>
                <w:sz w:val="20"/>
                <w:szCs w:val="20"/>
              </w:rPr>
            </w:pPr>
            <w:r w:rsidRPr="22001951" w:rsidR="2B932E34">
              <w:rPr>
                <w:sz w:val="20"/>
                <w:szCs w:val="20"/>
              </w:rPr>
              <w:t>V reformě zaměřené na koncepční rozvoj digitálního ekosystému v ČR a na vytvoření infrastruktury pro digitální transformaci je hlavním cílem zajištění podmínek pro propojení aktérů napříč celým digitální ekosystémem.</w:t>
            </w:r>
            <w:r w:rsidRPr="22001951" w:rsidR="00603083">
              <w:rPr>
                <w:sz w:val="20"/>
                <w:szCs w:val="20"/>
              </w:rPr>
              <w:t xml:space="preserve"> Tuto koordinační roli bude vykonávat Výbor pro digitální transformaci</w:t>
            </w:r>
            <w:r w:rsidRPr="22001951" w:rsidR="7C63724D">
              <w:rPr>
                <w:sz w:val="20"/>
                <w:szCs w:val="20"/>
              </w:rPr>
              <w:t xml:space="preserve">, který bude spolupracovat se strukturami RIS3 strategie </w:t>
            </w:r>
            <w:r w:rsidRPr="22001951" w:rsidR="7C63724D">
              <w:rPr>
                <w:sz w:val="20"/>
                <w:szCs w:val="20"/>
              </w:rPr>
              <w:t>ČR.</w:t>
            </w:r>
            <w:r w:rsidRPr="22001951" w:rsidR="2B932E34">
              <w:rPr>
                <w:sz w:val="20"/>
                <w:szCs w:val="20"/>
              </w:rPr>
              <w:t xml:space="preserve"> Cílem je zvýšit povědomí nejen podniků a firem, ale i celé společnosti o možnostech využívání nových technologií a o postupné digitalizaci veškerých procesů. S tím souvisí rozvíjení komplexního systému podpory identifikace a šíření nových a klíčových technologií, které mají strategický význam pro transformaci klíčových odvětví ČR a jejich posun k vyšší přidané hodnotě založené na znalostech a inovacích. Součástí cíle je implementace optimálních a efektivních řešení a s nimi spojeného soustavného, vzdělávání v oblasti nových technologií. Cílem je také vytvoření mohutné znalostní báze na jednom místě, propojení všech aktérů a koordinovanému přístupu k digitální transformaci a zvyšování digitálních dovedností s důrazem na jejich interdisciplinaritu</w:t>
            </w:r>
            <w:r w:rsidRPr="22001951" w:rsidR="00DD0E46">
              <w:rPr>
                <w:sz w:val="20"/>
                <w:szCs w:val="20"/>
              </w:rPr>
              <w:t>.</w:t>
            </w:r>
          </w:p>
          <w:p w:rsidRPr="007A4BFB" w:rsidR="007D49E4" w:rsidP="4EAC0756" w:rsidRDefault="1ECED4E5" w14:paraId="090EB4CF" w14:textId="19E7FEAC">
            <w:pPr>
              <w:spacing w:after="120"/>
              <w:jc w:val="both"/>
              <w:rPr>
                <w:sz w:val="20"/>
                <w:szCs w:val="20"/>
              </w:rPr>
            </w:pPr>
            <w:r w:rsidRPr="4EAC0756">
              <w:rPr>
                <w:sz w:val="20"/>
                <w:szCs w:val="20"/>
              </w:rPr>
              <w:t>V oblasti podpory nadějných inovativních firem je pak hlavním cílem pozitivní změna výše popsané situace a využití aktuálních příležitostí v ČR k podpoře inovací. A to především v odvětvích s vysokou přidanou hodnotou a klíčových/strategických digitálních technologiích, které mají buď význam pro zvládání a překonání krizových situací nebo potenciál uspět v mezinárodní konkurenci. Klíčové pro to je zaměřit se na následující výzvy:</w:t>
            </w:r>
          </w:p>
          <w:p w:rsidRPr="007A4BFB" w:rsidR="007D49E4" w:rsidP="4EAC0756" w:rsidRDefault="1ECED4E5" w14:paraId="757DDDBF" w14:textId="77777777">
            <w:pPr>
              <w:numPr>
                <w:ilvl w:val="0"/>
                <w:numId w:val="7"/>
              </w:numPr>
              <w:spacing w:after="240"/>
              <w:jc w:val="both"/>
              <w:rPr>
                <w:sz w:val="20"/>
                <w:szCs w:val="20"/>
              </w:rPr>
            </w:pPr>
            <w:r w:rsidRPr="4EAC0756">
              <w:rPr>
                <w:sz w:val="20"/>
                <w:szCs w:val="20"/>
              </w:rPr>
              <w:t>Nedostatek likvidity potřebné pro podporu všech začínajících nadějných projektů.</w:t>
            </w:r>
          </w:p>
          <w:p w:rsidRPr="007A4BFB" w:rsidR="007D49E4" w:rsidP="4EAC0756" w:rsidRDefault="1ECED4E5" w14:paraId="34E72D19" w14:textId="77777777">
            <w:pPr>
              <w:numPr>
                <w:ilvl w:val="0"/>
                <w:numId w:val="7"/>
              </w:numPr>
              <w:spacing w:after="240"/>
              <w:jc w:val="both"/>
              <w:rPr>
                <w:sz w:val="20"/>
                <w:szCs w:val="20"/>
              </w:rPr>
            </w:pPr>
            <w:r w:rsidRPr="4EAC0756">
              <w:rPr>
                <w:sz w:val="20"/>
                <w:szCs w:val="20"/>
              </w:rPr>
              <w:t>Selhání trhu z důvodu zejména vysokého rizika (především u strategických digitálních technologií a regulovaných odvětví).</w:t>
            </w:r>
          </w:p>
          <w:p w:rsidRPr="007A4BFB" w:rsidR="007D49E4" w:rsidP="4EAC0756" w:rsidRDefault="1ECED4E5" w14:paraId="5E35D60B" w14:textId="77777777">
            <w:pPr>
              <w:numPr>
                <w:ilvl w:val="0"/>
                <w:numId w:val="7"/>
              </w:numPr>
              <w:spacing w:after="120"/>
              <w:jc w:val="both"/>
              <w:rPr>
                <w:sz w:val="20"/>
                <w:szCs w:val="20"/>
              </w:rPr>
            </w:pPr>
            <w:r w:rsidRPr="4EAC0756">
              <w:rPr>
                <w:sz w:val="20"/>
                <w:szCs w:val="20"/>
              </w:rPr>
              <w:t>Dlouhodobý problém s technologickým transferem,</w:t>
            </w:r>
          </w:p>
          <w:p w:rsidRPr="007A4BFB" w:rsidR="007D49E4" w:rsidP="4EAC0756" w:rsidRDefault="1ECED4E5" w14:paraId="5D4AACD5" w14:textId="77777777">
            <w:pPr>
              <w:pStyle w:val="Odstavecseseznamem"/>
              <w:numPr>
                <w:ilvl w:val="0"/>
                <w:numId w:val="7"/>
              </w:numPr>
              <w:spacing w:after="240" w:line="240" w:lineRule="auto"/>
              <w:rPr>
                <w:rFonts w:ascii="Calibri" w:hAnsi="Calibri" w:eastAsia="Calibri" w:cs="Calibri"/>
                <w:sz w:val="20"/>
                <w:szCs w:val="20"/>
                <w:lang w:eastAsia="cs-CZ"/>
              </w:rPr>
            </w:pPr>
            <w:r w:rsidRPr="4EAC0756">
              <w:rPr>
                <w:rFonts w:ascii="Calibri" w:hAnsi="Calibri" w:eastAsia="Calibri" w:cs="Calibri"/>
                <w:sz w:val="20"/>
                <w:szCs w:val="20"/>
                <w:lang w:eastAsia="cs-CZ"/>
              </w:rPr>
              <w:t xml:space="preserve">Regulační rámec a jeho případná slabá místa brzdící rozvoj inovací, </w:t>
            </w:r>
          </w:p>
          <w:p w:rsidRPr="007A4BFB" w:rsidR="007D49E4" w:rsidP="4EAC0756" w:rsidRDefault="1ECED4E5" w14:paraId="4001F8AC" w14:textId="77777777">
            <w:pPr>
              <w:numPr>
                <w:ilvl w:val="0"/>
                <w:numId w:val="7"/>
              </w:numPr>
              <w:spacing w:after="120"/>
              <w:jc w:val="both"/>
              <w:rPr>
                <w:sz w:val="20"/>
                <w:szCs w:val="20"/>
              </w:rPr>
            </w:pPr>
            <w:r w:rsidRPr="4EAC0756">
              <w:rPr>
                <w:sz w:val="20"/>
                <w:szCs w:val="20"/>
              </w:rPr>
              <w:t>Vznikající nové horizontální předpisy, které pokrývají celá odvětví a přímo předpokládají systémové změny pro podporu inovací a usnadnění vstupu firem na trh (např. návrh Nařízení o AI).</w:t>
            </w:r>
          </w:p>
          <w:p w:rsidRPr="007A4BFB" w:rsidR="007D49E4" w:rsidP="4EAC0756" w:rsidRDefault="1ECED4E5" w14:paraId="6915FC21" w14:textId="77777777">
            <w:pPr>
              <w:spacing w:after="120"/>
              <w:jc w:val="both"/>
              <w:rPr>
                <w:sz w:val="20"/>
                <w:szCs w:val="20"/>
              </w:rPr>
            </w:pPr>
            <w:r w:rsidRPr="4EAC0756">
              <w:rPr>
                <w:sz w:val="20"/>
                <w:szCs w:val="20"/>
              </w:rPr>
              <w:t xml:space="preserve">Nastavení systému institucionální podpory naplní zejména cíle Strategie podpory malých a středních podniků v ČR pro období 2021–2027 a Koncepce rozvoje kapitálového trhu v ČR, Závěry Rady k regulatorním </w:t>
            </w:r>
            <w:proofErr w:type="spellStart"/>
            <w:r w:rsidRPr="4EAC0756">
              <w:rPr>
                <w:sz w:val="20"/>
                <w:szCs w:val="20"/>
              </w:rPr>
              <w:t>sandboxům</w:t>
            </w:r>
            <w:proofErr w:type="spellEnd"/>
            <w:r w:rsidRPr="4EAC0756">
              <w:rPr>
                <w:sz w:val="20"/>
                <w:szCs w:val="20"/>
              </w:rPr>
              <w:t xml:space="preserve"> a experimentálním ustanovením, EU Strategie pro malé a střední podniky, EU Strategie pro digitální finance </w:t>
            </w:r>
            <w:r w:rsidRPr="4EAC0756">
              <w:rPr>
                <w:sz w:val="20"/>
                <w:szCs w:val="20"/>
              </w:rPr>
              <w:lastRenderedPageBreak/>
              <w:t xml:space="preserve">ze září 2020 a návrhu Nařízení o AI, jak bude přijato pro projednání členskými státy. V souladu s cíli Evropské komise pak má zejména zlepšit přístup k financování, především ve formě vlastního kapitálu, inovativním a rizikovým společnostem zabývajícím se klíčovými technologiemi (EK jmenuje zejména AI a </w:t>
            </w:r>
            <w:proofErr w:type="spellStart"/>
            <w:r w:rsidRPr="4EAC0756">
              <w:rPr>
                <w:sz w:val="20"/>
                <w:szCs w:val="20"/>
              </w:rPr>
              <w:t>blockchain</w:t>
            </w:r>
            <w:proofErr w:type="spellEnd"/>
            <w:r w:rsidRPr="4EAC0756">
              <w:rPr>
                <w:sz w:val="20"/>
                <w:szCs w:val="20"/>
              </w:rPr>
              <w:t>) a zlepšit regulační rámec tak, aby byl vstřícný k inovacím, podporoval konkurenceschopnost, růst, udržitelnost, a regulační učení.</w:t>
            </w:r>
          </w:p>
          <w:p w:rsidRPr="007A4BFB" w:rsidR="007D49E4" w:rsidP="4EAC0756" w:rsidRDefault="1ECED4E5" w14:paraId="00000052" w14:textId="124594BF">
            <w:pPr>
              <w:spacing w:after="120"/>
              <w:jc w:val="both"/>
              <w:rPr>
                <w:sz w:val="20"/>
                <w:szCs w:val="20"/>
              </w:rPr>
            </w:pPr>
            <w:r w:rsidRPr="4EAC0756">
              <w:rPr>
                <w:sz w:val="20"/>
                <w:szCs w:val="20"/>
              </w:rPr>
              <w:t xml:space="preserve">ČR přistoupila dne 19. března k evropské deklaraci EU </w:t>
            </w:r>
            <w:proofErr w:type="spellStart"/>
            <w:r w:rsidRPr="4EAC0756">
              <w:rPr>
                <w:sz w:val="20"/>
                <w:szCs w:val="20"/>
              </w:rPr>
              <w:t>Startup</w:t>
            </w:r>
            <w:proofErr w:type="spellEnd"/>
            <w:r w:rsidRPr="4EAC0756">
              <w:rPr>
                <w:sz w:val="20"/>
                <w:szCs w:val="20"/>
              </w:rPr>
              <w:t xml:space="preserve"> </w:t>
            </w:r>
            <w:proofErr w:type="spellStart"/>
            <w:r w:rsidRPr="4EAC0756">
              <w:rPr>
                <w:sz w:val="20"/>
                <w:szCs w:val="20"/>
              </w:rPr>
              <w:t>Nations</w:t>
            </w:r>
            <w:proofErr w:type="spellEnd"/>
            <w:r w:rsidRPr="4EAC0756">
              <w:rPr>
                <w:sz w:val="20"/>
                <w:szCs w:val="20"/>
              </w:rPr>
              <w:t xml:space="preserve"> Standard, která obsahuje řadu oblastí a aktivit doporučených pro podporu rozvoje start-</w:t>
            </w:r>
            <w:proofErr w:type="spellStart"/>
            <w:r w:rsidRPr="4EAC0756">
              <w:rPr>
                <w:sz w:val="20"/>
                <w:szCs w:val="20"/>
              </w:rPr>
              <w:t>upového</w:t>
            </w:r>
            <w:proofErr w:type="spellEnd"/>
            <w:r w:rsidRPr="4EAC0756">
              <w:rPr>
                <w:sz w:val="20"/>
                <w:szCs w:val="20"/>
              </w:rPr>
              <w:t xml:space="preserve"> </w:t>
            </w:r>
            <w:proofErr w:type="spellStart"/>
            <w:r w:rsidRPr="4EAC0756">
              <w:rPr>
                <w:sz w:val="20"/>
                <w:szCs w:val="20"/>
              </w:rPr>
              <w:t>ekosytému</w:t>
            </w:r>
            <w:proofErr w:type="spellEnd"/>
            <w:r w:rsidRPr="4EAC0756">
              <w:rPr>
                <w:sz w:val="20"/>
                <w:szCs w:val="20"/>
              </w:rPr>
              <w:t>.</w:t>
            </w:r>
          </w:p>
        </w:tc>
      </w:tr>
      <w:tr w:rsidRPr="007A4BFB" w:rsidR="007D49E4" w:rsidTr="22001951" w14:paraId="66152AF3" w14:textId="77777777">
        <w:tc>
          <w:tcPr>
            <w:tcW w:w="2405" w:type="dxa"/>
            <w:tcMar/>
          </w:tcPr>
          <w:p w:rsidRPr="007A4BFB" w:rsidR="007D49E4" w:rsidP="4AA51CF6" w:rsidRDefault="00603083" w14:paraId="0000005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0"/>
                <w:szCs w:val="20"/>
              </w:rPr>
            </w:pPr>
            <w:r w:rsidRPr="4AA51CF6">
              <w:rPr>
                <w:color w:val="000000" w:themeColor="text1"/>
                <w:sz w:val="20"/>
                <w:szCs w:val="20"/>
              </w:rPr>
              <w:lastRenderedPageBreak/>
              <w:t>Implementace</w:t>
            </w:r>
          </w:p>
        </w:tc>
        <w:tc>
          <w:tcPr>
            <w:tcW w:w="7223" w:type="dxa"/>
            <w:tcMar/>
          </w:tcPr>
          <w:p w:rsidRPr="007A4BFB" w:rsidR="00DD0E46" w:rsidP="4AA51CF6" w:rsidRDefault="00DD0E46" w14:paraId="5958B6EC" w14:textId="5C1F5A22">
            <w:pPr>
              <w:spacing w:after="240"/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 xml:space="preserve">Klíčovým prvkem bude reforma Výboru pro </w:t>
            </w:r>
            <w:r w:rsidRPr="4AA51CF6" w:rsidR="2BAD21A9">
              <w:rPr>
                <w:sz w:val="20"/>
                <w:szCs w:val="20"/>
              </w:rPr>
              <w:t xml:space="preserve">digitální ekonomiku a společnost a jeho proměna na Výbor pro digitální transformaci zastřešující celý systém (reformy 1.4.2, 1.4.3 a 1.5.1). </w:t>
            </w:r>
            <w:r w:rsidRPr="4AA51CF6" w:rsidR="00623093">
              <w:rPr>
                <w:sz w:val="20"/>
                <w:szCs w:val="20"/>
              </w:rPr>
              <w:t xml:space="preserve">Podstatou reformy je vytvoření flexibilnější a akceschopnější struktury koordinace a podpory digitální transformace ekonomiky, včetně redukce institucionálních stupňů, například sloučením s Výborem pro AI (v rámci revize Národní strategie umělé inteligence). </w:t>
            </w:r>
            <w:r w:rsidRPr="4AA51CF6" w:rsidR="2BAD21A9">
              <w:rPr>
                <w:sz w:val="20"/>
                <w:szCs w:val="20"/>
              </w:rPr>
              <w:t xml:space="preserve">Zásadní pro úspěch této reformy je </w:t>
            </w:r>
            <w:r w:rsidRPr="4AA51CF6" w:rsidR="7CDCC442">
              <w:rPr>
                <w:sz w:val="20"/>
                <w:szCs w:val="20"/>
              </w:rPr>
              <w:t xml:space="preserve">pak </w:t>
            </w:r>
            <w:r w:rsidRPr="4AA51CF6" w:rsidR="2BAD21A9">
              <w:rPr>
                <w:sz w:val="20"/>
                <w:szCs w:val="20"/>
              </w:rPr>
              <w:t>doplnění o řídící a podpůrné aktivity v navazujících investicích.</w:t>
            </w:r>
            <w:r w:rsidRPr="4AA51CF6" w:rsidR="00623093">
              <w:rPr>
                <w:sz w:val="20"/>
                <w:szCs w:val="20"/>
              </w:rPr>
              <w:t xml:space="preserve"> Komplexní reforma bude implementována s navazujícími investicemi a provázáním celého systému v období do roku 2025, samotná redukce bude provedena </w:t>
            </w:r>
            <w:r w:rsidRPr="4AA51CF6" w:rsidR="649C7606">
              <w:rPr>
                <w:sz w:val="20"/>
                <w:szCs w:val="20"/>
              </w:rPr>
              <w:t>v roce 2021 a 2022.</w:t>
            </w:r>
          </w:p>
          <w:p w:rsidR="006A10D7" w:rsidP="4AA51CF6" w:rsidRDefault="00623093" w14:paraId="46C979F8" w14:textId="114DD104">
            <w:pPr>
              <w:spacing w:after="240"/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 xml:space="preserve">Klíčovým nástrojem reformy je mimo jiné </w:t>
            </w:r>
            <w:r w:rsidRPr="4AA51CF6" w:rsidR="1B0254A9">
              <w:rPr>
                <w:sz w:val="20"/>
                <w:szCs w:val="20"/>
              </w:rPr>
              <w:t xml:space="preserve">využití a podpora </w:t>
            </w:r>
            <w:r w:rsidRPr="4AA51CF6">
              <w:rPr>
                <w:sz w:val="20"/>
                <w:szCs w:val="20"/>
              </w:rPr>
              <w:t xml:space="preserve">komplexního systému podpory identifikace a difúze nových a klíčových technologií v rámci Národní RIS3 strategie 2021-2027, jejímž gestorem je MPO. </w:t>
            </w:r>
            <w:r w:rsidRPr="4AA51CF6" w:rsidR="1B0254A9">
              <w:rPr>
                <w:sz w:val="20"/>
                <w:szCs w:val="20"/>
              </w:rPr>
              <w:t xml:space="preserve">Výbor pro digitální transformaci bude spolupracovat s implementačními strukturami Národní RIS3 strategie, což povede k </w:t>
            </w:r>
            <w:r w:rsidRPr="4AA51CF6" w:rsidR="06C63D54">
              <w:rPr>
                <w:sz w:val="20"/>
                <w:szCs w:val="20"/>
              </w:rPr>
              <w:t>rozvíjení komplexního systému podpory identifikace a šíření nových a klíčových technologií. Tento systém napomůže mimo jiné identifikaci nových technologií a trendů a generování relevantních témat výzkumu, inovací a misí, které mají strategický význam pro transformaci klíčových odvětví v</w:t>
            </w:r>
            <w:r w:rsidRPr="4AA51CF6" w:rsidR="1B0254A9">
              <w:rPr>
                <w:sz w:val="20"/>
                <w:szCs w:val="20"/>
              </w:rPr>
              <w:t> </w:t>
            </w:r>
            <w:r w:rsidRPr="4AA51CF6" w:rsidR="06C63D54">
              <w:rPr>
                <w:sz w:val="20"/>
                <w:szCs w:val="20"/>
              </w:rPr>
              <w:t>ČR</w:t>
            </w:r>
            <w:r w:rsidRPr="4AA51CF6" w:rsidR="1B0254A9">
              <w:rPr>
                <w:sz w:val="20"/>
                <w:szCs w:val="20"/>
              </w:rPr>
              <w:t xml:space="preserve">, </w:t>
            </w:r>
            <w:r w:rsidRPr="4AA51CF6" w:rsidR="06C63D54">
              <w:rPr>
                <w:sz w:val="20"/>
                <w:szCs w:val="20"/>
              </w:rPr>
              <w:t>digitalizaci</w:t>
            </w:r>
            <w:r w:rsidRPr="4AA51CF6" w:rsidR="1B0254A9">
              <w:rPr>
                <w:sz w:val="20"/>
                <w:szCs w:val="20"/>
              </w:rPr>
              <w:t xml:space="preserve"> a jsou relevantní pro investice v rámci této reformy</w:t>
            </w:r>
            <w:r w:rsidRPr="4AA51CF6" w:rsidR="06C63D54">
              <w:rPr>
                <w:sz w:val="20"/>
                <w:szCs w:val="20"/>
              </w:rPr>
              <w:t>. S</w:t>
            </w:r>
            <w:r w:rsidRPr="4AA51CF6" w:rsidR="1B0254A9">
              <w:rPr>
                <w:sz w:val="20"/>
                <w:szCs w:val="20"/>
              </w:rPr>
              <w:t>oučástí implementace reformy bude</w:t>
            </w:r>
            <w:r w:rsidRPr="4AA51CF6" w:rsidR="06C63D54">
              <w:rPr>
                <w:sz w:val="20"/>
                <w:szCs w:val="20"/>
              </w:rPr>
              <w:t xml:space="preserve"> zpracování analytických studií,</w:t>
            </w:r>
            <w:r w:rsidRPr="4AA51CF6" w:rsidR="1B0254A9">
              <w:rPr>
                <w:sz w:val="20"/>
                <w:szCs w:val="20"/>
              </w:rPr>
              <w:t xml:space="preserve"> expertních koncepčních prací,</w:t>
            </w:r>
            <w:r w:rsidRPr="4AA51CF6" w:rsidR="06C63D54">
              <w:rPr>
                <w:sz w:val="20"/>
                <w:szCs w:val="20"/>
              </w:rPr>
              <w:t xml:space="preserve"> </w:t>
            </w:r>
            <w:r w:rsidRPr="4AA51CF6" w:rsidR="1B0254A9">
              <w:rPr>
                <w:sz w:val="20"/>
                <w:szCs w:val="20"/>
              </w:rPr>
              <w:t>a jejich provázání na činnost Výboru a RIS3 strategii.</w:t>
            </w:r>
            <w:r w:rsidRPr="4AA51CF6" w:rsidR="06C63D54">
              <w:rPr>
                <w:sz w:val="20"/>
                <w:szCs w:val="20"/>
              </w:rPr>
              <w:t xml:space="preserve"> </w:t>
            </w:r>
            <w:r w:rsidRPr="4AA51CF6" w:rsidR="1B0254A9">
              <w:rPr>
                <w:color w:val="000000" w:themeColor="text1"/>
                <w:sz w:val="20"/>
                <w:szCs w:val="20"/>
              </w:rPr>
              <w:t>Realizace podpůrných aktivit reformy bude probíhat formou veřejných zakázek na expertní služby.</w:t>
            </w:r>
          </w:p>
          <w:p w:rsidRPr="007A4BFB" w:rsidR="007D49E4" w:rsidP="4EAC0756" w:rsidRDefault="007D49E4" w14:paraId="058F59E5" w14:textId="0A787533">
            <w:pPr>
              <w:spacing w:after="240"/>
              <w:jc w:val="both"/>
              <w:rPr>
                <w:sz w:val="20"/>
                <w:szCs w:val="20"/>
              </w:rPr>
            </w:pPr>
          </w:p>
          <w:p w:rsidRPr="007A4BFB" w:rsidR="007D49E4" w:rsidP="4EAC0756" w:rsidRDefault="01C8D4CC" w14:paraId="48992C5A" w14:textId="7D909C12">
            <w:pPr>
              <w:spacing w:after="120"/>
              <w:jc w:val="both"/>
              <w:rPr>
                <w:sz w:val="20"/>
                <w:szCs w:val="20"/>
              </w:rPr>
            </w:pPr>
            <w:r w:rsidRPr="4EAC0756">
              <w:rPr>
                <w:sz w:val="20"/>
                <w:szCs w:val="20"/>
              </w:rPr>
              <w:t xml:space="preserve">Nejvhodnějším nástrojem pro překonání problémů v oblasti podpory inovativních rychle rostoucích firem a dosažení vytyčeného cíle, je nastavení spolupráce mezi veřejným a soukromým sektorem tak, aby se mohli soukromí investoři pohybovat v rámci státem předem vymezených kritérií pro využití veřejných prostředků a inovativní společnosti v regulovaných odvětvích rychle a bezpečně uvádět na trh moderní řešení postavené na nejnovějších technologiích. A zároveň analýza a náprava tržních selhání, například v oblasti </w:t>
            </w:r>
            <w:proofErr w:type="spellStart"/>
            <w:r w:rsidRPr="4EAC0756">
              <w:rPr>
                <w:sz w:val="20"/>
                <w:szCs w:val="20"/>
              </w:rPr>
              <w:t>pre-seedového</w:t>
            </w:r>
            <w:proofErr w:type="spellEnd"/>
            <w:r w:rsidRPr="4EAC0756">
              <w:rPr>
                <w:sz w:val="20"/>
                <w:szCs w:val="20"/>
              </w:rPr>
              <w:t xml:space="preserve"> financování. Základem je proto právě snaha o podporu start-</w:t>
            </w:r>
            <w:proofErr w:type="spellStart"/>
            <w:r w:rsidRPr="4EAC0756">
              <w:rPr>
                <w:sz w:val="20"/>
                <w:szCs w:val="20"/>
              </w:rPr>
              <w:t>upového</w:t>
            </w:r>
            <w:proofErr w:type="spellEnd"/>
            <w:r w:rsidRPr="4EAC0756">
              <w:rPr>
                <w:sz w:val="20"/>
                <w:szCs w:val="20"/>
              </w:rPr>
              <w:t xml:space="preserve"> ekosystému, především úsilí o možnou a dosažitelnou implementaci co nejvíce doporučení EU </w:t>
            </w:r>
            <w:proofErr w:type="spellStart"/>
            <w:r w:rsidRPr="4EAC0756">
              <w:rPr>
                <w:sz w:val="20"/>
                <w:szCs w:val="20"/>
              </w:rPr>
              <w:t>Startup</w:t>
            </w:r>
            <w:proofErr w:type="spellEnd"/>
            <w:r w:rsidRPr="4EAC0756">
              <w:rPr>
                <w:sz w:val="20"/>
                <w:szCs w:val="20"/>
              </w:rPr>
              <w:t xml:space="preserve"> </w:t>
            </w:r>
            <w:proofErr w:type="spellStart"/>
            <w:r w:rsidRPr="4EAC0756">
              <w:rPr>
                <w:sz w:val="20"/>
                <w:szCs w:val="20"/>
              </w:rPr>
              <w:t>Nations</w:t>
            </w:r>
            <w:proofErr w:type="spellEnd"/>
            <w:r w:rsidRPr="4EAC0756">
              <w:rPr>
                <w:sz w:val="20"/>
                <w:szCs w:val="20"/>
              </w:rPr>
              <w:t xml:space="preserve"> Standard.</w:t>
            </w:r>
          </w:p>
          <w:p w:rsidRPr="007A4BFB" w:rsidR="007D49E4" w:rsidP="4EAC0756" w:rsidRDefault="01C8D4CC" w14:paraId="042853A9" w14:textId="77777777">
            <w:pPr>
              <w:spacing w:after="120"/>
              <w:jc w:val="both"/>
              <w:rPr>
                <w:sz w:val="20"/>
                <w:szCs w:val="20"/>
              </w:rPr>
            </w:pPr>
            <w:r w:rsidRPr="4EAC0756">
              <w:rPr>
                <w:sz w:val="20"/>
                <w:szCs w:val="20"/>
              </w:rPr>
              <w:t>Z tohoto důvodu bude ustavena pracovní skupina pod Výborem pro digitální transformaci, která bude flexibilně koordinovat a nastavovat řešení pro potřeby podpory trhu v této dynamické oblasti. Bude také sloužit jako programová rada navazujících programů podpory.</w:t>
            </w:r>
          </w:p>
          <w:p w:rsidRPr="007A4BFB" w:rsidR="007D49E4" w:rsidP="4EAC0756" w:rsidRDefault="01C8D4CC" w14:paraId="6BD23929" w14:textId="77777777">
            <w:pPr>
              <w:spacing w:after="120"/>
              <w:jc w:val="both"/>
              <w:rPr>
                <w:sz w:val="20"/>
                <w:szCs w:val="20"/>
              </w:rPr>
            </w:pPr>
            <w:r w:rsidRPr="4EAC0756">
              <w:rPr>
                <w:sz w:val="20"/>
                <w:szCs w:val="20"/>
              </w:rPr>
              <w:t xml:space="preserve">EU </w:t>
            </w:r>
            <w:proofErr w:type="spellStart"/>
            <w:r w:rsidRPr="4EAC0756">
              <w:rPr>
                <w:sz w:val="20"/>
                <w:szCs w:val="20"/>
              </w:rPr>
              <w:t>Startup</w:t>
            </w:r>
            <w:proofErr w:type="spellEnd"/>
            <w:r w:rsidRPr="4EAC0756">
              <w:rPr>
                <w:sz w:val="20"/>
                <w:szCs w:val="20"/>
              </w:rPr>
              <w:t xml:space="preserve"> </w:t>
            </w:r>
            <w:proofErr w:type="spellStart"/>
            <w:r w:rsidRPr="4EAC0756">
              <w:rPr>
                <w:sz w:val="20"/>
                <w:szCs w:val="20"/>
              </w:rPr>
              <w:t>Nations</w:t>
            </w:r>
            <w:proofErr w:type="spellEnd"/>
            <w:r w:rsidRPr="4EAC0756">
              <w:rPr>
                <w:sz w:val="20"/>
                <w:szCs w:val="20"/>
              </w:rPr>
              <w:t xml:space="preserve"> Standard a v nich obsažená doporučení jsou přímým základem pro tuto reformu a na ní navazující investice, ty naplňují ale i další doporučení a strategické dokumenty. Například v souladu i s doporučením NERV bude realizován vznik </w:t>
            </w:r>
            <w:proofErr w:type="spellStart"/>
            <w:r w:rsidRPr="4EAC0756">
              <w:rPr>
                <w:sz w:val="20"/>
                <w:szCs w:val="20"/>
              </w:rPr>
              <w:t>koinvestičního</w:t>
            </w:r>
            <w:proofErr w:type="spellEnd"/>
            <w:r w:rsidRPr="4EAC0756">
              <w:rPr>
                <w:sz w:val="20"/>
                <w:szCs w:val="20"/>
              </w:rPr>
              <w:t xml:space="preserve"> fondového schématu, kde bude soukromá investice doplněna veřejnými prostředky. Je tak ponechána volnost specializovaných soukromých subjektů aplikovat své know-how v oboru při výběru investice s využitím veřejných zdrojů a zároveň jsou motivovány k maximální efektivitě zapojením vlastních finančních zdrojů, a tak zvýšení </w:t>
            </w:r>
            <w:r w:rsidRPr="4EAC0756">
              <w:rPr>
                <w:sz w:val="20"/>
                <w:szCs w:val="20"/>
              </w:rPr>
              <w:lastRenderedPageBreak/>
              <w:t>dostupnosti rizikového kapitálu ve vybraných oblastech. Investiční schémata budou doplněna programy přímé podpory.</w:t>
            </w:r>
          </w:p>
          <w:p w:rsidRPr="007A4BFB" w:rsidR="007D49E4" w:rsidP="4EAC0756" w:rsidRDefault="01C8D4CC" w14:paraId="11077BB4" w14:textId="77777777">
            <w:pPr>
              <w:spacing w:after="120"/>
              <w:jc w:val="both"/>
              <w:rPr>
                <w:sz w:val="20"/>
                <w:szCs w:val="20"/>
              </w:rPr>
            </w:pPr>
            <w:r w:rsidRPr="4EAC0756">
              <w:rPr>
                <w:sz w:val="20"/>
                <w:szCs w:val="20"/>
              </w:rPr>
              <w:t xml:space="preserve">Dalším možným nástrojem jsou </w:t>
            </w:r>
            <w:proofErr w:type="spellStart"/>
            <w:r w:rsidRPr="4EAC0756">
              <w:rPr>
                <w:sz w:val="20"/>
                <w:szCs w:val="20"/>
              </w:rPr>
              <w:t>sandboxy</w:t>
            </w:r>
            <w:proofErr w:type="spellEnd"/>
            <w:r w:rsidRPr="4EAC0756">
              <w:rPr>
                <w:sz w:val="20"/>
                <w:szCs w:val="20"/>
              </w:rPr>
              <w:t xml:space="preserve">, které budou v souladu s platnou legislativou a naplní EU </w:t>
            </w:r>
            <w:proofErr w:type="spellStart"/>
            <w:r w:rsidRPr="4EAC0756">
              <w:rPr>
                <w:sz w:val="20"/>
                <w:szCs w:val="20"/>
              </w:rPr>
              <w:t>Startup</w:t>
            </w:r>
            <w:proofErr w:type="spellEnd"/>
            <w:r w:rsidRPr="4EAC0756">
              <w:rPr>
                <w:sz w:val="20"/>
                <w:szCs w:val="20"/>
              </w:rPr>
              <w:t xml:space="preserve"> </w:t>
            </w:r>
            <w:proofErr w:type="spellStart"/>
            <w:r w:rsidRPr="4EAC0756">
              <w:rPr>
                <w:sz w:val="20"/>
                <w:szCs w:val="20"/>
              </w:rPr>
              <w:t>Nations</w:t>
            </w:r>
            <w:proofErr w:type="spellEnd"/>
            <w:r w:rsidRPr="4EAC0756">
              <w:rPr>
                <w:sz w:val="20"/>
                <w:szCs w:val="20"/>
              </w:rPr>
              <w:t xml:space="preserve"> Standard i Závěry Rady k regulatorním </w:t>
            </w:r>
            <w:proofErr w:type="spellStart"/>
            <w:r w:rsidRPr="4EAC0756">
              <w:rPr>
                <w:sz w:val="20"/>
                <w:szCs w:val="20"/>
              </w:rPr>
              <w:t>sandboxům</w:t>
            </w:r>
            <w:proofErr w:type="spellEnd"/>
            <w:r w:rsidRPr="4EAC0756">
              <w:rPr>
                <w:sz w:val="20"/>
                <w:szCs w:val="20"/>
              </w:rPr>
              <w:t xml:space="preserve"> a experimentálním ustanovením a další strategické evropské dokumenty, včetně například návrhu Nařízení o AI. V závislosti na jejich podobě mohou pomoci v praxi otestovat inovativní řešení (technologie, produkty, služby). Testování by mělo probíhat po omezenou dobu a pouze v části sektoru za dohledu tvůrců regulace, kteří tak mohou získat aktuální informace z reálného (nebo realitě blízkého) prostředí, a o možnostech, ale i rizicích testovaného řešení.  Vzhledem k tomu, že regulatorní úprava většiny odvětví finančního trhu vyplývá z předpisů EU, nemůže testování spočívat ve výjimkách či omezení aplikace platné regulace, nebudou-li umožněny legislativou EU, přitom by žádný subjekt neměl být zvýhodněn oproti jiným subjektům pouze na základě technologie, kterou používá či nabízí (</w:t>
            </w:r>
            <w:proofErr w:type="spellStart"/>
            <w:r w:rsidRPr="4EAC0756">
              <w:rPr>
                <w:sz w:val="20"/>
                <w:szCs w:val="20"/>
              </w:rPr>
              <w:t>tech</w:t>
            </w:r>
            <w:proofErr w:type="spellEnd"/>
            <w:r w:rsidRPr="4EAC0756">
              <w:rPr>
                <w:sz w:val="20"/>
                <w:szCs w:val="20"/>
              </w:rPr>
              <w:t xml:space="preserve">. neutralita). Naváže na ně investice, jejíž realizace bude probíhat v několika fázích, počínaje spuštěním speciálních inovačních </w:t>
            </w:r>
            <w:proofErr w:type="spellStart"/>
            <w:r w:rsidRPr="4EAC0756">
              <w:rPr>
                <w:sz w:val="20"/>
                <w:szCs w:val="20"/>
              </w:rPr>
              <w:t>hubů</w:t>
            </w:r>
            <w:proofErr w:type="spellEnd"/>
            <w:r w:rsidRPr="4EAC0756">
              <w:rPr>
                <w:sz w:val="20"/>
                <w:szCs w:val="20"/>
              </w:rPr>
              <w:t>.</w:t>
            </w:r>
          </w:p>
          <w:p w:rsidRPr="007A4BFB" w:rsidR="007D49E4" w:rsidP="4EAC0756" w:rsidRDefault="01C8D4CC" w14:paraId="00000054" w14:textId="2F9D2F51">
            <w:pPr>
              <w:spacing w:after="120"/>
              <w:jc w:val="both"/>
              <w:rPr>
                <w:sz w:val="20"/>
                <w:szCs w:val="20"/>
              </w:rPr>
            </w:pPr>
            <w:r w:rsidRPr="4EAC0756">
              <w:rPr>
                <w:sz w:val="20"/>
                <w:szCs w:val="20"/>
              </w:rPr>
              <w:t>Metodou při nastavení a realizaci této reformy a investic schématu je postupné spuštění pilotních projektů, ověření funkce v praxi a následnou úpravu nastavení na základě zkušeností z reálné praxe a jejího využití. Vzhledem ke specifikům různých oblastí (</w:t>
            </w:r>
            <w:proofErr w:type="spellStart"/>
            <w:r w:rsidRPr="4EAC0756">
              <w:rPr>
                <w:sz w:val="20"/>
                <w:szCs w:val="20"/>
              </w:rPr>
              <w:t>pre-seedových</w:t>
            </w:r>
            <w:proofErr w:type="spellEnd"/>
            <w:r w:rsidRPr="4EAC0756">
              <w:rPr>
                <w:sz w:val="20"/>
                <w:szCs w:val="20"/>
              </w:rPr>
              <w:t xml:space="preserve"> investic, transferu technologií, či kapitálové a regulatorní náročnosti klíčových strategických odvětví) se bude postupovat v jednotlivých investicích odděleně pro nejvhodnější nastavení nástroje pro danou oblast.</w:t>
            </w:r>
          </w:p>
        </w:tc>
      </w:tr>
      <w:tr w:rsidRPr="007A4BFB" w:rsidR="007D49E4" w:rsidTr="22001951" w14:paraId="58D6E760" w14:textId="77777777">
        <w:trPr>
          <w:trHeight w:val="70"/>
        </w:trPr>
        <w:tc>
          <w:tcPr>
            <w:tcW w:w="2405" w:type="dxa"/>
            <w:tcMar/>
          </w:tcPr>
          <w:p w:rsidRPr="007A4BFB" w:rsidR="007D49E4" w:rsidP="4AA51CF6" w:rsidRDefault="00603083" w14:paraId="0000005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0"/>
                <w:szCs w:val="20"/>
              </w:rPr>
            </w:pPr>
            <w:r w:rsidRPr="4AA51CF6">
              <w:rPr>
                <w:color w:val="000000" w:themeColor="text1"/>
                <w:sz w:val="20"/>
                <w:szCs w:val="20"/>
              </w:rPr>
              <w:lastRenderedPageBreak/>
              <w:t>Spolupráce a zapojení zúčastněných stran</w:t>
            </w:r>
          </w:p>
        </w:tc>
        <w:tc>
          <w:tcPr>
            <w:tcW w:w="7223" w:type="dxa"/>
            <w:tcMar/>
          </w:tcPr>
          <w:p w:rsidRPr="007A4BFB" w:rsidR="007D49E4" w:rsidP="4EAC0756" w:rsidRDefault="00DD0E46" w14:paraId="00000056" w14:textId="42E35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4EAC0756">
              <w:rPr>
                <w:sz w:val="20"/>
                <w:szCs w:val="20"/>
              </w:rPr>
              <w:t xml:space="preserve">Implementovat reformu bude Ministerstvo průmyslu a obchodu ČR ve spolupráci s relevantními partnery z akademického a podnikového prostředí. </w:t>
            </w:r>
            <w:r w:rsidRPr="4EAC0756" w:rsidR="00603083">
              <w:rPr>
                <w:sz w:val="20"/>
                <w:szCs w:val="20"/>
              </w:rPr>
              <w:t xml:space="preserve">Reforma předpokládá zapojení </w:t>
            </w:r>
            <w:r w:rsidRPr="4EAC0756" w:rsidR="3DD6E93E">
              <w:rPr>
                <w:sz w:val="20"/>
                <w:szCs w:val="20"/>
              </w:rPr>
              <w:t xml:space="preserve">MF, </w:t>
            </w:r>
            <w:proofErr w:type="spellStart"/>
            <w:r w:rsidRPr="4EAC0756" w:rsidR="3DD6E93E">
              <w:rPr>
                <w:sz w:val="20"/>
                <w:szCs w:val="20"/>
              </w:rPr>
              <w:t>CzechInvestu</w:t>
            </w:r>
            <w:proofErr w:type="spellEnd"/>
            <w:r w:rsidRPr="4EAC0756" w:rsidR="3DD6E93E">
              <w:rPr>
                <w:sz w:val="20"/>
                <w:szCs w:val="20"/>
              </w:rPr>
              <w:t xml:space="preserve">, Evropského investičního fondu, profesních asociací sdružujících inovativní společnosti v dotyčných sektorech. </w:t>
            </w:r>
            <w:r w:rsidRPr="4EAC0756" w:rsidR="00603083">
              <w:rPr>
                <w:sz w:val="20"/>
                <w:szCs w:val="20"/>
              </w:rPr>
              <w:t>zaměstnavatelských svazů a asociací (SP ČR, AMSP), akademického sektoru (</w:t>
            </w:r>
            <w:r w:rsidRPr="4EAC0756" w:rsidR="600208A6">
              <w:rPr>
                <w:sz w:val="20"/>
                <w:szCs w:val="20"/>
              </w:rPr>
              <w:t xml:space="preserve">např. </w:t>
            </w:r>
            <w:r w:rsidRPr="4EAC0756" w:rsidR="00603083">
              <w:rPr>
                <w:sz w:val="20"/>
                <w:szCs w:val="20"/>
              </w:rPr>
              <w:t xml:space="preserve">ČVUT, </w:t>
            </w:r>
            <w:r w:rsidRPr="4EAC0756" w:rsidR="600208A6">
              <w:rPr>
                <w:sz w:val="20"/>
                <w:szCs w:val="20"/>
              </w:rPr>
              <w:t xml:space="preserve">UK, </w:t>
            </w:r>
            <w:r w:rsidRPr="4EAC0756" w:rsidR="00603083">
              <w:rPr>
                <w:sz w:val="20"/>
                <w:szCs w:val="20"/>
              </w:rPr>
              <w:t>MUNI</w:t>
            </w:r>
            <w:r w:rsidRPr="4EAC0756" w:rsidR="600208A6">
              <w:rPr>
                <w:sz w:val="20"/>
                <w:szCs w:val="20"/>
              </w:rPr>
              <w:t>, AV ČR a dalších</w:t>
            </w:r>
            <w:r w:rsidRPr="4EAC0756" w:rsidR="00603083">
              <w:rPr>
                <w:sz w:val="20"/>
                <w:szCs w:val="20"/>
              </w:rPr>
              <w:t>), výzkumných a inovačních center (IT4Innovations, regionální inovační centra) a dalších partnerů</w:t>
            </w:r>
            <w:r w:rsidRPr="4EAC0756" w:rsidR="3DE4BAE3">
              <w:rPr>
                <w:sz w:val="20"/>
                <w:szCs w:val="20"/>
              </w:rPr>
              <w:t xml:space="preserve"> (např. HK ČR, SOCR ČR, ČUCR)</w:t>
            </w:r>
            <w:r w:rsidRPr="4EAC0756" w:rsidR="00603083">
              <w:rPr>
                <w:sz w:val="20"/>
                <w:szCs w:val="20"/>
              </w:rPr>
              <w:t xml:space="preserve"> tak, aby došlo k propojení všech aspektů reformy.</w:t>
            </w:r>
          </w:p>
        </w:tc>
      </w:tr>
      <w:tr w:rsidRPr="007A4BFB" w:rsidR="007D49E4" w:rsidTr="22001951" w14:paraId="6B2612B6" w14:textId="77777777">
        <w:tc>
          <w:tcPr>
            <w:tcW w:w="2405" w:type="dxa"/>
            <w:tcMar/>
          </w:tcPr>
          <w:p w:rsidRPr="007A4BFB" w:rsidR="007D49E4" w:rsidP="4AA51CF6" w:rsidRDefault="00603083" w14:paraId="0000005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0"/>
                <w:szCs w:val="20"/>
              </w:rPr>
            </w:pPr>
            <w:r w:rsidRPr="4AA51CF6">
              <w:rPr>
                <w:color w:val="000000" w:themeColor="text1"/>
                <w:sz w:val="20"/>
                <w:szCs w:val="20"/>
              </w:rPr>
              <w:t>Překážky a rizika</w:t>
            </w:r>
          </w:p>
        </w:tc>
        <w:tc>
          <w:tcPr>
            <w:tcW w:w="7223" w:type="dxa"/>
            <w:tcMar/>
          </w:tcPr>
          <w:p w:rsidRPr="007A4BFB" w:rsidR="007D49E4" w:rsidP="4AA51CF6" w:rsidRDefault="00603083" w14:paraId="00000058" w14:textId="050CA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Rizikem může být nedostatek finančních prostředků a nevhodně zvolené způsoby financování reformy.</w:t>
            </w:r>
            <w:r w:rsidRPr="4AA51CF6" w:rsidR="649C7606">
              <w:rPr>
                <w:sz w:val="20"/>
                <w:szCs w:val="20"/>
              </w:rPr>
              <w:t xml:space="preserve"> Nedostatečná analýza a monitoring vývoje představují zásadní riziko pro naplňování reforem a účelné vynaložení investic v rámci Národního plánu obnovy. </w:t>
            </w:r>
            <w:proofErr w:type="spellStart"/>
            <w:r w:rsidRPr="4AA51CF6" w:rsidR="649C7606">
              <w:rPr>
                <w:sz w:val="20"/>
                <w:szCs w:val="20"/>
              </w:rPr>
              <w:t>Nerealizace</w:t>
            </w:r>
            <w:proofErr w:type="spellEnd"/>
            <w:r w:rsidRPr="4AA51CF6" w:rsidR="649C7606">
              <w:rPr>
                <w:sz w:val="20"/>
                <w:szCs w:val="20"/>
              </w:rPr>
              <w:t xml:space="preserve"> tohoto nástroje tak přímo ohrožuje celé naplnění komponenty a navazujících aktivit.</w:t>
            </w:r>
            <w:r w:rsidRPr="4AA51CF6" w:rsidR="56590A47">
              <w:rPr>
                <w:sz w:val="20"/>
                <w:szCs w:val="20"/>
              </w:rPr>
              <w:t xml:space="preserve"> Klíčovým rizikem jsou nedostatečné personální kapacity u implementující instituce (Ministerstvo průmyslu a obchodu ČR).</w:t>
            </w:r>
          </w:p>
        </w:tc>
      </w:tr>
      <w:tr w:rsidRPr="007A4BFB" w:rsidR="007D49E4" w:rsidTr="22001951" w14:paraId="50CB0AC4" w14:textId="77777777">
        <w:tc>
          <w:tcPr>
            <w:tcW w:w="2405" w:type="dxa"/>
            <w:tcMar/>
          </w:tcPr>
          <w:p w:rsidRPr="007A4BFB" w:rsidR="007D49E4" w:rsidP="4AA51CF6" w:rsidRDefault="00603083" w14:paraId="0000005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0"/>
                <w:szCs w:val="20"/>
              </w:rPr>
            </w:pPr>
            <w:r w:rsidRPr="4AA51CF6">
              <w:rPr>
                <w:color w:val="000000" w:themeColor="text1"/>
                <w:sz w:val="20"/>
                <w:szCs w:val="20"/>
              </w:rPr>
              <w:t>Cílové skupiny populace a ekonomické subjekty</w:t>
            </w:r>
          </w:p>
        </w:tc>
        <w:tc>
          <w:tcPr>
            <w:tcW w:w="7223" w:type="dxa"/>
            <w:tcMar/>
          </w:tcPr>
          <w:p w:rsidRPr="007A4BFB" w:rsidR="007D49E4" w:rsidP="4EAC0756" w:rsidRDefault="2B932E34" w14:paraId="0000005A" w14:textId="73DC3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sz w:val="20"/>
                <w:szCs w:val="20"/>
              </w:rPr>
            </w:pPr>
            <w:r w:rsidRPr="4EAC0756">
              <w:rPr>
                <w:sz w:val="20"/>
                <w:szCs w:val="20"/>
              </w:rPr>
              <w:t>Reforma bude mít pozitivní dopad zejména na malé a střední podniky, ale také na stávající i nové zaměstnance či studenty a jejich připravenost využívat digitální nástroje pomocí zvyšování jejich digitálních dovedností.</w:t>
            </w:r>
            <w:r w:rsidRPr="4EAC0756" w:rsidR="1319950A">
              <w:rPr>
                <w:sz w:val="20"/>
                <w:szCs w:val="20"/>
              </w:rPr>
              <w:t xml:space="preserve"> Nadějné technologické podniky typu start-up a spin-</w:t>
            </w:r>
            <w:proofErr w:type="spellStart"/>
            <w:r w:rsidRPr="4EAC0756" w:rsidR="1319950A">
              <w:rPr>
                <w:sz w:val="20"/>
                <w:szCs w:val="20"/>
              </w:rPr>
              <w:t>off</w:t>
            </w:r>
            <w:proofErr w:type="spellEnd"/>
            <w:r w:rsidRPr="4EAC0756" w:rsidR="1319950A">
              <w:rPr>
                <w:sz w:val="20"/>
                <w:szCs w:val="20"/>
              </w:rPr>
              <w:t xml:space="preserve"> a další vysoce inovační soukromé společnosti.</w:t>
            </w:r>
          </w:p>
        </w:tc>
      </w:tr>
      <w:tr w:rsidRPr="007A4BFB" w:rsidR="007D49E4" w:rsidTr="22001951" w14:paraId="2D037E48" w14:textId="77777777">
        <w:tc>
          <w:tcPr>
            <w:tcW w:w="2405" w:type="dxa"/>
            <w:tcMar/>
          </w:tcPr>
          <w:p w:rsidRPr="007A4BFB" w:rsidR="007D49E4" w:rsidP="4AA51CF6" w:rsidRDefault="00603083" w14:paraId="0000005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0"/>
                <w:szCs w:val="20"/>
              </w:rPr>
            </w:pPr>
            <w:r w:rsidRPr="4AA51CF6">
              <w:rPr>
                <w:color w:val="000000" w:themeColor="text1"/>
                <w:sz w:val="20"/>
                <w:szCs w:val="20"/>
              </w:rPr>
              <w:t>Souhrnné náklady realizace financované z RRF za celé období</w:t>
            </w:r>
          </w:p>
        </w:tc>
        <w:tc>
          <w:tcPr>
            <w:tcW w:w="7223" w:type="dxa"/>
            <w:tcMar/>
          </w:tcPr>
          <w:p w:rsidR="007D49E4" w:rsidP="4AA51CF6" w:rsidRDefault="2B932E34" w14:paraId="2973AC9D" w14:textId="4A34D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4EAC0756">
              <w:rPr>
                <w:sz w:val="20"/>
                <w:szCs w:val="20"/>
              </w:rPr>
              <w:t xml:space="preserve">Reforma předpokládá náklady </w:t>
            </w:r>
            <w:r w:rsidRPr="4EAC0756" w:rsidR="7EB50248">
              <w:rPr>
                <w:sz w:val="20"/>
                <w:szCs w:val="20"/>
              </w:rPr>
              <w:t>18</w:t>
            </w:r>
            <w:r w:rsidRPr="4EAC0756" w:rsidR="7C63724D">
              <w:rPr>
                <w:sz w:val="20"/>
                <w:szCs w:val="20"/>
              </w:rPr>
              <w:t xml:space="preserve"> </w:t>
            </w:r>
            <w:r w:rsidRPr="4EAC0756">
              <w:rPr>
                <w:sz w:val="20"/>
                <w:szCs w:val="20"/>
              </w:rPr>
              <w:t>mil. Kč v období 2021-202</w:t>
            </w:r>
            <w:r w:rsidRPr="4EAC0756" w:rsidR="0097007C">
              <w:rPr>
                <w:sz w:val="20"/>
                <w:szCs w:val="20"/>
              </w:rPr>
              <w:t>5</w:t>
            </w:r>
            <w:r w:rsidRPr="4EAC0756">
              <w:rPr>
                <w:sz w:val="20"/>
                <w:szCs w:val="20"/>
              </w:rPr>
              <w:t xml:space="preserve">. </w:t>
            </w:r>
          </w:p>
          <w:p w:rsidRPr="0097007C" w:rsidR="0097007C" w:rsidP="4AA51CF6" w:rsidRDefault="0097007C" w14:paraId="0000005C" w14:textId="55B1D5E8">
            <w:pPr>
              <w:tabs>
                <w:tab w:val="left" w:pos="2055"/>
              </w:tabs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ab/>
            </w:r>
          </w:p>
        </w:tc>
      </w:tr>
      <w:tr w:rsidRPr="007A4BFB" w:rsidR="007D49E4" w:rsidTr="22001951" w14:paraId="770E2705" w14:textId="77777777">
        <w:tc>
          <w:tcPr>
            <w:tcW w:w="2405" w:type="dxa"/>
            <w:tcMar/>
          </w:tcPr>
          <w:p w:rsidRPr="007A4BFB" w:rsidR="007D49E4" w:rsidP="4AA51CF6" w:rsidRDefault="00603083" w14:paraId="0000005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0"/>
                <w:szCs w:val="20"/>
              </w:rPr>
            </w:pPr>
            <w:r w:rsidRPr="4AA51CF6">
              <w:rPr>
                <w:color w:val="000000" w:themeColor="text1"/>
                <w:sz w:val="20"/>
                <w:szCs w:val="20"/>
              </w:rPr>
              <w:t>Dodržování pravidel státní podpory</w:t>
            </w:r>
          </w:p>
        </w:tc>
        <w:tc>
          <w:tcPr>
            <w:tcW w:w="7223" w:type="dxa"/>
            <w:tcMar/>
          </w:tcPr>
          <w:p w:rsidRPr="007A4BFB" w:rsidR="007D49E4" w:rsidP="4AA51CF6" w:rsidRDefault="00603083" w14:paraId="0000005E" w14:textId="518BB9BD">
            <w:pPr>
              <w:spacing w:after="120"/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 xml:space="preserve">Veškerá veřejná podpora bude </w:t>
            </w:r>
            <w:r w:rsidRPr="4AA51CF6" w:rsidR="00DD0E46">
              <w:rPr>
                <w:sz w:val="20"/>
                <w:szCs w:val="20"/>
              </w:rPr>
              <w:t xml:space="preserve">v souladu s platnou právní úpravou, bez nutnosti notifikace </w:t>
            </w:r>
            <w:r w:rsidRPr="4AA51CF6">
              <w:rPr>
                <w:sz w:val="20"/>
                <w:szCs w:val="20"/>
              </w:rPr>
              <w:t>konkrétních projekt</w:t>
            </w:r>
            <w:r w:rsidRPr="4AA51CF6" w:rsidR="00DD0E46">
              <w:rPr>
                <w:sz w:val="20"/>
                <w:szCs w:val="20"/>
              </w:rPr>
              <w:t>ů</w:t>
            </w:r>
            <w:r w:rsidRPr="4AA51CF6">
              <w:rPr>
                <w:sz w:val="20"/>
                <w:szCs w:val="20"/>
              </w:rPr>
              <w:t xml:space="preserve"> a </w:t>
            </w:r>
            <w:r w:rsidRPr="4AA51CF6" w:rsidR="00DD0E46">
              <w:rPr>
                <w:sz w:val="20"/>
                <w:szCs w:val="20"/>
              </w:rPr>
              <w:t xml:space="preserve">využití </w:t>
            </w:r>
            <w:r w:rsidRPr="4AA51CF6">
              <w:rPr>
                <w:sz w:val="20"/>
                <w:szCs w:val="20"/>
              </w:rPr>
              <w:t>dočasného rámce a dalších pravidel v souvislosti s implementací RRF/NPO.</w:t>
            </w:r>
          </w:p>
        </w:tc>
      </w:tr>
      <w:tr w:rsidRPr="007A4BFB" w:rsidR="007D49E4" w:rsidTr="22001951" w14:paraId="24C8BC5E" w14:textId="77777777">
        <w:tc>
          <w:tcPr>
            <w:tcW w:w="2405" w:type="dxa"/>
            <w:tcMar/>
          </w:tcPr>
          <w:p w:rsidRPr="007A4BFB" w:rsidR="007D49E4" w:rsidP="4AA51CF6" w:rsidRDefault="00603083" w14:paraId="0000005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0"/>
                <w:szCs w:val="20"/>
              </w:rPr>
            </w:pPr>
            <w:r w:rsidRPr="4AA51CF6">
              <w:rPr>
                <w:color w:val="000000" w:themeColor="text1"/>
                <w:sz w:val="20"/>
                <w:szCs w:val="20"/>
              </w:rPr>
              <w:t>Uveďte dobu implementace</w:t>
            </w:r>
          </w:p>
        </w:tc>
        <w:tc>
          <w:tcPr>
            <w:tcW w:w="7223" w:type="dxa"/>
            <w:tcMar/>
          </w:tcPr>
          <w:p w:rsidRPr="007A4BFB" w:rsidR="007D49E4" w:rsidP="4AA51CF6" w:rsidRDefault="00A67E3E" w14:paraId="00000060" w14:textId="3B4EAE29">
            <w:pPr>
              <w:jc w:val="both"/>
              <w:rPr>
                <w:i/>
                <w:iCs/>
                <w:color w:val="2196FF"/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2021–2025</w:t>
            </w:r>
          </w:p>
        </w:tc>
      </w:tr>
    </w:tbl>
    <w:p w:rsidR="00A52833" w:rsidP="4AA51CF6" w:rsidRDefault="00A52833" w14:paraId="22C6902A" w14:textId="77777777">
      <w:pPr>
        <w:spacing w:after="120" w:line="240" w:lineRule="auto"/>
        <w:jc w:val="both"/>
        <w:rPr>
          <w:b/>
          <w:bCs/>
          <w:sz w:val="20"/>
          <w:szCs w:val="20"/>
        </w:rPr>
      </w:pPr>
    </w:p>
    <w:p w:rsidR="00A52833" w:rsidP="4AA51CF6" w:rsidRDefault="00A52833" w14:paraId="6862614C" w14:textId="6DE35652">
      <w:pPr>
        <w:spacing w:line="240" w:lineRule="auto"/>
        <w:rPr>
          <w:b/>
          <w:bCs/>
          <w:sz w:val="20"/>
          <w:szCs w:val="20"/>
        </w:rPr>
      </w:pPr>
      <w:r w:rsidRPr="4AA51CF6">
        <w:rPr>
          <w:b/>
          <w:bCs/>
          <w:sz w:val="20"/>
          <w:szCs w:val="20"/>
        </w:rPr>
        <w:br w:type="page"/>
      </w:r>
    </w:p>
    <w:p w:rsidRPr="007022F7" w:rsidR="00A52833" w:rsidP="000A579A" w:rsidRDefault="4CBFFF76" w14:paraId="23BD75C1" w14:textId="4C4AFEF3">
      <w:pPr>
        <w:spacing w:after="120" w:line="240" w:lineRule="auto"/>
        <w:rPr>
          <w:b/>
          <w:bCs/>
          <w:color w:val="000000" w:themeColor="text1"/>
          <w:sz w:val="20"/>
          <w:szCs w:val="20"/>
        </w:rPr>
      </w:pPr>
      <w:r w:rsidRPr="4EAC0756">
        <w:rPr>
          <w:b/>
          <w:bCs/>
          <w:color w:val="000000" w:themeColor="text1"/>
          <w:sz w:val="20"/>
          <w:szCs w:val="20"/>
        </w:rPr>
        <w:lastRenderedPageBreak/>
        <w:t>2</w:t>
      </w:r>
      <w:r w:rsidRPr="4EAC0756" w:rsidR="00CE7CEC">
        <w:rPr>
          <w:b/>
          <w:bCs/>
          <w:color w:val="000000" w:themeColor="text1"/>
          <w:sz w:val="20"/>
          <w:szCs w:val="20"/>
        </w:rPr>
        <w:t xml:space="preserve">. </w:t>
      </w:r>
      <w:r w:rsidRPr="4EAC0756" w:rsidR="1FE6C1D2">
        <w:rPr>
          <w:b/>
          <w:bCs/>
          <w:color w:val="000000" w:themeColor="text1"/>
          <w:sz w:val="20"/>
          <w:szCs w:val="20"/>
        </w:rPr>
        <w:t xml:space="preserve"> Společná skupina pro podporu a certifikaci </w:t>
      </w:r>
      <w:proofErr w:type="spellStart"/>
      <w:r w:rsidRPr="4EAC0756" w:rsidR="1FE6C1D2">
        <w:rPr>
          <w:b/>
          <w:bCs/>
          <w:color w:val="000000" w:themeColor="text1"/>
          <w:sz w:val="20"/>
          <w:szCs w:val="20"/>
        </w:rPr>
        <w:t>strategických</w:t>
      </w:r>
      <w:proofErr w:type="spellEnd"/>
      <w:r w:rsidRPr="4EAC0756" w:rsidR="1FE6C1D2">
        <w:rPr>
          <w:b/>
          <w:bCs/>
          <w:color w:val="000000" w:themeColor="text1"/>
          <w:sz w:val="20"/>
          <w:szCs w:val="20"/>
        </w:rPr>
        <w:t xml:space="preserve"> technologií s Radou pro </w:t>
      </w:r>
      <w:proofErr w:type="spellStart"/>
      <w:r w:rsidRPr="4EAC0756" w:rsidR="1FE6C1D2">
        <w:rPr>
          <w:b/>
          <w:bCs/>
          <w:color w:val="000000" w:themeColor="text1"/>
          <w:sz w:val="20"/>
          <w:szCs w:val="20"/>
        </w:rPr>
        <w:t>strategicke</w:t>
      </w:r>
      <w:proofErr w:type="spellEnd"/>
      <w:r w:rsidRPr="4EAC0756" w:rsidR="1FE6C1D2">
        <w:rPr>
          <w:b/>
          <w:bCs/>
          <w:color w:val="000000" w:themeColor="text1"/>
          <w:sz w:val="20"/>
          <w:szCs w:val="20"/>
        </w:rPr>
        <w:t xml:space="preserve">́ technologie </w:t>
      </w:r>
    </w:p>
    <w:tbl>
      <w:tblPr>
        <w:tblStyle w:val="a0"/>
        <w:tblW w:w="96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7223"/>
      </w:tblGrid>
      <w:tr w:rsidRPr="007A4BFB" w:rsidR="00A52833" w:rsidTr="4EAC0756" w14:paraId="5B0BBB40" w14:textId="77777777">
        <w:tc>
          <w:tcPr>
            <w:tcW w:w="2405" w:type="dxa"/>
          </w:tcPr>
          <w:p w:rsidRPr="007A4BFB" w:rsidR="00A52833" w:rsidP="4AA51CF6" w:rsidRDefault="00A52833" w14:paraId="365B1F9E" w14:textId="77777777">
            <w:pPr>
              <w:spacing w:after="120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Výzva</w:t>
            </w:r>
          </w:p>
        </w:tc>
        <w:tc>
          <w:tcPr>
            <w:tcW w:w="7223" w:type="dxa"/>
          </w:tcPr>
          <w:p w:rsidRPr="007A4BFB" w:rsidR="00A52833" w:rsidP="4AA51CF6" w:rsidRDefault="425DB39F" w14:paraId="5CFFC3E9" w14:textId="52767018">
            <w:pPr>
              <w:spacing w:after="120"/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České subjekty dlouhodobě ztráce</w:t>
            </w:r>
            <w:r w:rsidRPr="4AA51CF6" w:rsidR="0017667B">
              <w:rPr>
                <w:sz w:val="20"/>
                <w:szCs w:val="20"/>
              </w:rPr>
              <w:t>jí</w:t>
            </w:r>
            <w:r w:rsidRPr="4AA51CF6">
              <w:rPr>
                <w:sz w:val="20"/>
                <w:szCs w:val="20"/>
              </w:rPr>
              <w:t xml:space="preserve"> konkurenceschopnost v náročných oborech</w:t>
            </w:r>
            <w:r w:rsidRPr="4AA51CF6" w:rsidR="0017667B">
              <w:rPr>
                <w:sz w:val="20"/>
                <w:szCs w:val="20"/>
              </w:rPr>
              <w:t xml:space="preserve"> </w:t>
            </w:r>
            <w:r w:rsidRPr="4AA51CF6">
              <w:rPr>
                <w:sz w:val="20"/>
                <w:szCs w:val="20"/>
              </w:rPr>
              <w:t xml:space="preserve">jako jsou letectví, vesmírné aplikace, výroba zdravotnických prostředků, </w:t>
            </w:r>
            <w:r w:rsidRPr="4AA51CF6" w:rsidR="0017667B">
              <w:rPr>
                <w:sz w:val="20"/>
                <w:szCs w:val="20"/>
              </w:rPr>
              <w:t xml:space="preserve">ale i </w:t>
            </w:r>
            <w:r w:rsidRPr="4AA51CF6">
              <w:rPr>
                <w:sz w:val="20"/>
                <w:szCs w:val="20"/>
              </w:rPr>
              <w:t>kosmetiky a potravin</w:t>
            </w:r>
            <w:r w:rsidRPr="4AA51CF6" w:rsidR="0017667B">
              <w:rPr>
                <w:sz w:val="20"/>
                <w:szCs w:val="20"/>
              </w:rPr>
              <w:t>, které</w:t>
            </w:r>
            <w:r w:rsidRPr="4AA51CF6">
              <w:rPr>
                <w:sz w:val="20"/>
                <w:szCs w:val="20"/>
              </w:rPr>
              <w:t xml:space="preserve"> se vyznačují velkou mírou interakce s regulátory a akceptací společných standardů výrobních procesů a produktů. Certifikáty managementu jakosti jsou nyní v ČR zavedeny pouze u malého počtu podniků.  Tuzemské firmy tak výrazně zaostávají za konkurencí z jiných evropských států (např. Francie, Německa, Belgie). Situace v posledních měsících navíc ukázala na problematiku notifikovaných osob a certifikace zdravotnických prostředků dle EU MDR 2017/745, IVDR 2017/746. Tato situace tedy znamená, že české subjekty nebudou moci od 26.5.2021 získat certifikáty pro zdravotnické prostředky (ZP) v ČR. Ti výrobci, kteří stihnou podat po tomto datu, budou mít certifikáty v platnosti pouze do r. 2024. Druhým příkladem je letecký průmysl, který navíc krizí COVID19 značně poškozen. Cílem je tedy podpora těch institucí v ČR, aby mohly mít zajištěnou kapacitu a potřebná oprávnění, a zároveň umožnit českým firmám, aby pro ně byla certifikace dostupnější. Oproti svým kolegům v jiných zemích mají tu nevýhodu, že veškerá dokumentace a zpracované podklady včetně překladů velmi prodražují náklady na certifikaci a jsou tak do značné míry znevýhodněny oproti firmám, které žádané certifikace ve svém domovském státu. Pandemie ukázala, že současný stav v ČR je nedostačující a české subjekty se musel</w:t>
            </w:r>
            <w:r w:rsidRPr="4AA51CF6" w:rsidR="3AC218F5">
              <w:rPr>
                <w:sz w:val="20"/>
                <w:szCs w:val="20"/>
              </w:rPr>
              <w:t>y</w:t>
            </w:r>
            <w:r w:rsidRPr="4AA51CF6">
              <w:rPr>
                <w:sz w:val="20"/>
                <w:szCs w:val="20"/>
              </w:rPr>
              <w:t xml:space="preserve"> obracet na instituce v zahraničí, což ale jednak nebylo někdy možné, jednak zde byly dlouhé čekají lhůty a jednak se značně prodražil celý certifikační proces (náklady na vysoce odborné překlady apod.). Navržená podpora včetně výše potřebné investice byla konzultována např. Výzkumným a zkušebním leteckým ústavem (VZLÚ), Asociací leteckých a kosmických výrobců České republiky či Asociací výrobců a dodavatelů zdravotnických prostředků (AVDZP).</w:t>
            </w:r>
          </w:p>
        </w:tc>
      </w:tr>
      <w:tr w:rsidRPr="007A4BFB" w:rsidR="00A52833" w:rsidTr="4EAC0756" w14:paraId="2F3A10E5" w14:textId="77777777">
        <w:tc>
          <w:tcPr>
            <w:tcW w:w="2405" w:type="dxa"/>
          </w:tcPr>
          <w:p w:rsidRPr="007A4BFB" w:rsidR="00A52833" w:rsidP="4AA51CF6" w:rsidRDefault="00A52833" w14:paraId="6C1B7EE2" w14:textId="77777777">
            <w:pPr>
              <w:spacing w:after="120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Cíl</w:t>
            </w:r>
          </w:p>
        </w:tc>
        <w:tc>
          <w:tcPr>
            <w:tcW w:w="7223" w:type="dxa"/>
          </w:tcPr>
          <w:p w:rsidRPr="00A63654" w:rsidR="00A52833" w:rsidP="4AA51CF6" w:rsidRDefault="425DB39F" w14:paraId="6844B754" w14:textId="2F45955B">
            <w:pPr>
              <w:spacing w:after="120"/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 xml:space="preserve">Cílem </w:t>
            </w:r>
            <w:r w:rsidRPr="4AA51CF6" w:rsidR="5DEF4B8A">
              <w:rPr>
                <w:sz w:val="20"/>
                <w:szCs w:val="20"/>
              </w:rPr>
              <w:t>reformy</w:t>
            </w:r>
            <w:r w:rsidRPr="4AA51CF6">
              <w:rPr>
                <w:sz w:val="20"/>
                <w:szCs w:val="20"/>
              </w:rPr>
              <w:t xml:space="preserve"> je zvýšení konkurenceschopnosti českých podniků na mezinárodních trzích a zlepšení managementu jakosti a procesů, a to prostřednictvím zajištění sítě akreditovaných laboratoří s dostatečnou kapacitou pro testování včetně zajištění kvalifikovaných pracovníků pro oblast certifikace a usnadnění implementace administrativně náročných produktových standardů a standardů systémů řízení, které nejsou v ČR majoritně rozšířeny. Prostřednictvím projektu budou vytvořeny podmínky pro vznik a rozvoj kvalifikovaných pracovních míst, firmám z ČR se rozšíří možnosti získání zakázek a lepší výchozí pozice při podávání nabídek u náročné výroby a zlepšení dostupnosti znalostí, které se dosud ve velké míře objednávali mimo ČR. Konečným výstupem bude tedy uvedení větší množství produktů na trh, odstranění překážek při jejich uvádění na trh a odstranění překážek pro dodávky na bonitní trhy. V případě leteckého průmyslu se bude např. konkrétně jednat o zvýšení počtu firem certifikovaných dle NADCAP, ECSS, AS9100 a dle pravidel U.S.FDA (v případě leteckého průmyslu).</w:t>
            </w:r>
          </w:p>
        </w:tc>
      </w:tr>
      <w:tr w:rsidRPr="007A4BFB" w:rsidR="00A52833" w:rsidTr="4EAC0756" w14:paraId="3687E1F7" w14:textId="77777777">
        <w:tc>
          <w:tcPr>
            <w:tcW w:w="2405" w:type="dxa"/>
          </w:tcPr>
          <w:p w:rsidRPr="007A4BFB" w:rsidR="00A52833" w:rsidP="4AA51CF6" w:rsidRDefault="00A52833" w14:paraId="61A6F2F0" w14:textId="77777777">
            <w:pPr>
              <w:spacing w:after="120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Implementace</w:t>
            </w:r>
          </w:p>
        </w:tc>
        <w:tc>
          <w:tcPr>
            <w:tcW w:w="7223" w:type="dxa"/>
          </w:tcPr>
          <w:p w:rsidRPr="007A4BFB" w:rsidR="00A52833" w:rsidP="4AA51CF6" w:rsidRDefault="00A52833" w14:paraId="5CC2C18B" w14:textId="045303F0">
            <w:pPr>
              <w:spacing w:after="120"/>
              <w:jc w:val="both"/>
              <w:rPr>
                <w:i/>
                <w:iCs/>
                <w:color w:val="2196FF"/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Ministerstvo průmyslu a obchodu ČR ve spolupráci s </w:t>
            </w:r>
            <w:r w:rsidRPr="4AA51CF6" w:rsidR="425DB39F">
              <w:rPr>
                <w:sz w:val="20"/>
                <w:szCs w:val="20"/>
              </w:rPr>
              <w:t xml:space="preserve">Agenturou </w:t>
            </w:r>
            <w:proofErr w:type="spellStart"/>
            <w:r w:rsidRPr="4AA51CF6" w:rsidR="425DB39F">
              <w:rPr>
                <w:sz w:val="20"/>
                <w:szCs w:val="20"/>
              </w:rPr>
              <w:t>CzechInvest</w:t>
            </w:r>
            <w:proofErr w:type="spellEnd"/>
            <w:r w:rsidRPr="4AA51CF6" w:rsidR="425DB39F">
              <w:rPr>
                <w:sz w:val="20"/>
                <w:szCs w:val="20"/>
              </w:rPr>
              <w:t xml:space="preserve">. Podporovány budou aktivity směřující k získání certifikátů managementu jakosti a produktových certifikátů a registrací vyžadovaných regulátorem pro uvedení na národní trh. Jedná se tedy o konzultační a poradenské služby, příprava dokumentace ke správné výrobní praxi, přípravu dokumentů včetně laboratorních zkoušek a překladů potřebných dokumentů a v neposlední řadě i podpora samotné certifikace. V případě samo samotné infrastruktury, tedy výzkumných center a laboratoří (vč. soukromé sféry), by šla podpora konkrétně na dovybavení laboratoří, proces akreditací a celkově nákupy </w:t>
            </w:r>
            <w:proofErr w:type="spellStart"/>
            <w:r w:rsidRPr="4AA51CF6" w:rsidR="425DB39F">
              <w:rPr>
                <w:sz w:val="20"/>
                <w:szCs w:val="20"/>
              </w:rPr>
              <w:t>hi-tech</w:t>
            </w:r>
            <w:proofErr w:type="spellEnd"/>
            <w:r w:rsidRPr="4AA51CF6" w:rsidR="425DB39F">
              <w:rPr>
                <w:sz w:val="20"/>
                <w:szCs w:val="20"/>
              </w:rPr>
              <w:t xml:space="preserve"> strojů. Podpora by byla zaměřena zejména na: a) </w:t>
            </w:r>
            <w:proofErr w:type="spellStart"/>
            <w:r w:rsidRPr="4AA51CF6" w:rsidR="425DB39F">
              <w:rPr>
                <w:sz w:val="20"/>
                <w:szCs w:val="20"/>
              </w:rPr>
              <w:t>Advanced</w:t>
            </w:r>
            <w:proofErr w:type="spellEnd"/>
            <w:r w:rsidRPr="4AA51CF6" w:rsidR="425DB39F">
              <w:rPr>
                <w:sz w:val="20"/>
                <w:szCs w:val="20"/>
              </w:rPr>
              <w:t xml:space="preserve"> </w:t>
            </w:r>
            <w:proofErr w:type="spellStart"/>
            <w:r w:rsidRPr="4AA51CF6" w:rsidR="425DB39F">
              <w:rPr>
                <w:sz w:val="20"/>
                <w:szCs w:val="20"/>
              </w:rPr>
              <w:t>materials</w:t>
            </w:r>
            <w:proofErr w:type="spellEnd"/>
            <w:r w:rsidRPr="4AA51CF6" w:rsidR="425DB39F">
              <w:rPr>
                <w:sz w:val="20"/>
                <w:szCs w:val="20"/>
              </w:rPr>
              <w:t xml:space="preserve"> and </w:t>
            </w:r>
            <w:proofErr w:type="spellStart"/>
            <w:r w:rsidRPr="4AA51CF6" w:rsidR="425DB39F">
              <w:rPr>
                <w:sz w:val="20"/>
                <w:szCs w:val="20"/>
              </w:rPr>
              <w:t>technologies</w:t>
            </w:r>
            <w:proofErr w:type="spellEnd"/>
            <w:r w:rsidRPr="4AA51CF6" w:rsidR="425DB39F">
              <w:rPr>
                <w:sz w:val="20"/>
                <w:szCs w:val="20"/>
              </w:rPr>
              <w:t xml:space="preserve"> (</w:t>
            </w:r>
            <w:proofErr w:type="spellStart"/>
            <w:r w:rsidRPr="4AA51CF6" w:rsidR="425DB39F">
              <w:rPr>
                <w:sz w:val="20"/>
                <w:szCs w:val="20"/>
              </w:rPr>
              <w:t>composites</w:t>
            </w:r>
            <w:proofErr w:type="spellEnd"/>
            <w:r w:rsidRPr="4AA51CF6" w:rsidR="425DB39F">
              <w:rPr>
                <w:sz w:val="20"/>
                <w:szCs w:val="20"/>
              </w:rPr>
              <w:t xml:space="preserve">, </w:t>
            </w:r>
            <w:proofErr w:type="spellStart"/>
            <w:r w:rsidRPr="4AA51CF6" w:rsidR="425DB39F">
              <w:rPr>
                <w:sz w:val="20"/>
                <w:szCs w:val="20"/>
              </w:rPr>
              <w:t>additive</w:t>
            </w:r>
            <w:proofErr w:type="spellEnd"/>
            <w:r w:rsidRPr="4AA51CF6" w:rsidR="425DB39F">
              <w:rPr>
                <w:sz w:val="20"/>
                <w:szCs w:val="20"/>
              </w:rPr>
              <w:t xml:space="preserve"> </w:t>
            </w:r>
            <w:proofErr w:type="spellStart"/>
            <w:r w:rsidRPr="4AA51CF6" w:rsidR="425DB39F">
              <w:rPr>
                <w:sz w:val="20"/>
                <w:szCs w:val="20"/>
              </w:rPr>
              <w:t>manufacturing</w:t>
            </w:r>
            <w:proofErr w:type="spellEnd"/>
            <w:r w:rsidRPr="4AA51CF6" w:rsidR="425DB39F">
              <w:rPr>
                <w:sz w:val="20"/>
                <w:szCs w:val="20"/>
              </w:rPr>
              <w:t xml:space="preserve">, laser </w:t>
            </w:r>
            <w:proofErr w:type="spellStart"/>
            <w:r w:rsidRPr="4AA51CF6" w:rsidR="425DB39F">
              <w:rPr>
                <w:sz w:val="20"/>
                <w:szCs w:val="20"/>
              </w:rPr>
              <w:t>applications</w:t>
            </w:r>
            <w:proofErr w:type="spellEnd"/>
            <w:r w:rsidRPr="4AA51CF6" w:rsidR="425DB39F">
              <w:rPr>
                <w:sz w:val="20"/>
                <w:szCs w:val="20"/>
              </w:rPr>
              <w:t xml:space="preserve">…); b) Green </w:t>
            </w:r>
            <w:proofErr w:type="spellStart"/>
            <w:r w:rsidRPr="4AA51CF6" w:rsidR="425DB39F">
              <w:rPr>
                <w:sz w:val="20"/>
                <w:szCs w:val="20"/>
              </w:rPr>
              <w:t>technologies</w:t>
            </w:r>
            <w:proofErr w:type="spellEnd"/>
            <w:r w:rsidRPr="4AA51CF6" w:rsidR="425DB39F">
              <w:rPr>
                <w:sz w:val="20"/>
                <w:szCs w:val="20"/>
              </w:rPr>
              <w:t xml:space="preserve"> (hybrid/</w:t>
            </w:r>
            <w:proofErr w:type="spellStart"/>
            <w:r w:rsidRPr="4AA51CF6" w:rsidR="425DB39F">
              <w:rPr>
                <w:sz w:val="20"/>
                <w:szCs w:val="20"/>
              </w:rPr>
              <w:t>electric</w:t>
            </w:r>
            <w:proofErr w:type="spellEnd"/>
            <w:r w:rsidRPr="4AA51CF6" w:rsidR="425DB39F">
              <w:rPr>
                <w:sz w:val="20"/>
                <w:szCs w:val="20"/>
              </w:rPr>
              <w:t xml:space="preserve"> </w:t>
            </w:r>
            <w:proofErr w:type="spellStart"/>
            <w:r w:rsidRPr="4AA51CF6" w:rsidR="425DB39F">
              <w:rPr>
                <w:sz w:val="20"/>
                <w:szCs w:val="20"/>
              </w:rPr>
              <w:t>propulsion</w:t>
            </w:r>
            <w:proofErr w:type="spellEnd"/>
            <w:r w:rsidRPr="4AA51CF6" w:rsidR="425DB39F">
              <w:rPr>
                <w:sz w:val="20"/>
                <w:szCs w:val="20"/>
              </w:rPr>
              <w:t xml:space="preserve">, </w:t>
            </w:r>
            <w:proofErr w:type="spellStart"/>
            <w:r w:rsidRPr="4AA51CF6" w:rsidR="425DB39F">
              <w:rPr>
                <w:sz w:val="20"/>
                <w:szCs w:val="20"/>
              </w:rPr>
              <w:t>decarbonization</w:t>
            </w:r>
            <w:proofErr w:type="spellEnd"/>
            <w:r w:rsidRPr="4AA51CF6" w:rsidR="425DB39F">
              <w:rPr>
                <w:sz w:val="20"/>
                <w:szCs w:val="20"/>
              </w:rPr>
              <w:t xml:space="preserve">, </w:t>
            </w:r>
            <w:proofErr w:type="spellStart"/>
            <w:r w:rsidRPr="4AA51CF6" w:rsidR="425DB39F">
              <w:rPr>
                <w:sz w:val="20"/>
                <w:szCs w:val="20"/>
              </w:rPr>
              <w:t>noise</w:t>
            </w:r>
            <w:proofErr w:type="spellEnd"/>
            <w:r w:rsidRPr="4AA51CF6" w:rsidR="425DB39F">
              <w:rPr>
                <w:sz w:val="20"/>
                <w:szCs w:val="20"/>
              </w:rPr>
              <w:t xml:space="preserve"> </w:t>
            </w:r>
            <w:proofErr w:type="spellStart"/>
            <w:r w:rsidRPr="4AA51CF6" w:rsidR="425DB39F">
              <w:rPr>
                <w:sz w:val="20"/>
                <w:szCs w:val="20"/>
              </w:rPr>
              <w:t>reduction</w:t>
            </w:r>
            <w:proofErr w:type="spellEnd"/>
            <w:r w:rsidRPr="4AA51CF6" w:rsidR="425DB39F">
              <w:rPr>
                <w:sz w:val="20"/>
                <w:szCs w:val="20"/>
              </w:rPr>
              <w:t xml:space="preserve">, </w:t>
            </w:r>
            <w:proofErr w:type="spellStart"/>
            <w:r w:rsidRPr="4AA51CF6" w:rsidR="425DB39F">
              <w:rPr>
                <w:sz w:val="20"/>
                <w:szCs w:val="20"/>
              </w:rPr>
              <w:t>biofuel</w:t>
            </w:r>
            <w:proofErr w:type="spellEnd"/>
            <w:r w:rsidRPr="4AA51CF6" w:rsidR="425DB39F">
              <w:rPr>
                <w:sz w:val="20"/>
                <w:szCs w:val="20"/>
              </w:rPr>
              <w:t xml:space="preserve">, </w:t>
            </w:r>
            <w:proofErr w:type="spellStart"/>
            <w:r w:rsidRPr="4AA51CF6" w:rsidR="425DB39F">
              <w:rPr>
                <w:sz w:val="20"/>
                <w:szCs w:val="20"/>
              </w:rPr>
              <w:t>sustainability</w:t>
            </w:r>
            <w:proofErr w:type="spellEnd"/>
            <w:r w:rsidRPr="4AA51CF6" w:rsidR="425DB39F">
              <w:rPr>
                <w:sz w:val="20"/>
                <w:szCs w:val="20"/>
              </w:rPr>
              <w:t xml:space="preserve"> </w:t>
            </w:r>
            <w:proofErr w:type="spellStart"/>
            <w:r w:rsidRPr="4AA51CF6" w:rsidR="425DB39F">
              <w:rPr>
                <w:sz w:val="20"/>
                <w:szCs w:val="20"/>
              </w:rPr>
              <w:t>of</w:t>
            </w:r>
            <w:proofErr w:type="spellEnd"/>
            <w:r w:rsidRPr="4AA51CF6" w:rsidR="425DB39F">
              <w:rPr>
                <w:sz w:val="20"/>
                <w:szCs w:val="20"/>
              </w:rPr>
              <w:t xml:space="preserve"> air transport…); c) </w:t>
            </w:r>
            <w:proofErr w:type="spellStart"/>
            <w:r w:rsidRPr="4AA51CF6" w:rsidR="425DB39F">
              <w:rPr>
                <w:sz w:val="20"/>
                <w:szCs w:val="20"/>
              </w:rPr>
              <w:t>Automation</w:t>
            </w:r>
            <w:proofErr w:type="spellEnd"/>
            <w:r w:rsidRPr="4AA51CF6" w:rsidR="425DB39F">
              <w:rPr>
                <w:sz w:val="20"/>
                <w:szCs w:val="20"/>
              </w:rPr>
              <w:t xml:space="preserve"> and </w:t>
            </w:r>
            <w:proofErr w:type="spellStart"/>
            <w:r w:rsidRPr="4AA51CF6" w:rsidR="425DB39F">
              <w:rPr>
                <w:sz w:val="20"/>
                <w:szCs w:val="20"/>
              </w:rPr>
              <w:t>digitization</w:t>
            </w:r>
            <w:proofErr w:type="spellEnd"/>
            <w:r w:rsidRPr="4AA51CF6" w:rsidR="425DB39F">
              <w:rPr>
                <w:sz w:val="20"/>
                <w:szCs w:val="20"/>
              </w:rPr>
              <w:t xml:space="preserve">; d) </w:t>
            </w:r>
            <w:proofErr w:type="spellStart"/>
            <w:r w:rsidRPr="4AA51CF6" w:rsidR="425DB39F">
              <w:rPr>
                <w:sz w:val="20"/>
                <w:szCs w:val="20"/>
              </w:rPr>
              <w:t>Unmanned</w:t>
            </w:r>
            <w:proofErr w:type="spellEnd"/>
            <w:r w:rsidRPr="4AA51CF6" w:rsidR="425DB39F">
              <w:rPr>
                <w:sz w:val="20"/>
                <w:szCs w:val="20"/>
              </w:rPr>
              <w:t xml:space="preserve"> </w:t>
            </w:r>
            <w:proofErr w:type="spellStart"/>
            <w:r w:rsidRPr="4AA51CF6" w:rsidR="425DB39F">
              <w:rPr>
                <w:sz w:val="20"/>
                <w:szCs w:val="20"/>
              </w:rPr>
              <w:t>Aerial</w:t>
            </w:r>
            <w:proofErr w:type="spellEnd"/>
            <w:r w:rsidRPr="4AA51CF6" w:rsidR="425DB39F">
              <w:rPr>
                <w:sz w:val="20"/>
                <w:szCs w:val="20"/>
              </w:rPr>
              <w:t xml:space="preserve"> </w:t>
            </w:r>
            <w:proofErr w:type="spellStart"/>
            <w:r w:rsidRPr="4AA51CF6" w:rsidR="425DB39F">
              <w:rPr>
                <w:sz w:val="20"/>
                <w:szCs w:val="20"/>
              </w:rPr>
              <w:t>Vehicle</w:t>
            </w:r>
            <w:proofErr w:type="spellEnd"/>
            <w:r w:rsidRPr="4AA51CF6" w:rsidR="425DB39F">
              <w:rPr>
                <w:sz w:val="20"/>
                <w:szCs w:val="20"/>
              </w:rPr>
              <w:t xml:space="preserve"> (UAV)/</w:t>
            </w:r>
            <w:proofErr w:type="spellStart"/>
            <w:r w:rsidRPr="4AA51CF6" w:rsidR="425DB39F">
              <w:rPr>
                <w:sz w:val="20"/>
                <w:szCs w:val="20"/>
              </w:rPr>
              <w:t>Unmanned</w:t>
            </w:r>
            <w:proofErr w:type="spellEnd"/>
            <w:r w:rsidRPr="4AA51CF6" w:rsidR="425DB39F">
              <w:rPr>
                <w:sz w:val="20"/>
                <w:szCs w:val="20"/>
              </w:rPr>
              <w:t xml:space="preserve"> </w:t>
            </w:r>
            <w:proofErr w:type="spellStart"/>
            <w:r w:rsidRPr="4AA51CF6" w:rsidR="425DB39F">
              <w:rPr>
                <w:sz w:val="20"/>
                <w:szCs w:val="20"/>
              </w:rPr>
              <w:t>Aircraft</w:t>
            </w:r>
            <w:proofErr w:type="spellEnd"/>
            <w:r w:rsidRPr="4AA51CF6" w:rsidR="425DB39F">
              <w:rPr>
                <w:sz w:val="20"/>
                <w:szCs w:val="20"/>
              </w:rPr>
              <w:t xml:space="preserve"> Systems (UAS); e) Urban Air Mobility (UAM); f) Software </w:t>
            </w:r>
            <w:proofErr w:type="spellStart"/>
            <w:r w:rsidRPr="4AA51CF6" w:rsidR="425DB39F">
              <w:rPr>
                <w:sz w:val="20"/>
                <w:szCs w:val="20"/>
              </w:rPr>
              <w:t>applications</w:t>
            </w:r>
            <w:proofErr w:type="spellEnd"/>
            <w:r w:rsidRPr="4AA51CF6" w:rsidR="425DB39F">
              <w:rPr>
                <w:sz w:val="20"/>
                <w:szCs w:val="20"/>
              </w:rPr>
              <w:t xml:space="preserve">; g) </w:t>
            </w:r>
            <w:proofErr w:type="spellStart"/>
            <w:r w:rsidRPr="4AA51CF6" w:rsidR="425DB39F">
              <w:rPr>
                <w:sz w:val="20"/>
                <w:szCs w:val="20"/>
              </w:rPr>
              <w:t>Industry</w:t>
            </w:r>
            <w:proofErr w:type="spellEnd"/>
            <w:r w:rsidRPr="4AA51CF6" w:rsidR="425DB39F">
              <w:rPr>
                <w:sz w:val="20"/>
                <w:szCs w:val="20"/>
              </w:rPr>
              <w:t xml:space="preserve"> 4.0 in </w:t>
            </w:r>
            <w:proofErr w:type="spellStart"/>
            <w:r w:rsidRPr="4AA51CF6" w:rsidR="425DB39F">
              <w:rPr>
                <w:sz w:val="20"/>
                <w:szCs w:val="20"/>
              </w:rPr>
              <w:t>Aerospace</w:t>
            </w:r>
            <w:proofErr w:type="spellEnd"/>
            <w:r w:rsidRPr="4AA51CF6" w:rsidR="425DB39F">
              <w:rPr>
                <w:sz w:val="20"/>
                <w:szCs w:val="20"/>
              </w:rPr>
              <w:t xml:space="preserve"> (AI, </w:t>
            </w:r>
            <w:proofErr w:type="spellStart"/>
            <w:r w:rsidRPr="4AA51CF6" w:rsidR="425DB39F">
              <w:rPr>
                <w:sz w:val="20"/>
                <w:szCs w:val="20"/>
              </w:rPr>
              <w:t>IoT</w:t>
            </w:r>
            <w:proofErr w:type="spellEnd"/>
            <w:r w:rsidRPr="4AA51CF6" w:rsidR="425DB39F">
              <w:rPr>
                <w:sz w:val="20"/>
                <w:szCs w:val="20"/>
              </w:rPr>
              <w:t xml:space="preserve">, Big Data). Podpora bude zaměřena též na to včetně zavádění prvků automatizace a robotizace a digitalizace podniku. Uvedené okruhy tedy zcela zapadají do cílů </w:t>
            </w:r>
            <w:proofErr w:type="spellStart"/>
            <w:r w:rsidRPr="4AA51CF6" w:rsidR="425DB39F">
              <w:rPr>
                <w:sz w:val="20"/>
                <w:szCs w:val="20"/>
              </w:rPr>
              <w:t>Recovery</w:t>
            </w:r>
            <w:proofErr w:type="spellEnd"/>
            <w:r w:rsidRPr="4AA51CF6" w:rsidR="425DB39F">
              <w:rPr>
                <w:sz w:val="20"/>
                <w:szCs w:val="20"/>
              </w:rPr>
              <w:t xml:space="preserve"> and </w:t>
            </w:r>
            <w:proofErr w:type="spellStart"/>
            <w:r w:rsidRPr="4AA51CF6" w:rsidR="425DB39F">
              <w:rPr>
                <w:sz w:val="20"/>
                <w:szCs w:val="20"/>
              </w:rPr>
              <w:t>Resilience</w:t>
            </w:r>
            <w:proofErr w:type="spellEnd"/>
            <w:r w:rsidRPr="4AA51CF6" w:rsidR="425DB39F">
              <w:rPr>
                <w:sz w:val="20"/>
                <w:szCs w:val="20"/>
              </w:rPr>
              <w:t xml:space="preserve"> Fondu.</w:t>
            </w:r>
          </w:p>
        </w:tc>
      </w:tr>
      <w:tr w:rsidRPr="007A4BFB" w:rsidR="00A52833" w:rsidTr="4EAC0756" w14:paraId="01980185" w14:textId="77777777">
        <w:trPr>
          <w:trHeight w:val="70"/>
        </w:trPr>
        <w:tc>
          <w:tcPr>
            <w:tcW w:w="2405" w:type="dxa"/>
          </w:tcPr>
          <w:p w:rsidRPr="007A4BFB" w:rsidR="00A52833" w:rsidP="4AA51CF6" w:rsidRDefault="00A52833" w14:paraId="15F48CDC" w14:textId="77777777">
            <w:pPr>
              <w:spacing w:after="120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lastRenderedPageBreak/>
              <w:t>Spolupráce a zapojení zúčastněných stran</w:t>
            </w:r>
          </w:p>
        </w:tc>
        <w:tc>
          <w:tcPr>
            <w:tcW w:w="7223" w:type="dxa"/>
          </w:tcPr>
          <w:p w:rsidRPr="007A4BFB" w:rsidR="00A52833" w:rsidP="4AA51CF6" w:rsidRDefault="00A52833" w14:paraId="61CC9C60" w14:textId="77777777">
            <w:pPr>
              <w:spacing w:after="120"/>
              <w:jc w:val="both"/>
              <w:rPr>
                <w:color w:val="2196FF"/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Zapojeny budou: výzkumné organizace, VZLÚ, průmysloví partneři v oboru</w:t>
            </w:r>
          </w:p>
        </w:tc>
      </w:tr>
      <w:tr w:rsidRPr="007A4BFB" w:rsidR="00A52833" w:rsidTr="4EAC0756" w14:paraId="32747DC1" w14:textId="77777777">
        <w:tc>
          <w:tcPr>
            <w:tcW w:w="2405" w:type="dxa"/>
          </w:tcPr>
          <w:p w:rsidRPr="007A4BFB" w:rsidR="00A52833" w:rsidP="4AA51CF6" w:rsidRDefault="00A52833" w14:paraId="3F7EFB59" w14:textId="77777777">
            <w:pPr>
              <w:spacing w:after="120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Překážky a rizika</w:t>
            </w:r>
          </w:p>
        </w:tc>
        <w:tc>
          <w:tcPr>
            <w:tcW w:w="7223" w:type="dxa"/>
          </w:tcPr>
          <w:p w:rsidRPr="007A4BFB" w:rsidR="00A52833" w:rsidP="4AA51CF6" w:rsidRDefault="00A52833" w14:paraId="057D495F" w14:textId="20878694">
            <w:pPr>
              <w:spacing w:after="120"/>
              <w:jc w:val="both"/>
              <w:rPr>
                <w:i/>
                <w:iCs/>
                <w:color w:val="2196FF"/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 xml:space="preserve">Nedostatek finančních prostředků a prodloužení dodacích lhůt z důvodu vysoké technické náročnosti projektu. Technické komplikace vedoucí k prodloužení doby realizace. </w:t>
            </w:r>
            <w:r w:rsidRPr="4AA51CF6" w:rsidR="56590A47">
              <w:rPr>
                <w:sz w:val="20"/>
                <w:szCs w:val="20"/>
              </w:rPr>
              <w:t>Klíčovým rizikem jsou nedostatečné personální kapacity u implementující instituce (Ministerstvo průmyslu a obchodu ČR).</w:t>
            </w:r>
          </w:p>
        </w:tc>
      </w:tr>
      <w:tr w:rsidRPr="007A4BFB" w:rsidR="00A52833" w:rsidTr="4EAC0756" w14:paraId="1840D445" w14:textId="77777777">
        <w:tc>
          <w:tcPr>
            <w:tcW w:w="2405" w:type="dxa"/>
          </w:tcPr>
          <w:p w:rsidRPr="007A4BFB" w:rsidR="00A52833" w:rsidP="4AA51CF6" w:rsidRDefault="00A52833" w14:paraId="3A093074" w14:textId="77777777">
            <w:pPr>
              <w:spacing w:after="120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Cílové skupiny populace a ekonomické subjekty</w:t>
            </w:r>
          </w:p>
        </w:tc>
        <w:tc>
          <w:tcPr>
            <w:tcW w:w="7223" w:type="dxa"/>
          </w:tcPr>
          <w:p w:rsidRPr="007A4BFB" w:rsidR="00A52833" w:rsidP="4AA51CF6" w:rsidRDefault="00A52833" w14:paraId="0D9495BB" w14:textId="77777777">
            <w:pPr>
              <w:spacing w:after="120"/>
              <w:jc w:val="both"/>
              <w:rPr>
                <w:i/>
                <w:iCs/>
                <w:color w:val="2196FF"/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Velcí průmysloví partneři a na ně navázány malé a střední podniky ve výrobním sektoru</w:t>
            </w:r>
          </w:p>
        </w:tc>
      </w:tr>
      <w:tr w:rsidRPr="007A4BFB" w:rsidR="00A52833" w:rsidTr="4EAC0756" w14:paraId="5C2CD706" w14:textId="77777777">
        <w:tc>
          <w:tcPr>
            <w:tcW w:w="2405" w:type="dxa"/>
          </w:tcPr>
          <w:p w:rsidRPr="007A4BFB" w:rsidR="00A52833" w:rsidP="4AA51CF6" w:rsidRDefault="00A52833" w14:paraId="0A1C0A6D" w14:textId="77777777">
            <w:pPr>
              <w:spacing w:after="120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Souhrnné náklady realizace financované z RRF za celé období</w:t>
            </w:r>
          </w:p>
        </w:tc>
        <w:tc>
          <w:tcPr>
            <w:tcW w:w="7223" w:type="dxa"/>
          </w:tcPr>
          <w:p w:rsidRPr="007A4BFB" w:rsidR="00A52833" w:rsidP="4AA51CF6" w:rsidRDefault="00A52833" w14:paraId="70C8A347" w14:textId="4597D297">
            <w:pPr>
              <w:jc w:val="both"/>
              <w:rPr>
                <w:i/>
                <w:iCs/>
                <w:color w:val="2196FF"/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Reforma předpokládá náklady 110 mil. Kč v období 2021-2023.</w:t>
            </w:r>
          </w:p>
        </w:tc>
      </w:tr>
      <w:tr w:rsidRPr="007A4BFB" w:rsidR="00A52833" w:rsidTr="4EAC0756" w14:paraId="5011F39D" w14:textId="77777777">
        <w:tc>
          <w:tcPr>
            <w:tcW w:w="2405" w:type="dxa"/>
          </w:tcPr>
          <w:p w:rsidRPr="007A4BFB" w:rsidR="00A52833" w:rsidP="4AA51CF6" w:rsidRDefault="00A52833" w14:paraId="3F41E150" w14:textId="77777777">
            <w:pPr>
              <w:spacing w:after="120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Dodržování pravidel státní podpory</w:t>
            </w:r>
          </w:p>
        </w:tc>
        <w:tc>
          <w:tcPr>
            <w:tcW w:w="7223" w:type="dxa"/>
          </w:tcPr>
          <w:p w:rsidRPr="007A4BFB" w:rsidR="00A52833" w:rsidP="4AA51CF6" w:rsidRDefault="425DB39F" w14:paraId="5D6D95A0" w14:textId="7566EFB7">
            <w:pPr>
              <w:spacing w:after="120"/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 xml:space="preserve">Podpora bude poskytována podle rámce nebo de </w:t>
            </w:r>
            <w:proofErr w:type="spellStart"/>
            <w:r w:rsidRPr="4AA51CF6">
              <w:rPr>
                <w:sz w:val="20"/>
                <w:szCs w:val="20"/>
              </w:rPr>
              <w:t>minimis</w:t>
            </w:r>
            <w:proofErr w:type="spellEnd"/>
            <w:r w:rsidRPr="4AA51CF6">
              <w:rPr>
                <w:sz w:val="20"/>
                <w:szCs w:val="20"/>
              </w:rPr>
              <w:t xml:space="preserve">. </w:t>
            </w:r>
            <w:r w:rsidRPr="4AA51CF6" w:rsidR="00A52833">
              <w:rPr>
                <w:sz w:val="20"/>
                <w:szCs w:val="20"/>
              </w:rPr>
              <w:t>Veškerá veřejná podpora bude projednána a popřípadě notifikována v závislosti na konkrétních projektech a změnách dočasného rámce a dalších pravidel v souvislosti s implementací RRF/NPO.</w:t>
            </w:r>
          </w:p>
        </w:tc>
      </w:tr>
      <w:tr w:rsidRPr="007A4BFB" w:rsidR="00A52833" w:rsidTr="4EAC0756" w14:paraId="2E1F58C7" w14:textId="77777777">
        <w:tc>
          <w:tcPr>
            <w:tcW w:w="2405" w:type="dxa"/>
          </w:tcPr>
          <w:p w:rsidRPr="007A4BFB" w:rsidR="00A52833" w:rsidP="4AA51CF6" w:rsidRDefault="00A52833" w14:paraId="5BBBBBBB" w14:textId="77777777">
            <w:pPr>
              <w:spacing w:after="120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Uveďte dobu implementace</w:t>
            </w:r>
          </w:p>
        </w:tc>
        <w:tc>
          <w:tcPr>
            <w:tcW w:w="7223" w:type="dxa"/>
          </w:tcPr>
          <w:p w:rsidRPr="007A4BFB" w:rsidR="00A52833" w:rsidP="4EAC0756" w:rsidRDefault="00A67E3E" w14:paraId="4C1DCBC6" w14:textId="7FCABEF6">
            <w:pPr>
              <w:jc w:val="both"/>
              <w:rPr>
                <w:i/>
                <w:iCs/>
                <w:color w:val="2196FF"/>
                <w:sz w:val="20"/>
                <w:szCs w:val="20"/>
              </w:rPr>
            </w:pPr>
            <w:r w:rsidRPr="4EAC0756">
              <w:rPr>
                <w:sz w:val="20"/>
                <w:szCs w:val="20"/>
              </w:rPr>
              <w:t>Plánovaná doba realizace je 2021–202</w:t>
            </w:r>
            <w:r w:rsidRPr="4EAC0756" w:rsidR="646E0B45">
              <w:rPr>
                <w:sz w:val="20"/>
                <w:szCs w:val="20"/>
              </w:rPr>
              <w:t>4</w:t>
            </w:r>
          </w:p>
        </w:tc>
      </w:tr>
    </w:tbl>
    <w:p w:rsidRPr="007A4BFB" w:rsidR="007D49E4" w:rsidP="4AA51CF6" w:rsidRDefault="007D49E4" w14:paraId="00000093" w14:textId="77777777">
      <w:pPr>
        <w:spacing w:after="120" w:line="240" w:lineRule="auto"/>
        <w:jc w:val="both"/>
        <w:rPr>
          <w:sz w:val="20"/>
          <w:szCs w:val="20"/>
        </w:rPr>
      </w:pPr>
    </w:p>
    <w:p w:rsidRPr="007A4BFB" w:rsidR="007D49E4" w:rsidP="4AA51CF6" w:rsidRDefault="007D49E4" w14:paraId="00000094" w14:textId="585EE4C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b/>
          <w:bCs/>
          <w:sz w:val="20"/>
          <w:szCs w:val="20"/>
        </w:rPr>
      </w:pPr>
    </w:p>
    <w:p w:rsidR="007D49E4" w:rsidP="4AA51CF6" w:rsidRDefault="00603083" w14:paraId="00000095" w14:textId="4D51BD5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b/>
          <w:bCs/>
          <w:color w:val="000000"/>
          <w:sz w:val="20"/>
          <w:szCs w:val="20"/>
        </w:rPr>
      </w:pPr>
      <w:r w:rsidRPr="4AA51CF6">
        <w:rPr>
          <w:b/>
          <w:bCs/>
          <w:color w:val="000000" w:themeColor="text1"/>
          <w:sz w:val="20"/>
          <w:szCs w:val="20"/>
        </w:rPr>
        <w:t>b) Popis investic</w:t>
      </w:r>
    </w:p>
    <w:p w:rsidR="007E27EE" w:rsidP="4AA51CF6" w:rsidRDefault="007E27EE" w14:paraId="3006EF4B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b/>
          <w:bCs/>
          <w:color w:val="000000"/>
          <w:sz w:val="20"/>
          <w:szCs w:val="20"/>
        </w:rPr>
      </w:pPr>
    </w:p>
    <w:p w:rsidRPr="00DF0BBB" w:rsidR="007E27EE" w:rsidP="4AA51CF6" w:rsidRDefault="007E27EE" w14:paraId="53D98BC5" w14:textId="200CED1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b/>
          <w:bCs/>
          <w:sz w:val="20"/>
          <w:szCs w:val="20"/>
        </w:rPr>
      </w:pPr>
      <w:r w:rsidRPr="4EAC0756">
        <w:rPr>
          <w:b/>
          <w:bCs/>
          <w:sz w:val="20"/>
          <w:szCs w:val="20"/>
        </w:rPr>
        <w:t xml:space="preserve">1.1 </w:t>
      </w:r>
      <w:r w:rsidRPr="4EAC0756" w:rsidR="3A3EBD6A">
        <w:rPr>
          <w:b/>
          <w:bCs/>
          <w:sz w:val="20"/>
          <w:szCs w:val="20"/>
        </w:rPr>
        <w:t xml:space="preserve">Zahájení činnosti </w:t>
      </w:r>
      <w:r w:rsidRPr="4EAC0756">
        <w:rPr>
          <w:b/>
          <w:bCs/>
          <w:sz w:val="20"/>
          <w:szCs w:val="20"/>
        </w:rPr>
        <w:t>Evropské</w:t>
      </w:r>
      <w:r w:rsidRPr="4EAC0756" w:rsidR="353E4F5F">
        <w:rPr>
          <w:b/>
          <w:bCs/>
          <w:sz w:val="20"/>
          <w:szCs w:val="20"/>
        </w:rPr>
        <w:t>ho</w:t>
      </w:r>
      <w:r w:rsidRPr="4EAC0756">
        <w:rPr>
          <w:b/>
          <w:bCs/>
          <w:sz w:val="20"/>
          <w:szCs w:val="20"/>
        </w:rPr>
        <w:t xml:space="preserve"> centr</w:t>
      </w:r>
      <w:r w:rsidRPr="4EAC0756" w:rsidR="3F73D1CA">
        <w:rPr>
          <w:b/>
          <w:bCs/>
          <w:sz w:val="20"/>
          <w:szCs w:val="20"/>
        </w:rPr>
        <w:t>a</w:t>
      </w:r>
      <w:r w:rsidRPr="4EAC0756">
        <w:rPr>
          <w:b/>
          <w:bCs/>
          <w:sz w:val="20"/>
          <w:szCs w:val="20"/>
        </w:rPr>
        <w:t xml:space="preserve"> excelence v AI "pro bezpečnější společnost"</w:t>
      </w:r>
    </w:p>
    <w:tbl>
      <w:tblPr>
        <w:tblStyle w:val="a4"/>
        <w:tblW w:w="96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7223"/>
      </w:tblGrid>
      <w:tr w:rsidRPr="007A4BFB" w:rsidR="007E27EE" w:rsidTr="4AA51CF6" w14:paraId="5BEC800C" w14:textId="77777777">
        <w:tc>
          <w:tcPr>
            <w:tcW w:w="2405" w:type="dxa"/>
          </w:tcPr>
          <w:p w:rsidRPr="007A4BFB" w:rsidR="007E27EE" w:rsidP="4AA51CF6" w:rsidRDefault="007E27EE" w14:paraId="64281E77" w14:textId="77777777">
            <w:pPr>
              <w:spacing w:after="120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Výzva</w:t>
            </w:r>
          </w:p>
        </w:tc>
        <w:tc>
          <w:tcPr>
            <w:tcW w:w="7223" w:type="dxa"/>
          </w:tcPr>
          <w:p w:rsidRPr="007A4BFB" w:rsidR="007E27EE" w:rsidP="4AA51CF6" w:rsidRDefault="425DB39F" w14:paraId="663A0C08" w14:textId="04973312">
            <w:pPr>
              <w:spacing w:after="120"/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V zájmu posílení excelence v</w:t>
            </w:r>
            <w:r w:rsidRPr="4AA51CF6" w:rsidR="7CDCC442">
              <w:rPr>
                <w:sz w:val="20"/>
                <w:szCs w:val="20"/>
              </w:rPr>
              <w:t> umělé inteligenci (AI)</w:t>
            </w:r>
            <w:r w:rsidRPr="4AA51CF6">
              <w:rPr>
                <w:sz w:val="20"/>
                <w:szCs w:val="20"/>
              </w:rPr>
              <w:t xml:space="preserve"> a podpory jejího výzkumu v Evropě se Evropská komise snaží posílit spolupráci mezi nejlepšími výzkumnými týmy</w:t>
            </w:r>
            <w:r w:rsidRPr="4AA51CF6" w:rsidR="649C7606">
              <w:rPr>
                <w:sz w:val="20"/>
                <w:szCs w:val="20"/>
              </w:rPr>
              <w:t xml:space="preserve"> </w:t>
            </w:r>
            <w:r w:rsidRPr="4AA51CF6">
              <w:rPr>
                <w:sz w:val="20"/>
                <w:szCs w:val="20"/>
              </w:rPr>
              <w:t xml:space="preserve">a účinněji řešit hlavní vědecké a technologické výzvy v oboru. Zároveň mobilizovat průmysl k integraci a najít </w:t>
            </w:r>
            <w:r w:rsidRPr="4AA51CF6" w:rsidR="649C7606">
              <w:rPr>
                <w:sz w:val="20"/>
                <w:szCs w:val="20"/>
              </w:rPr>
              <w:t xml:space="preserve">jeho </w:t>
            </w:r>
            <w:r w:rsidRPr="4AA51CF6">
              <w:rPr>
                <w:sz w:val="20"/>
                <w:szCs w:val="20"/>
              </w:rPr>
              <w:t>synergie s výzkumnými týmy. Za tímto účelem E</w:t>
            </w:r>
            <w:r w:rsidRPr="4AA51CF6" w:rsidR="7CDCC442">
              <w:rPr>
                <w:sz w:val="20"/>
                <w:szCs w:val="20"/>
              </w:rPr>
              <w:t xml:space="preserve">vropská </w:t>
            </w:r>
            <w:r w:rsidRPr="4AA51CF6" w:rsidR="00A7078D">
              <w:rPr>
                <w:sz w:val="20"/>
                <w:szCs w:val="20"/>
              </w:rPr>
              <w:t>komise – prostřednictvím</w:t>
            </w:r>
            <w:r w:rsidRPr="4AA51CF6">
              <w:rPr>
                <w:sz w:val="20"/>
                <w:szCs w:val="20"/>
              </w:rPr>
              <w:t xml:space="preserve"> programu Horizont 2020 – již investovala 50 milionů EUR do vytvoření sítě propojených center excelence AI. Jako základ pro témata výzkumu AI a další sítě excelence využila také vstup z veřejné konzultace k Bílé knize o AI a cílené konzultace,</w:t>
            </w:r>
            <w:r w:rsidRPr="4AA51CF6" w:rsidR="649C7606">
              <w:rPr>
                <w:sz w:val="20"/>
                <w:szCs w:val="20"/>
              </w:rPr>
              <w:t xml:space="preserve"> na jejich základě pak rozšíří sítě center excelence</w:t>
            </w:r>
            <w:r w:rsidRPr="4AA51CF6">
              <w:rPr>
                <w:sz w:val="20"/>
                <w:szCs w:val="20"/>
              </w:rPr>
              <w:t xml:space="preserve">. </w:t>
            </w:r>
          </w:p>
        </w:tc>
      </w:tr>
      <w:tr w:rsidRPr="007A4BFB" w:rsidR="007E27EE" w:rsidTr="4AA51CF6" w14:paraId="37404F64" w14:textId="77777777">
        <w:tc>
          <w:tcPr>
            <w:tcW w:w="2405" w:type="dxa"/>
          </w:tcPr>
          <w:p w:rsidRPr="007A4BFB" w:rsidR="007E27EE" w:rsidP="4AA51CF6" w:rsidRDefault="007E27EE" w14:paraId="1AF930D7" w14:textId="77777777">
            <w:pPr>
              <w:spacing w:after="120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Cíl</w:t>
            </w:r>
          </w:p>
        </w:tc>
        <w:tc>
          <w:tcPr>
            <w:tcW w:w="7223" w:type="dxa"/>
          </w:tcPr>
          <w:p w:rsidRPr="007A4BFB" w:rsidR="007E27EE" w:rsidP="4AA51CF6" w:rsidRDefault="2BAD21A9" w14:paraId="1EC2EE65" w14:textId="738CA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 xml:space="preserve">Vznik </w:t>
            </w:r>
            <w:r w:rsidRPr="4AA51CF6" w:rsidR="649C7606">
              <w:rPr>
                <w:sz w:val="20"/>
                <w:szCs w:val="20"/>
              </w:rPr>
              <w:t>Evropského c</w:t>
            </w:r>
            <w:r w:rsidRPr="4AA51CF6">
              <w:rPr>
                <w:sz w:val="20"/>
                <w:szCs w:val="20"/>
              </w:rPr>
              <w:t>entra excelence pro umělou inteligenci má za cíl zajistit dostatečnou výzkumnou kapacitu v oboru a umožnit tak dalším aktérům zavádění a testování nových aplikací umělé inteligence</w:t>
            </w:r>
            <w:r w:rsidRPr="4AA51CF6" w:rsidR="7CDCC442">
              <w:rPr>
                <w:sz w:val="20"/>
                <w:szCs w:val="20"/>
              </w:rPr>
              <w:t xml:space="preserve">. </w:t>
            </w:r>
            <w:r w:rsidRPr="4AA51CF6" w:rsidR="5769965D">
              <w:rPr>
                <w:sz w:val="20"/>
                <w:szCs w:val="20"/>
              </w:rPr>
              <w:t>Jako hlavní národní projekt v oblasti digitální agendy bude podpořen rozvoj technologií umělé inteligence</w:t>
            </w:r>
            <w:r w:rsidRPr="4AA51CF6" w:rsidR="649C7606">
              <w:rPr>
                <w:sz w:val="20"/>
                <w:szCs w:val="20"/>
              </w:rPr>
              <w:t xml:space="preserve"> </w:t>
            </w:r>
            <w:r w:rsidRPr="4AA51CF6" w:rsidR="5769965D">
              <w:rPr>
                <w:sz w:val="20"/>
                <w:szCs w:val="20"/>
              </w:rPr>
              <w:t xml:space="preserve">přispívající k bezpečnější společnosti. A to v souladu s národním tématem vyhlášeným v oblasti umělé inteligence v roce 2019, v návaznosti na vládní Národní strategii umělé inteligence v ČR i strategické dokumenty EU (především Koordinovaný plán pro AI). Toto zaměření nabylo na mimořádném významu aktuálními společenskými potřebami danými </w:t>
            </w:r>
            <w:proofErr w:type="spellStart"/>
            <w:r w:rsidRPr="4AA51CF6" w:rsidR="5769965D">
              <w:rPr>
                <w:sz w:val="20"/>
                <w:szCs w:val="20"/>
              </w:rPr>
              <w:t>koronavirovou</w:t>
            </w:r>
            <w:proofErr w:type="spellEnd"/>
            <w:r w:rsidRPr="4AA51CF6" w:rsidR="5769965D">
              <w:rPr>
                <w:sz w:val="20"/>
                <w:szCs w:val="20"/>
              </w:rPr>
              <w:t xml:space="preserve"> krizí v globálním rozsahu a má proto reálnou ambici vytvořit z Česka jedno z hlavních mezinárodních center AI. Zaměření na technologie podporující bezpečnost odpovídá tradicím českého průmyslu a využívá mimořádnou vědeckou kapacitu v oblasti AI pro zaměření se na segment trhu, kde lze dosáhnout mezinárodní komparativní výhody díky národní a regionální specializaci. Podporuje tak dlouhodobou snahu Evropské komise o zvýšení konkurenceschopnosti a technologické suverenity celé EU. Díky zvýšeným investicím v rámci Národního plánu obnovy bude možné tento cíl zrychleně realizovat v krizové době, přičemž centrální aktivitou bude vybudování Evropského centra excelence v AI s tímto zaměřením v souladu s doporučením </w:t>
            </w:r>
            <w:proofErr w:type="spellStart"/>
            <w:r w:rsidRPr="4AA51CF6" w:rsidR="5769965D">
              <w:rPr>
                <w:sz w:val="20"/>
                <w:szCs w:val="20"/>
              </w:rPr>
              <w:t>High-Level</w:t>
            </w:r>
            <w:proofErr w:type="spellEnd"/>
            <w:r w:rsidRPr="4AA51CF6" w:rsidR="5769965D">
              <w:rPr>
                <w:sz w:val="20"/>
                <w:szCs w:val="20"/>
              </w:rPr>
              <w:t xml:space="preserve"> Expert Group on AI pro Evropskou komisi. Řada aktivit pak na tento cíl navazuje, především v oblasti </w:t>
            </w:r>
            <w:proofErr w:type="spellStart"/>
            <w:r w:rsidRPr="4AA51CF6" w:rsidR="5769965D">
              <w:rPr>
                <w:sz w:val="20"/>
                <w:szCs w:val="20"/>
              </w:rPr>
              <w:t>socio</w:t>
            </w:r>
            <w:proofErr w:type="spellEnd"/>
            <w:r w:rsidRPr="4AA51CF6" w:rsidR="5769965D">
              <w:rPr>
                <w:sz w:val="20"/>
                <w:szCs w:val="20"/>
              </w:rPr>
              <w:t xml:space="preserve">-ekonomických dopadů digitální transformace ekonomiky a boje se souvisejícími negativními trendy, jako jsou </w:t>
            </w:r>
            <w:proofErr w:type="spellStart"/>
            <w:r w:rsidRPr="4AA51CF6" w:rsidR="5769965D">
              <w:rPr>
                <w:sz w:val="20"/>
                <w:szCs w:val="20"/>
              </w:rPr>
              <w:t>fake-news</w:t>
            </w:r>
            <w:proofErr w:type="spellEnd"/>
            <w:r w:rsidRPr="4AA51CF6" w:rsidR="5769965D">
              <w:rPr>
                <w:sz w:val="20"/>
                <w:szCs w:val="20"/>
              </w:rPr>
              <w:t>.</w:t>
            </w:r>
          </w:p>
        </w:tc>
      </w:tr>
      <w:tr w:rsidRPr="007A4BFB" w:rsidR="007E27EE" w:rsidTr="4AA51CF6" w14:paraId="7F32C928" w14:textId="77777777">
        <w:tc>
          <w:tcPr>
            <w:tcW w:w="2405" w:type="dxa"/>
          </w:tcPr>
          <w:p w:rsidRPr="007A4BFB" w:rsidR="007E27EE" w:rsidP="4AA51CF6" w:rsidRDefault="007E27EE" w14:paraId="393279BC" w14:textId="77777777">
            <w:pPr>
              <w:spacing w:after="120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lastRenderedPageBreak/>
              <w:t>Implementace</w:t>
            </w:r>
          </w:p>
        </w:tc>
        <w:tc>
          <w:tcPr>
            <w:tcW w:w="7223" w:type="dxa"/>
          </w:tcPr>
          <w:p w:rsidR="008922B2" w:rsidP="4AA51CF6" w:rsidRDefault="649C7606" w14:paraId="6E0F266B" w14:textId="0B3E9789">
            <w:pPr>
              <w:spacing w:after="120"/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 xml:space="preserve">V zájmu dalšího posílení výzkumu AI Evropská komise zhodnotila investice v rámci programu Horizont 2020 a porovnala je se současnými výzkumnými trendy a potřebami identifikovat budoucí investiční příležitosti, zejména v programu Horizont Evropa. V rámci nového programu Horizont Evropa tak vypíše nové výzvy pro sítě center excelence především v oblasti bezpečnosti, což je národním prioritním tématem České republiky v umělé inteligenci. V rámci této investice tak bude podpořen národní projekt na vybudování Evropského centra excelence v AI, který uspěje v příslušné výzvě programu Horizont Evropa, nebo alespoň získá </w:t>
            </w:r>
            <w:proofErr w:type="spellStart"/>
            <w:r w:rsidRPr="4AA51CF6">
              <w:rPr>
                <w:sz w:val="20"/>
                <w:szCs w:val="20"/>
              </w:rPr>
              <w:t>Seal</w:t>
            </w:r>
            <w:proofErr w:type="spellEnd"/>
            <w:r w:rsidRPr="4AA51CF6">
              <w:rPr>
                <w:sz w:val="20"/>
                <w:szCs w:val="20"/>
              </w:rPr>
              <w:t xml:space="preserve"> </w:t>
            </w:r>
            <w:proofErr w:type="spellStart"/>
            <w:r w:rsidRPr="4AA51CF6">
              <w:rPr>
                <w:sz w:val="20"/>
                <w:szCs w:val="20"/>
              </w:rPr>
              <w:t>of</w:t>
            </w:r>
            <w:proofErr w:type="spellEnd"/>
            <w:r w:rsidRPr="4AA51CF6">
              <w:rPr>
                <w:sz w:val="20"/>
                <w:szCs w:val="20"/>
              </w:rPr>
              <w:t xml:space="preserve"> Excelence.</w:t>
            </w:r>
          </w:p>
          <w:p w:rsidRPr="00A63654" w:rsidR="007E27EE" w:rsidP="4AA51CF6" w:rsidRDefault="649C7606" w14:paraId="6074E2EF" w14:textId="378EEA8B">
            <w:pPr>
              <w:spacing w:after="120"/>
              <w:jc w:val="both"/>
              <w:rPr>
                <w:color w:val="2196FF"/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Realizátorem projektu bude k</w:t>
            </w:r>
            <w:r w:rsidRPr="4AA51CF6" w:rsidR="425DB39F">
              <w:rPr>
                <w:sz w:val="20"/>
                <w:szCs w:val="20"/>
              </w:rPr>
              <w:t xml:space="preserve">onsorcium vysokých škol/vědecko-výzkumných organizací sdružených v rámci výzvy programu Horizont Evropa pro vybudování </w:t>
            </w:r>
            <w:r w:rsidRPr="4AA51CF6" w:rsidR="007E27EE">
              <w:rPr>
                <w:sz w:val="20"/>
                <w:szCs w:val="20"/>
              </w:rPr>
              <w:t>Evropského centra excelence v</w:t>
            </w:r>
            <w:r w:rsidRPr="4AA51CF6" w:rsidR="425DB39F">
              <w:rPr>
                <w:sz w:val="20"/>
                <w:szCs w:val="20"/>
              </w:rPr>
              <w:t> </w:t>
            </w:r>
            <w:r w:rsidRPr="4AA51CF6" w:rsidR="007E27EE">
              <w:rPr>
                <w:sz w:val="20"/>
                <w:szCs w:val="20"/>
              </w:rPr>
              <w:t>AI</w:t>
            </w:r>
            <w:r w:rsidRPr="4AA51CF6" w:rsidR="425DB39F">
              <w:rPr>
                <w:sz w:val="20"/>
                <w:szCs w:val="20"/>
              </w:rPr>
              <w:t xml:space="preserve">. Podporu a koordinaci poskytne MPO jako koordinátor a gestor </w:t>
            </w:r>
            <w:r w:rsidRPr="4AA51CF6">
              <w:rPr>
                <w:sz w:val="20"/>
                <w:szCs w:val="20"/>
              </w:rPr>
              <w:t>Národní AI strategie</w:t>
            </w:r>
            <w:r w:rsidRPr="4AA51CF6" w:rsidR="1A23A2C7">
              <w:rPr>
                <w:sz w:val="20"/>
                <w:szCs w:val="20"/>
              </w:rPr>
              <w:t>. Základem projektu by měl být úspěšný a již Evropskou Komisí schválený projekt CEDMO (viz investice 1.2).</w:t>
            </w:r>
            <w:r w:rsidRPr="4AA51CF6" w:rsidR="007E27EE">
              <w:rPr>
                <w:i/>
                <w:iCs/>
                <w:color w:val="2196FF"/>
                <w:sz w:val="20"/>
                <w:szCs w:val="20"/>
              </w:rPr>
              <w:t xml:space="preserve"> </w:t>
            </w:r>
          </w:p>
        </w:tc>
      </w:tr>
      <w:tr w:rsidRPr="007A4BFB" w:rsidR="007E27EE" w:rsidTr="4AA51CF6" w14:paraId="51D66ED4" w14:textId="77777777">
        <w:trPr>
          <w:trHeight w:val="70"/>
        </w:trPr>
        <w:tc>
          <w:tcPr>
            <w:tcW w:w="2405" w:type="dxa"/>
          </w:tcPr>
          <w:p w:rsidRPr="007A4BFB" w:rsidR="007E27EE" w:rsidP="4AA51CF6" w:rsidRDefault="007E27EE" w14:paraId="5A5BF7AB" w14:textId="77777777">
            <w:pPr>
              <w:spacing w:after="120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Spolupráce a zapojení zúčastněných stran</w:t>
            </w:r>
          </w:p>
        </w:tc>
        <w:tc>
          <w:tcPr>
            <w:tcW w:w="7223" w:type="dxa"/>
          </w:tcPr>
          <w:p w:rsidRPr="007A4BFB" w:rsidR="007E27EE" w:rsidP="4AA51CF6" w:rsidRDefault="007E27EE" w14:paraId="153949F1" w14:textId="77777777">
            <w:pPr>
              <w:spacing w:after="120"/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Akademická sféra (konsorcium univerzit), zapojení dalších předních domácích i mezinárodních pracovišť v oboru.</w:t>
            </w:r>
          </w:p>
        </w:tc>
      </w:tr>
      <w:tr w:rsidRPr="007A4BFB" w:rsidR="007E27EE" w:rsidTr="4AA51CF6" w14:paraId="620314DA" w14:textId="77777777">
        <w:tc>
          <w:tcPr>
            <w:tcW w:w="2405" w:type="dxa"/>
          </w:tcPr>
          <w:p w:rsidRPr="007A4BFB" w:rsidR="007E27EE" w:rsidP="4AA51CF6" w:rsidRDefault="007E27EE" w14:paraId="2A669169" w14:textId="77777777">
            <w:pPr>
              <w:spacing w:after="120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Překážky a rizika</w:t>
            </w:r>
          </w:p>
        </w:tc>
        <w:tc>
          <w:tcPr>
            <w:tcW w:w="7223" w:type="dxa"/>
          </w:tcPr>
          <w:p w:rsidRPr="007A4BFB" w:rsidR="007E27EE" w:rsidP="4AA51CF6" w:rsidRDefault="007E27EE" w14:paraId="3BE52D2E" w14:textId="2C2DABDB">
            <w:pPr>
              <w:spacing w:after="120"/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 xml:space="preserve">Nedostatečná </w:t>
            </w:r>
            <w:r w:rsidRPr="4AA51CF6" w:rsidR="649C7606">
              <w:rPr>
                <w:sz w:val="20"/>
                <w:szCs w:val="20"/>
              </w:rPr>
              <w:t>koordinace, roztříštěnost vědecko-výzkumných institucí, vzájemná rivalita na národní úrovni, nedostatečná mobilizace vědecké excelence a propojení na excelentní partnery v rámci EU mohou zapříčinit neúspěch ve výzvě programu Horizont Evropa.</w:t>
            </w:r>
            <w:r w:rsidRPr="4AA51CF6" w:rsidR="56590A47">
              <w:rPr>
                <w:sz w:val="20"/>
                <w:szCs w:val="20"/>
              </w:rPr>
              <w:t xml:space="preserve"> Klíčovým rizikem jsou nedostatečné personální kapacity u koordinující instituce (Ministerstvo průmyslu a obchodu ČR).</w:t>
            </w:r>
          </w:p>
        </w:tc>
      </w:tr>
      <w:tr w:rsidRPr="007A4BFB" w:rsidR="007E27EE" w:rsidTr="4AA51CF6" w14:paraId="391E920E" w14:textId="77777777">
        <w:tc>
          <w:tcPr>
            <w:tcW w:w="2405" w:type="dxa"/>
          </w:tcPr>
          <w:p w:rsidRPr="007A4BFB" w:rsidR="007E27EE" w:rsidP="4AA51CF6" w:rsidRDefault="007E27EE" w14:paraId="2B43D28D" w14:textId="77777777">
            <w:pPr>
              <w:spacing w:after="120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Cílové skupiny populace a ekonomické subjekty</w:t>
            </w:r>
          </w:p>
        </w:tc>
        <w:tc>
          <w:tcPr>
            <w:tcW w:w="7223" w:type="dxa"/>
          </w:tcPr>
          <w:p w:rsidRPr="007A4BFB" w:rsidR="007E27EE" w:rsidP="4AA51CF6" w:rsidRDefault="007E27EE" w14:paraId="63F13F84" w14:textId="7B480BC1">
            <w:pPr>
              <w:spacing w:after="120"/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Veškeré zapojené subjekty ve státní správě i soukromé subjekty dotčené digitální transformací.</w:t>
            </w:r>
          </w:p>
        </w:tc>
      </w:tr>
      <w:tr w:rsidRPr="007A4BFB" w:rsidR="007E27EE" w:rsidTr="4AA51CF6" w14:paraId="0A98DF75" w14:textId="77777777">
        <w:tc>
          <w:tcPr>
            <w:tcW w:w="2405" w:type="dxa"/>
          </w:tcPr>
          <w:p w:rsidRPr="007A4BFB" w:rsidR="007E27EE" w:rsidP="4AA51CF6" w:rsidRDefault="007E27EE" w14:paraId="64D5FA86" w14:textId="77777777">
            <w:pPr>
              <w:spacing w:after="120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Souhrnné náklady realizace financované z RRF za celé období</w:t>
            </w:r>
          </w:p>
        </w:tc>
        <w:tc>
          <w:tcPr>
            <w:tcW w:w="7223" w:type="dxa"/>
          </w:tcPr>
          <w:p w:rsidRPr="007A4BFB" w:rsidR="007E27EE" w:rsidP="4AA51CF6" w:rsidRDefault="007E27EE" w14:paraId="7FF8E5E8" w14:textId="381A224E">
            <w:pPr>
              <w:spacing w:after="120"/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 xml:space="preserve">Investice potřebná pro naplnění výše uvedeného cíle počítá s náklady </w:t>
            </w:r>
            <w:r w:rsidRPr="4AA51CF6" w:rsidR="50FEF497">
              <w:rPr>
                <w:sz w:val="20"/>
                <w:szCs w:val="20"/>
              </w:rPr>
              <w:t>2</w:t>
            </w:r>
            <w:r w:rsidRPr="4AA51CF6" w:rsidR="55A348C9">
              <w:rPr>
                <w:sz w:val="20"/>
                <w:szCs w:val="20"/>
              </w:rPr>
              <w:t>39</w:t>
            </w:r>
            <w:r w:rsidRPr="4AA51CF6">
              <w:rPr>
                <w:sz w:val="20"/>
                <w:szCs w:val="20"/>
              </w:rPr>
              <w:t xml:space="preserve"> mil. Kč.</w:t>
            </w:r>
          </w:p>
        </w:tc>
      </w:tr>
      <w:tr w:rsidRPr="007A4BFB" w:rsidR="007E27EE" w:rsidTr="4AA51CF6" w14:paraId="54C9354C" w14:textId="77777777">
        <w:tc>
          <w:tcPr>
            <w:tcW w:w="2405" w:type="dxa"/>
          </w:tcPr>
          <w:p w:rsidRPr="007A4BFB" w:rsidR="007E27EE" w:rsidP="4AA51CF6" w:rsidRDefault="007E27EE" w14:paraId="25C14DD1" w14:textId="77777777">
            <w:pPr>
              <w:spacing w:after="120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Dodržování pravidel státní podpory</w:t>
            </w:r>
          </w:p>
        </w:tc>
        <w:tc>
          <w:tcPr>
            <w:tcW w:w="7223" w:type="dxa"/>
          </w:tcPr>
          <w:p w:rsidRPr="007A4BFB" w:rsidR="007E27EE" w:rsidP="4AA51CF6" w:rsidRDefault="35C38F2C" w14:paraId="03D31B41" w14:textId="4AA16262">
            <w:pPr>
              <w:spacing w:after="120"/>
              <w:jc w:val="both"/>
              <w:rPr>
                <w:i/>
                <w:iCs/>
                <w:color w:val="2196FF"/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V</w:t>
            </w:r>
            <w:r w:rsidRPr="4AA51CF6" w:rsidR="007E27EE">
              <w:rPr>
                <w:sz w:val="20"/>
                <w:szCs w:val="20"/>
              </w:rPr>
              <w:t xml:space="preserve">eřejná podpora </w:t>
            </w:r>
            <w:r w:rsidRPr="4AA51CF6">
              <w:rPr>
                <w:sz w:val="20"/>
                <w:szCs w:val="20"/>
              </w:rPr>
              <w:t>je v souladu s pravidly platnými pro program Horizont Evropa a jeho financování</w:t>
            </w:r>
            <w:r w:rsidRPr="4AA51CF6" w:rsidR="007E27EE">
              <w:rPr>
                <w:sz w:val="20"/>
                <w:szCs w:val="20"/>
              </w:rPr>
              <w:t>.</w:t>
            </w:r>
            <w:r w:rsidRPr="4AA51CF6" w:rsidR="4F2361F2">
              <w:rPr>
                <w:sz w:val="20"/>
                <w:szCs w:val="20"/>
              </w:rPr>
              <w:t xml:space="preserve"> Spolufinancování z národních zdrojů v rámci programu Horizont Evropa nezakládá veřejnou podporu, protože spolufinancování nesměřuje na ekonomickou činnost organizací pro výzkum a šíření znalostí či výzkumných infrastruktur (ve smyslu příslušných definici uvedených v Rámci pro státní podporu výzkumu, vývoje a inovací), a budou dodrženy podmínky odst. 20 Rámce </w:t>
            </w:r>
            <w:proofErr w:type="spellStart"/>
            <w:r w:rsidRPr="4AA51CF6" w:rsidR="4F2361F2">
              <w:rPr>
                <w:sz w:val="20"/>
                <w:szCs w:val="20"/>
              </w:rPr>
              <w:t>VaVaI</w:t>
            </w:r>
            <w:proofErr w:type="spellEnd"/>
            <w:r w:rsidRPr="4AA51CF6" w:rsidR="4F2361F2">
              <w:rPr>
                <w:sz w:val="20"/>
                <w:szCs w:val="20"/>
              </w:rPr>
              <w:t xml:space="preserve"> a spolufinancování nebude směřovat ve prospěch podniků.</w:t>
            </w:r>
          </w:p>
        </w:tc>
      </w:tr>
      <w:tr w:rsidRPr="007A4BFB" w:rsidR="007E27EE" w:rsidTr="4AA51CF6" w14:paraId="443556DA" w14:textId="77777777">
        <w:tc>
          <w:tcPr>
            <w:tcW w:w="2405" w:type="dxa"/>
          </w:tcPr>
          <w:p w:rsidRPr="007A4BFB" w:rsidR="007E27EE" w:rsidP="4AA51CF6" w:rsidRDefault="007E27EE" w14:paraId="460E96A6" w14:textId="77777777">
            <w:pPr>
              <w:spacing w:after="120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Uveďte dobu implementace</w:t>
            </w:r>
          </w:p>
        </w:tc>
        <w:tc>
          <w:tcPr>
            <w:tcW w:w="7223" w:type="dxa"/>
          </w:tcPr>
          <w:p w:rsidRPr="007A4BFB" w:rsidR="007E27EE" w:rsidP="4AA51CF6" w:rsidRDefault="007E27EE" w14:paraId="38B649AD" w14:textId="5407DBFE">
            <w:pPr>
              <w:spacing w:after="120"/>
              <w:jc w:val="both"/>
              <w:rPr>
                <w:i/>
                <w:iCs/>
                <w:color w:val="2196FF"/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Plánovaná doba realizace je 36 měsíců.</w:t>
            </w:r>
            <w:r w:rsidR="00F82851">
              <w:rPr>
                <w:sz w:val="20"/>
                <w:szCs w:val="20"/>
              </w:rPr>
              <w:t xml:space="preserve"> </w:t>
            </w:r>
            <w:r w:rsidRPr="00F82851" w:rsidR="00F82851">
              <w:rPr>
                <w:sz w:val="20"/>
                <w:szCs w:val="20"/>
              </w:rPr>
              <w:t>Investice bude realizována do 31. prosince 2022.</w:t>
            </w:r>
          </w:p>
        </w:tc>
      </w:tr>
    </w:tbl>
    <w:p w:rsidR="007E27EE" w:rsidP="4AA51CF6" w:rsidRDefault="007E27EE" w14:paraId="0EBB8D7F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b/>
          <w:bCs/>
          <w:sz w:val="20"/>
          <w:szCs w:val="20"/>
        </w:rPr>
      </w:pPr>
    </w:p>
    <w:p w:rsidR="007E27EE" w:rsidP="4AA51CF6" w:rsidRDefault="007E27EE" w14:paraId="6574CBF7" w14:textId="2F43D569">
      <w:pPr>
        <w:spacing w:line="240" w:lineRule="auto"/>
        <w:rPr>
          <w:b/>
          <w:bCs/>
          <w:sz w:val="20"/>
          <w:szCs w:val="20"/>
        </w:rPr>
      </w:pPr>
    </w:p>
    <w:p w:rsidRPr="007E27EE" w:rsidR="007E27EE" w:rsidP="4AA51CF6" w:rsidRDefault="007E27EE" w14:paraId="5DCCD58F" w14:textId="2AF0397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b/>
          <w:bCs/>
          <w:sz w:val="20"/>
          <w:szCs w:val="20"/>
        </w:rPr>
      </w:pPr>
      <w:r w:rsidRPr="4EAC0756">
        <w:rPr>
          <w:b/>
          <w:bCs/>
          <w:sz w:val="20"/>
          <w:szCs w:val="20"/>
        </w:rPr>
        <w:t xml:space="preserve">1.2 </w:t>
      </w:r>
      <w:proofErr w:type="spellStart"/>
      <w:r w:rsidRPr="4EAC0756" w:rsidR="191564DB">
        <w:rPr>
          <w:b/>
          <w:bCs/>
          <w:sz w:val="20"/>
          <w:szCs w:val="20"/>
        </w:rPr>
        <w:t>Evropske</w:t>
      </w:r>
      <w:proofErr w:type="spellEnd"/>
      <w:r w:rsidRPr="4EAC0756" w:rsidR="191564DB">
        <w:rPr>
          <w:b/>
          <w:bCs/>
          <w:sz w:val="20"/>
          <w:szCs w:val="20"/>
        </w:rPr>
        <w:t xml:space="preserve">́ </w:t>
      </w:r>
      <w:proofErr w:type="spellStart"/>
      <w:r w:rsidRPr="4EAC0756" w:rsidR="191564DB">
        <w:rPr>
          <w:b/>
          <w:bCs/>
          <w:sz w:val="20"/>
          <w:szCs w:val="20"/>
        </w:rPr>
        <w:t>středisko</w:t>
      </w:r>
      <w:proofErr w:type="spellEnd"/>
      <w:r w:rsidRPr="4EAC0756" w:rsidR="191564DB">
        <w:rPr>
          <w:b/>
          <w:bCs/>
          <w:sz w:val="20"/>
          <w:szCs w:val="20"/>
        </w:rPr>
        <w:t xml:space="preserve"> pro </w:t>
      </w:r>
      <w:proofErr w:type="spellStart"/>
      <w:r w:rsidRPr="4EAC0756" w:rsidR="191564DB">
        <w:rPr>
          <w:b/>
          <w:bCs/>
          <w:sz w:val="20"/>
          <w:szCs w:val="20"/>
        </w:rPr>
        <w:t>sledováni</w:t>
      </w:r>
      <w:proofErr w:type="spellEnd"/>
      <w:r w:rsidRPr="4EAC0756" w:rsidR="191564DB">
        <w:rPr>
          <w:b/>
          <w:bCs/>
          <w:sz w:val="20"/>
          <w:szCs w:val="20"/>
        </w:rPr>
        <w:t xml:space="preserve">́ </w:t>
      </w:r>
      <w:proofErr w:type="spellStart"/>
      <w:r w:rsidRPr="4EAC0756" w:rsidR="191564DB">
        <w:rPr>
          <w:b/>
          <w:bCs/>
          <w:sz w:val="20"/>
          <w:szCs w:val="20"/>
        </w:rPr>
        <w:t>digitálních</w:t>
      </w:r>
      <w:proofErr w:type="spellEnd"/>
      <w:r w:rsidRPr="4EAC0756" w:rsidR="191564DB">
        <w:rPr>
          <w:b/>
          <w:bCs/>
          <w:sz w:val="20"/>
          <w:szCs w:val="20"/>
        </w:rPr>
        <w:t xml:space="preserve"> </w:t>
      </w:r>
      <w:proofErr w:type="spellStart"/>
      <w:r w:rsidRPr="4EAC0756" w:rsidR="191564DB">
        <w:rPr>
          <w:b/>
          <w:bCs/>
          <w:sz w:val="20"/>
          <w:szCs w:val="20"/>
        </w:rPr>
        <w:t>médii</w:t>
      </w:r>
      <w:proofErr w:type="spellEnd"/>
      <w:r w:rsidRPr="4EAC0756" w:rsidR="191564DB">
        <w:rPr>
          <w:b/>
          <w:bCs/>
          <w:sz w:val="20"/>
          <w:szCs w:val="20"/>
        </w:rPr>
        <w:t xml:space="preserve">́ </w:t>
      </w:r>
      <w:r w:rsidRPr="4EAC0756">
        <w:rPr>
          <w:b/>
          <w:bCs/>
          <w:sz w:val="20"/>
          <w:szCs w:val="20"/>
        </w:rPr>
        <w:t>(</w:t>
      </w:r>
      <w:proofErr w:type="spellStart"/>
      <w:r w:rsidRPr="4EAC0756">
        <w:rPr>
          <w:b/>
          <w:bCs/>
          <w:sz w:val="20"/>
          <w:szCs w:val="20"/>
        </w:rPr>
        <w:t>European</w:t>
      </w:r>
      <w:proofErr w:type="spellEnd"/>
      <w:r w:rsidRPr="4EAC0756">
        <w:rPr>
          <w:b/>
          <w:bCs/>
          <w:sz w:val="20"/>
          <w:szCs w:val="20"/>
        </w:rPr>
        <w:t xml:space="preserve"> Digital Media </w:t>
      </w:r>
      <w:proofErr w:type="spellStart"/>
      <w:r w:rsidRPr="4EAC0756">
        <w:rPr>
          <w:b/>
          <w:bCs/>
          <w:sz w:val="20"/>
          <w:szCs w:val="20"/>
        </w:rPr>
        <w:t>Observatory</w:t>
      </w:r>
      <w:proofErr w:type="spellEnd"/>
      <w:r w:rsidRPr="4EAC0756">
        <w:rPr>
          <w:b/>
          <w:bCs/>
          <w:sz w:val="20"/>
          <w:szCs w:val="20"/>
        </w:rPr>
        <w:t xml:space="preserve"> </w:t>
      </w:r>
      <w:r w:rsidRPr="4EAC0756" w:rsidR="00A67E3E">
        <w:rPr>
          <w:b/>
          <w:bCs/>
          <w:sz w:val="20"/>
          <w:szCs w:val="20"/>
        </w:rPr>
        <w:t>Hub – EDMO</w:t>
      </w:r>
      <w:r w:rsidRPr="4EAC0756">
        <w:rPr>
          <w:b/>
          <w:bCs/>
          <w:sz w:val="20"/>
          <w:szCs w:val="20"/>
        </w:rPr>
        <w:t>)</w:t>
      </w:r>
    </w:p>
    <w:tbl>
      <w:tblPr>
        <w:tblStyle w:val="a6"/>
        <w:tblW w:w="96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7223"/>
      </w:tblGrid>
      <w:tr w:rsidRPr="007A4BFB" w:rsidR="007E27EE" w:rsidTr="4AA51CF6" w14:paraId="0BAA2249" w14:textId="77777777">
        <w:tc>
          <w:tcPr>
            <w:tcW w:w="2405" w:type="dxa"/>
          </w:tcPr>
          <w:p w:rsidRPr="007A4BFB" w:rsidR="007E27EE" w:rsidP="4AA51CF6" w:rsidRDefault="007E27EE" w14:paraId="1629C903" w14:textId="77777777">
            <w:pPr>
              <w:spacing w:after="120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Výzva</w:t>
            </w:r>
          </w:p>
        </w:tc>
        <w:tc>
          <w:tcPr>
            <w:tcW w:w="7223" w:type="dxa"/>
          </w:tcPr>
          <w:p w:rsidRPr="007A4BFB" w:rsidR="007E27EE" w:rsidP="4AA51CF6" w:rsidRDefault="35C38F2C" w14:paraId="71880EBB" w14:textId="1E6C9003">
            <w:pPr>
              <w:spacing w:after="120"/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Na národní i středoevropské úrovni dnes neexistuje jednotná koordinační kapacita pro boj s dezinformacemi, především v oblastech spojených s digitalizací (zejména 5G) a nemocí COVID-19 v oblasti digitálních platforem. Která by zároveň poskytovala klíčové technické zázemí, především zapojení NLP a dalších AI technologií pro veřejné i soukromé iniciativy boje s dezinformacemi.</w:t>
            </w:r>
          </w:p>
        </w:tc>
      </w:tr>
      <w:tr w:rsidRPr="007A4BFB" w:rsidR="007E27EE" w:rsidTr="4AA51CF6" w14:paraId="10683E8D" w14:textId="77777777">
        <w:tc>
          <w:tcPr>
            <w:tcW w:w="2405" w:type="dxa"/>
          </w:tcPr>
          <w:p w:rsidRPr="007A4BFB" w:rsidR="007E27EE" w:rsidP="4AA51CF6" w:rsidRDefault="007E27EE" w14:paraId="18F1F1DC" w14:textId="77777777">
            <w:pPr>
              <w:spacing w:after="120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Cíl</w:t>
            </w:r>
          </w:p>
        </w:tc>
        <w:tc>
          <w:tcPr>
            <w:tcW w:w="7223" w:type="dxa"/>
          </w:tcPr>
          <w:p w:rsidR="0053195C" w:rsidP="4AA51CF6" w:rsidRDefault="35C38F2C" w14:paraId="1CD7B766" w14:textId="107A5C8D">
            <w:pPr>
              <w:spacing w:after="120"/>
              <w:jc w:val="both"/>
              <w:rPr>
                <w:sz w:val="20"/>
                <w:szCs w:val="20"/>
              </w:rPr>
            </w:pPr>
            <w:proofErr w:type="spellStart"/>
            <w:r w:rsidRPr="4AA51CF6">
              <w:rPr>
                <w:sz w:val="20"/>
                <w:szCs w:val="20"/>
              </w:rPr>
              <w:t>European</w:t>
            </w:r>
            <w:proofErr w:type="spellEnd"/>
            <w:r w:rsidRPr="4AA51CF6">
              <w:rPr>
                <w:sz w:val="20"/>
                <w:szCs w:val="20"/>
              </w:rPr>
              <w:t xml:space="preserve"> Digital Media </w:t>
            </w:r>
            <w:proofErr w:type="spellStart"/>
            <w:r w:rsidRPr="4AA51CF6">
              <w:rPr>
                <w:sz w:val="20"/>
                <w:szCs w:val="20"/>
              </w:rPr>
              <w:t>Observatory</w:t>
            </w:r>
            <w:proofErr w:type="spellEnd"/>
            <w:r w:rsidRPr="4AA51CF6">
              <w:rPr>
                <w:sz w:val="20"/>
                <w:szCs w:val="20"/>
              </w:rPr>
              <w:t xml:space="preserve"> (EDMO) je jedním z prvků akčního plánu Evropské komise pro boj proti dezinformacím, zveřejněného dne 5. prosince 2018. Jeho cílem je posílit kapacity a spolupráci mezi členskými státy a EU ve čtyřech klíčových oblastech: zlepšování detekce, koordinace reakcí, práce s online platformami a průmyslem, zvyšování povědomí a posílení dovedností občanů k reakci na dezinformace online. EDMO spravuje konsorcium vedené Evropským univerzitním institutem ve Florencii a zahájilo svou činnost 1. června 2020.</w:t>
            </w:r>
          </w:p>
          <w:p w:rsidRPr="007A4BFB" w:rsidR="007E27EE" w:rsidP="4AA51CF6" w:rsidRDefault="007E27EE" w14:paraId="14D84643" w14:textId="169E2069">
            <w:pPr>
              <w:spacing w:after="120"/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lastRenderedPageBreak/>
              <w:t xml:space="preserve">Cílem investice je podpořit vznik regionálního hubu/výzkumného centra </w:t>
            </w:r>
            <w:r w:rsidRPr="4AA51CF6" w:rsidR="1A23A2C7">
              <w:rPr>
                <w:sz w:val="20"/>
                <w:szCs w:val="20"/>
              </w:rPr>
              <w:t>projektu C</w:t>
            </w:r>
            <w:r w:rsidRPr="4AA51CF6">
              <w:rPr>
                <w:sz w:val="20"/>
                <w:szCs w:val="20"/>
              </w:rPr>
              <w:t>EDMO</w:t>
            </w:r>
            <w:r w:rsidRPr="4AA51CF6" w:rsidR="1A23A2C7">
              <w:rPr>
                <w:sz w:val="20"/>
                <w:szCs w:val="20"/>
              </w:rPr>
              <w:t xml:space="preserve"> (</w:t>
            </w:r>
            <w:proofErr w:type="spellStart"/>
            <w:r w:rsidRPr="4AA51CF6" w:rsidR="1A23A2C7">
              <w:rPr>
                <w:sz w:val="20"/>
                <w:szCs w:val="20"/>
              </w:rPr>
              <w:t>Central</w:t>
            </w:r>
            <w:proofErr w:type="spellEnd"/>
            <w:r w:rsidRPr="4AA51CF6" w:rsidR="1A23A2C7">
              <w:rPr>
                <w:sz w:val="20"/>
                <w:szCs w:val="20"/>
              </w:rPr>
              <w:t xml:space="preserve"> </w:t>
            </w:r>
            <w:proofErr w:type="spellStart"/>
            <w:r w:rsidRPr="4AA51CF6" w:rsidR="1A23A2C7">
              <w:rPr>
                <w:sz w:val="20"/>
                <w:szCs w:val="20"/>
              </w:rPr>
              <w:t>European</w:t>
            </w:r>
            <w:proofErr w:type="spellEnd"/>
            <w:r w:rsidRPr="4AA51CF6" w:rsidR="1A23A2C7">
              <w:rPr>
                <w:sz w:val="20"/>
                <w:szCs w:val="20"/>
              </w:rPr>
              <w:t xml:space="preserve"> Digital Media </w:t>
            </w:r>
            <w:proofErr w:type="spellStart"/>
            <w:r w:rsidRPr="4AA51CF6" w:rsidR="1A23A2C7">
              <w:rPr>
                <w:sz w:val="20"/>
                <w:szCs w:val="20"/>
              </w:rPr>
              <w:t>Observatory</w:t>
            </w:r>
            <w:proofErr w:type="spellEnd"/>
            <w:r w:rsidRPr="4AA51CF6" w:rsidR="1A23A2C7">
              <w:rPr>
                <w:sz w:val="20"/>
                <w:szCs w:val="20"/>
              </w:rPr>
              <w:t xml:space="preserve">), který byl Evropskou komisí již schválen a je vedený Univerzitou Karlovou a tvořený v ČR dvěma </w:t>
            </w:r>
            <w:r w:rsidRPr="4AA51CF6" w:rsidR="00A7078D">
              <w:rPr>
                <w:sz w:val="20"/>
                <w:szCs w:val="20"/>
              </w:rPr>
              <w:t>partnery – ČVUT</w:t>
            </w:r>
            <w:r w:rsidRPr="4AA51CF6" w:rsidR="1A23A2C7">
              <w:rPr>
                <w:sz w:val="20"/>
                <w:szCs w:val="20"/>
              </w:rPr>
              <w:t xml:space="preserve"> a Demagog.cz, a jedním </w:t>
            </w:r>
            <w:proofErr w:type="spellStart"/>
            <w:r w:rsidRPr="4AA51CF6" w:rsidR="00F82851">
              <w:rPr>
                <w:sz w:val="20"/>
                <w:szCs w:val="20"/>
              </w:rPr>
              <w:t>subkontraktorem</w:t>
            </w:r>
            <w:proofErr w:type="spellEnd"/>
            <w:r w:rsidRPr="4AA51CF6" w:rsidR="00F82851">
              <w:rPr>
                <w:sz w:val="20"/>
                <w:szCs w:val="20"/>
              </w:rPr>
              <w:t xml:space="preserve"> – Univerzitou</w:t>
            </w:r>
            <w:r w:rsidRPr="4AA51CF6" w:rsidR="1A23A2C7">
              <w:rPr>
                <w:sz w:val="20"/>
                <w:szCs w:val="20"/>
              </w:rPr>
              <w:t xml:space="preserve"> Palackého v Olomouci. Ten</w:t>
            </w:r>
            <w:r w:rsidR="00F82851">
              <w:rPr>
                <w:sz w:val="20"/>
                <w:szCs w:val="20"/>
              </w:rPr>
              <w:t xml:space="preserve"> </w:t>
            </w:r>
            <w:r w:rsidRPr="4AA51CF6">
              <w:rPr>
                <w:sz w:val="20"/>
                <w:szCs w:val="20"/>
              </w:rPr>
              <w:t>především poskytne nástroje AI a metodiku pro boj s </w:t>
            </w:r>
            <w:proofErr w:type="spellStart"/>
            <w:r w:rsidRPr="4AA51CF6">
              <w:rPr>
                <w:sz w:val="20"/>
                <w:szCs w:val="20"/>
              </w:rPr>
              <w:t>fake</w:t>
            </w:r>
            <w:proofErr w:type="spellEnd"/>
            <w:r w:rsidRPr="4AA51CF6">
              <w:rPr>
                <w:sz w:val="20"/>
                <w:szCs w:val="20"/>
              </w:rPr>
              <w:t xml:space="preserve"> </w:t>
            </w:r>
            <w:proofErr w:type="spellStart"/>
            <w:r w:rsidRPr="4AA51CF6">
              <w:rPr>
                <w:sz w:val="20"/>
                <w:szCs w:val="20"/>
              </w:rPr>
              <w:t>news</w:t>
            </w:r>
            <w:proofErr w:type="spellEnd"/>
            <w:r w:rsidRPr="4AA51CF6">
              <w:rPr>
                <w:sz w:val="20"/>
                <w:szCs w:val="20"/>
              </w:rPr>
              <w:t xml:space="preserve"> v digitálním prostoru, a to nestranným způsobem. Základem bude </w:t>
            </w:r>
            <w:r w:rsidRPr="4AA51CF6" w:rsidR="1A23A2C7">
              <w:rPr>
                <w:sz w:val="20"/>
                <w:szCs w:val="20"/>
              </w:rPr>
              <w:t xml:space="preserve">i pro </w:t>
            </w:r>
            <w:r w:rsidRPr="4AA51CF6">
              <w:rPr>
                <w:sz w:val="20"/>
                <w:szCs w:val="20"/>
              </w:rPr>
              <w:t>konsorcium Evropského centra excelence v AI, pod jehož téma bezpečnější společnosti nepochybně tato aktivita spadá.</w:t>
            </w:r>
          </w:p>
          <w:p w:rsidRPr="007A4BFB" w:rsidR="007E27EE" w:rsidP="4AA51CF6" w:rsidRDefault="007E27EE" w14:paraId="1838A8BC" w14:textId="5CB7D316">
            <w:pPr>
              <w:spacing w:after="120"/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 xml:space="preserve">Cílem bude dle </w:t>
            </w:r>
            <w:r w:rsidRPr="4AA51CF6" w:rsidR="1A23A2C7">
              <w:rPr>
                <w:sz w:val="20"/>
                <w:szCs w:val="20"/>
              </w:rPr>
              <w:t xml:space="preserve">stanovených cílů </w:t>
            </w:r>
            <w:r w:rsidRPr="4AA51CF6">
              <w:rPr>
                <w:sz w:val="20"/>
                <w:szCs w:val="20"/>
              </w:rPr>
              <w:t>Komise zejména:</w:t>
            </w:r>
          </w:p>
          <w:p w:rsidRPr="007A4BFB" w:rsidR="007E27EE" w:rsidP="4AA51CF6" w:rsidRDefault="007E27EE" w14:paraId="50ADFB1A" w14:textId="77777777">
            <w:pPr>
              <w:spacing w:after="120"/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a. Detekovat, analyzovat a zveřejňovat dezinformační kampaně na národní, nadnárodní a evropské úrovni a analyzovat dopad dezinformačních kampaní na společnost a demokracii;</w:t>
            </w:r>
          </w:p>
          <w:p w:rsidRPr="007A4BFB" w:rsidR="007E27EE" w:rsidP="4AA51CF6" w:rsidRDefault="007E27EE" w14:paraId="3D87073C" w14:textId="77777777">
            <w:pPr>
              <w:spacing w:after="120"/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b. Podporovat aktivity v oblasti mediální gramotnosti;</w:t>
            </w:r>
          </w:p>
          <w:p w:rsidRPr="007A4BFB" w:rsidR="007E27EE" w:rsidP="4AA51CF6" w:rsidRDefault="007E27EE" w14:paraId="69C046C7" w14:textId="1AC340B7">
            <w:pPr>
              <w:spacing w:after="120"/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c. Ve spolupráci s národními úřady monitorovat pravidla online platforem a ekosystém digitálních médií.</w:t>
            </w:r>
          </w:p>
        </w:tc>
      </w:tr>
      <w:tr w:rsidRPr="007A4BFB" w:rsidR="007E27EE" w:rsidTr="4AA51CF6" w14:paraId="1655FBD2" w14:textId="77777777">
        <w:tc>
          <w:tcPr>
            <w:tcW w:w="2405" w:type="dxa"/>
          </w:tcPr>
          <w:p w:rsidRPr="007A4BFB" w:rsidR="007E27EE" w:rsidP="4AA51CF6" w:rsidRDefault="007E27EE" w14:paraId="0A346B90" w14:textId="77777777">
            <w:pPr>
              <w:spacing w:after="120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lastRenderedPageBreak/>
              <w:t>Implementace</w:t>
            </w:r>
          </w:p>
        </w:tc>
        <w:tc>
          <w:tcPr>
            <w:tcW w:w="7223" w:type="dxa"/>
          </w:tcPr>
          <w:p w:rsidR="0053195C" w:rsidP="4AA51CF6" w:rsidRDefault="35C38F2C" w14:paraId="561A351E" w14:textId="4DFB26C1">
            <w:pPr>
              <w:spacing w:after="120"/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 xml:space="preserve">Komise zveřejnila druhou výzvu k předkládání návrhů na regionální EDMO huby v druhé polovině 2020. Druhá fáze projektu bude financována částkou 9 milionů EUR prostřednictvím nástroje pro propojení Evropy (CEF). Tyto huby se zaměří na nově vznikající zranitelná místa digitálních médií, která mají zvláštní význam v rámci území a jazykové oblasti, ve které budou působit. Cílem investice je znásobit financování EDMO hubu a urychlit jeho vznik a zvýšit jeho zásah, </w:t>
            </w:r>
            <w:r w:rsidRPr="4AA51CF6" w:rsidR="1A23A2C7">
              <w:rPr>
                <w:sz w:val="20"/>
                <w:szCs w:val="20"/>
              </w:rPr>
              <w:t xml:space="preserve">díky tomu, že ve výzvě uspěl </w:t>
            </w:r>
            <w:r w:rsidRPr="4AA51CF6">
              <w:rPr>
                <w:sz w:val="20"/>
                <w:szCs w:val="20"/>
              </w:rPr>
              <w:t xml:space="preserve">projekt </w:t>
            </w:r>
            <w:r w:rsidRPr="4AA51CF6" w:rsidR="1A23A2C7">
              <w:rPr>
                <w:sz w:val="20"/>
                <w:szCs w:val="20"/>
              </w:rPr>
              <w:t xml:space="preserve">CEDMO </w:t>
            </w:r>
            <w:r w:rsidRPr="4AA51CF6">
              <w:rPr>
                <w:sz w:val="20"/>
                <w:szCs w:val="20"/>
              </w:rPr>
              <w:t xml:space="preserve">zaměřený </w:t>
            </w:r>
            <w:r w:rsidRPr="4AA51CF6" w:rsidR="1A23A2C7">
              <w:rPr>
                <w:sz w:val="20"/>
                <w:szCs w:val="20"/>
              </w:rPr>
              <w:t xml:space="preserve">i </w:t>
            </w:r>
            <w:r w:rsidRPr="4AA51CF6">
              <w:rPr>
                <w:sz w:val="20"/>
                <w:szCs w:val="20"/>
              </w:rPr>
              <w:t>na ČR a české jazykové prostředí.</w:t>
            </w:r>
          </w:p>
          <w:p w:rsidR="00183C82" w:rsidP="4AA51CF6" w:rsidRDefault="1A23A2C7" w14:paraId="2C1F8E45" w14:textId="3EA07137">
            <w:pPr>
              <w:spacing w:after="120"/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 xml:space="preserve">Financování bude poskytnuto na následující aktivity, které jsou zcela komplementární, ale v žádném případě se nepřekrývají, ale </w:t>
            </w:r>
            <w:r w:rsidRPr="4AA51CF6" w:rsidR="00A67E3E">
              <w:rPr>
                <w:sz w:val="20"/>
                <w:szCs w:val="20"/>
              </w:rPr>
              <w:t>nadstavbově</w:t>
            </w:r>
            <w:r w:rsidRPr="4AA51CF6">
              <w:rPr>
                <w:sz w:val="20"/>
                <w:szCs w:val="20"/>
              </w:rPr>
              <w:t xml:space="preserve"> doplňují:</w:t>
            </w:r>
          </w:p>
          <w:p w:rsidR="000B24C0" w:rsidP="4AA51CF6" w:rsidRDefault="1CA0ED40" w14:paraId="66200A00" w14:textId="77777777">
            <w:pPr>
              <w:spacing w:after="120"/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 xml:space="preserve">1) </w:t>
            </w:r>
            <w:r w:rsidRPr="4AA51CF6" w:rsidR="1A23A2C7">
              <w:rPr>
                <w:sz w:val="20"/>
                <w:szCs w:val="20"/>
              </w:rPr>
              <w:t xml:space="preserve">Spolufinancování projektu CEDMO v období 2021 až 2023. </w:t>
            </w:r>
            <w:r w:rsidR="2AAD6BDA">
              <w:br/>
            </w:r>
            <w:r w:rsidRPr="4AA51CF6" w:rsidR="1A23A2C7">
              <w:rPr>
                <w:sz w:val="20"/>
                <w:szCs w:val="20"/>
              </w:rPr>
              <w:t xml:space="preserve">Spoluúčast na projektu je 25 % vynaložených nákladů čtyř subjektů z ČR </w:t>
            </w:r>
            <w:r w:rsidRPr="4AA51CF6">
              <w:rPr>
                <w:sz w:val="20"/>
                <w:szCs w:val="20"/>
              </w:rPr>
              <w:t xml:space="preserve">a </w:t>
            </w:r>
            <w:r w:rsidRPr="4AA51CF6" w:rsidR="1A23A2C7">
              <w:rPr>
                <w:sz w:val="20"/>
                <w:szCs w:val="20"/>
              </w:rPr>
              <w:t>správ</w:t>
            </w:r>
            <w:r w:rsidRPr="4AA51CF6">
              <w:rPr>
                <w:sz w:val="20"/>
                <w:szCs w:val="20"/>
              </w:rPr>
              <w:t xml:space="preserve">y </w:t>
            </w:r>
            <w:r w:rsidRPr="4AA51CF6" w:rsidR="1A23A2C7">
              <w:rPr>
                <w:sz w:val="20"/>
                <w:szCs w:val="20"/>
              </w:rPr>
              <w:t>a koordinace CEDM</w:t>
            </w:r>
            <w:r w:rsidRPr="4AA51CF6">
              <w:rPr>
                <w:sz w:val="20"/>
                <w:szCs w:val="20"/>
              </w:rPr>
              <w:t>O, aby se</w:t>
            </w:r>
            <w:r w:rsidRPr="4AA51CF6" w:rsidR="1A23A2C7">
              <w:rPr>
                <w:sz w:val="20"/>
                <w:szCs w:val="20"/>
              </w:rPr>
              <w:t xml:space="preserve"> nesnižoval</w:t>
            </w:r>
            <w:r w:rsidRPr="4AA51CF6">
              <w:rPr>
                <w:sz w:val="20"/>
                <w:szCs w:val="20"/>
              </w:rPr>
              <w:t>y</w:t>
            </w:r>
            <w:r w:rsidRPr="4AA51CF6" w:rsidR="1A23A2C7">
              <w:rPr>
                <w:sz w:val="20"/>
                <w:szCs w:val="20"/>
              </w:rPr>
              <w:t xml:space="preserve"> prostředky na výzkum.</w:t>
            </w:r>
          </w:p>
          <w:p w:rsidR="000B24C0" w:rsidP="4AA51CF6" w:rsidRDefault="1CA0ED40" w14:paraId="63ED9404" w14:textId="70591334">
            <w:pPr>
              <w:spacing w:after="120"/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2) Udržitelnost projektu CEDMO po roce 2023, kdy skončí přidělené financování z výzvy CEF-TC-2020-2, tedy v letech 2024-2025.</w:t>
            </w:r>
            <w:r w:rsidR="2AAD6BDA">
              <w:br/>
            </w:r>
            <w:r w:rsidRPr="4AA51CF6">
              <w:rPr>
                <w:sz w:val="20"/>
                <w:szCs w:val="20"/>
              </w:rPr>
              <w:t xml:space="preserve">Je třeba zajistit bazální existenci infrastruktury v ČR i po roce 2023, kdy skončí financování z úspěšné výzvy, která kryje náklady pouze do 2023. </w:t>
            </w:r>
          </w:p>
          <w:p w:rsidRPr="002664A4" w:rsidR="000B24C0" w:rsidP="4AA51CF6" w:rsidRDefault="1CA0ED40" w14:paraId="60DAE238" w14:textId="7EB873F0">
            <w:pPr>
              <w:spacing w:after="120"/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3) Financování projektu CEDMO INDEX v období 2021-2025.</w:t>
            </w:r>
            <w:r w:rsidR="2AAD6BDA">
              <w:br/>
            </w:r>
            <w:r w:rsidRPr="4AA51CF6">
              <w:rPr>
                <w:sz w:val="20"/>
                <w:szCs w:val="20"/>
              </w:rPr>
              <w:t xml:space="preserve">Není součástí výzvy CEF-TC-2020-2. Vychází z ojedinělého longitudinálního výzkumu, jenž staví na rozsáhlém panelu reprezentativního vzorku populace v ČR (minimálně n=2000), který umožní každý měsíc výstupy týkající se nejen digitální a mediální gramotnosti, odolnosti populace vůči </w:t>
            </w:r>
            <w:r w:rsidRPr="4AA51CF6" w:rsidR="00A67E3E">
              <w:rPr>
                <w:sz w:val="20"/>
                <w:szCs w:val="20"/>
              </w:rPr>
              <w:t>dezinformacím</w:t>
            </w:r>
            <w:r w:rsidRPr="4AA51CF6">
              <w:rPr>
                <w:sz w:val="20"/>
                <w:szCs w:val="20"/>
              </w:rPr>
              <w:t xml:space="preserve"> a </w:t>
            </w:r>
            <w:proofErr w:type="spellStart"/>
            <w:r w:rsidRPr="4AA51CF6">
              <w:rPr>
                <w:sz w:val="20"/>
                <w:szCs w:val="20"/>
              </w:rPr>
              <w:t>misinformacím</w:t>
            </w:r>
            <w:proofErr w:type="spellEnd"/>
            <w:r w:rsidRPr="4AA51CF6">
              <w:rPr>
                <w:sz w:val="20"/>
                <w:szCs w:val="20"/>
              </w:rPr>
              <w:t xml:space="preserve">, ale též aplikace AI v žurnalistice a médiích. Půjde o indikátor digitální gramotnosti populace, jejích proměn a odolnosti populace proti </w:t>
            </w:r>
            <w:r w:rsidRPr="4AA51CF6" w:rsidR="00A67E3E">
              <w:rPr>
                <w:sz w:val="20"/>
                <w:szCs w:val="20"/>
              </w:rPr>
              <w:t>dezinformacím</w:t>
            </w:r>
            <w:r w:rsidRPr="4AA51CF6">
              <w:rPr>
                <w:sz w:val="20"/>
                <w:szCs w:val="20"/>
              </w:rPr>
              <w:t xml:space="preserve">. Budou zahrnuty problémy detekované organizacemi zasíťovanými v CEDMO na národní úrovni. Výstupy CEDMO INDEX budou každoměsíční zprávy týkající digitální a mediální gramotnosti, odolnosti populace vůči </w:t>
            </w:r>
            <w:r w:rsidRPr="4AA51CF6" w:rsidR="00A67E3E">
              <w:rPr>
                <w:sz w:val="20"/>
                <w:szCs w:val="20"/>
              </w:rPr>
              <w:t>dezinformacím</w:t>
            </w:r>
            <w:r w:rsidRPr="4AA51CF6">
              <w:rPr>
                <w:sz w:val="20"/>
                <w:szCs w:val="20"/>
              </w:rPr>
              <w:t xml:space="preserve"> a </w:t>
            </w:r>
            <w:proofErr w:type="spellStart"/>
            <w:r w:rsidRPr="4AA51CF6">
              <w:rPr>
                <w:sz w:val="20"/>
                <w:szCs w:val="20"/>
              </w:rPr>
              <w:t>misinformacím</w:t>
            </w:r>
            <w:proofErr w:type="spellEnd"/>
            <w:r w:rsidRPr="4AA51CF6">
              <w:rPr>
                <w:sz w:val="20"/>
                <w:szCs w:val="20"/>
              </w:rPr>
              <w:t xml:space="preserve"> v ČR.</w:t>
            </w:r>
          </w:p>
          <w:p w:rsidR="0053195C" w:rsidP="4AA51CF6" w:rsidRDefault="35C38F2C" w14:paraId="0482D30F" w14:textId="77777777">
            <w:pPr>
              <w:spacing w:after="120"/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 xml:space="preserve">Výzkumná centra EDMO budou navíc vzájemně propojena za účelem sdílení osvědčených postupů a relevantního obsahu. Usnadní tak koordinaci výzkumných činností na úrovni EU a vytvoří komunitu akademických výzkumníků, ověřovatelů faktů, mediálních odborníků a dalších relevantních zapojených subjektů. </w:t>
            </w:r>
          </w:p>
          <w:p w:rsidRPr="007A4BFB" w:rsidR="007E27EE" w:rsidP="4AA51CF6" w:rsidRDefault="35C38F2C" w14:paraId="180F199B" w14:textId="4691DC4F">
            <w:pPr>
              <w:spacing w:after="120"/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 xml:space="preserve">Koordinaci a podporu EDMO hubu poskytne </w:t>
            </w:r>
            <w:r w:rsidRPr="4AA51CF6" w:rsidR="007E27EE">
              <w:rPr>
                <w:sz w:val="20"/>
                <w:szCs w:val="20"/>
              </w:rPr>
              <w:t xml:space="preserve">Ministerstvo průmyslu a obchodu ČR. </w:t>
            </w:r>
          </w:p>
        </w:tc>
      </w:tr>
      <w:tr w:rsidRPr="007A4BFB" w:rsidR="007E27EE" w:rsidTr="4AA51CF6" w14:paraId="7CFA2EAA" w14:textId="77777777">
        <w:trPr>
          <w:trHeight w:val="70"/>
        </w:trPr>
        <w:tc>
          <w:tcPr>
            <w:tcW w:w="2405" w:type="dxa"/>
          </w:tcPr>
          <w:p w:rsidRPr="007A4BFB" w:rsidR="007E27EE" w:rsidP="4AA51CF6" w:rsidRDefault="007E27EE" w14:paraId="7BAA56B7" w14:textId="77777777">
            <w:pPr>
              <w:spacing w:after="120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Spolupráce a zapojení zúčastněných stran</w:t>
            </w:r>
          </w:p>
        </w:tc>
        <w:tc>
          <w:tcPr>
            <w:tcW w:w="7223" w:type="dxa"/>
          </w:tcPr>
          <w:p w:rsidRPr="007A4BFB" w:rsidR="007E27EE" w:rsidP="4AA51CF6" w:rsidRDefault="007E27EE" w14:paraId="50CDA9DC" w14:textId="370AA766">
            <w:pPr>
              <w:spacing w:after="120"/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Relevantní veřejné a soukromé subjekty</w:t>
            </w:r>
            <w:r w:rsidRPr="4AA51CF6" w:rsidR="1CA0ED40">
              <w:rPr>
                <w:sz w:val="20"/>
                <w:szCs w:val="20"/>
              </w:rPr>
              <w:t xml:space="preserve">, zejména ty, které již v rámci výzvy CEF-TC-2020-2 poskytly </w:t>
            </w:r>
            <w:proofErr w:type="spellStart"/>
            <w:r w:rsidRPr="4AA51CF6" w:rsidR="1CA0ED40">
              <w:rPr>
                <w:sz w:val="20"/>
                <w:szCs w:val="20"/>
              </w:rPr>
              <w:t>Letter</w:t>
            </w:r>
            <w:proofErr w:type="spellEnd"/>
            <w:r w:rsidRPr="4AA51CF6" w:rsidR="1CA0ED40">
              <w:rPr>
                <w:sz w:val="20"/>
                <w:szCs w:val="20"/>
              </w:rPr>
              <w:t xml:space="preserve"> </w:t>
            </w:r>
            <w:proofErr w:type="spellStart"/>
            <w:r w:rsidRPr="4AA51CF6" w:rsidR="1CA0ED40">
              <w:rPr>
                <w:sz w:val="20"/>
                <w:szCs w:val="20"/>
              </w:rPr>
              <w:t>of</w:t>
            </w:r>
            <w:proofErr w:type="spellEnd"/>
            <w:r w:rsidRPr="4AA51CF6" w:rsidR="1CA0ED40">
              <w:rPr>
                <w:sz w:val="20"/>
                <w:szCs w:val="20"/>
              </w:rPr>
              <w:t xml:space="preserve"> Support - tzn. MPO, MŠMT, NÚKIB, MVČR atd.</w:t>
            </w:r>
          </w:p>
        </w:tc>
      </w:tr>
      <w:tr w:rsidRPr="007A4BFB" w:rsidR="007E27EE" w:rsidTr="4AA51CF6" w14:paraId="24658F41" w14:textId="77777777">
        <w:tc>
          <w:tcPr>
            <w:tcW w:w="2405" w:type="dxa"/>
          </w:tcPr>
          <w:p w:rsidRPr="007A4BFB" w:rsidR="007E27EE" w:rsidP="4AA51CF6" w:rsidRDefault="007E27EE" w14:paraId="24DD367B" w14:textId="77777777">
            <w:pPr>
              <w:spacing w:after="120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lastRenderedPageBreak/>
              <w:t>Překážky a rizika</w:t>
            </w:r>
          </w:p>
        </w:tc>
        <w:tc>
          <w:tcPr>
            <w:tcW w:w="7223" w:type="dxa"/>
          </w:tcPr>
          <w:p w:rsidRPr="007A4BFB" w:rsidR="007E27EE" w:rsidP="4AA51CF6" w:rsidRDefault="56590A47" w14:paraId="557FD6F0" w14:textId="4BCBA204">
            <w:pPr>
              <w:spacing w:after="120"/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 xml:space="preserve">Klíčovým rizikem </w:t>
            </w:r>
            <w:r w:rsidRPr="4AA51CF6" w:rsidR="1A23A2C7">
              <w:rPr>
                <w:sz w:val="20"/>
                <w:szCs w:val="20"/>
              </w:rPr>
              <w:t xml:space="preserve">je neposkytnutí finančních prostředků na spolufinancování a </w:t>
            </w:r>
            <w:r w:rsidRPr="4AA51CF6">
              <w:rPr>
                <w:sz w:val="20"/>
                <w:szCs w:val="20"/>
              </w:rPr>
              <w:t>nedostatečné personální kapacity u implementující instituce (Ministerstvo průmyslu a obchodu ČR).</w:t>
            </w:r>
          </w:p>
        </w:tc>
      </w:tr>
      <w:tr w:rsidRPr="007A4BFB" w:rsidR="007E27EE" w:rsidTr="4AA51CF6" w14:paraId="24906F59" w14:textId="77777777">
        <w:tc>
          <w:tcPr>
            <w:tcW w:w="2405" w:type="dxa"/>
          </w:tcPr>
          <w:p w:rsidRPr="007A4BFB" w:rsidR="007E27EE" w:rsidP="4AA51CF6" w:rsidRDefault="007E27EE" w14:paraId="673570D3" w14:textId="77777777">
            <w:pPr>
              <w:spacing w:after="120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Cílové skupiny populace a ekonomické subjekty</w:t>
            </w:r>
          </w:p>
        </w:tc>
        <w:tc>
          <w:tcPr>
            <w:tcW w:w="7223" w:type="dxa"/>
          </w:tcPr>
          <w:p w:rsidRPr="007A4BFB" w:rsidR="007E27EE" w:rsidP="4AA51CF6" w:rsidRDefault="007E27EE" w14:paraId="0836420C" w14:textId="77777777">
            <w:pPr>
              <w:spacing w:after="120"/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Široká populace.</w:t>
            </w:r>
          </w:p>
        </w:tc>
      </w:tr>
      <w:tr w:rsidRPr="007A4BFB" w:rsidR="007E27EE" w:rsidTr="4AA51CF6" w14:paraId="11D4F065" w14:textId="77777777">
        <w:tc>
          <w:tcPr>
            <w:tcW w:w="2405" w:type="dxa"/>
          </w:tcPr>
          <w:p w:rsidRPr="007A4BFB" w:rsidR="007E27EE" w:rsidP="4AA51CF6" w:rsidRDefault="007E27EE" w14:paraId="540C6A85" w14:textId="77777777">
            <w:pPr>
              <w:spacing w:after="120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Souhrnné náklady realizace financované z RRF za celé období</w:t>
            </w:r>
          </w:p>
        </w:tc>
        <w:tc>
          <w:tcPr>
            <w:tcW w:w="7223" w:type="dxa"/>
          </w:tcPr>
          <w:p w:rsidRPr="007A4BFB" w:rsidR="007E27EE" w:rsidP="4AA51CF6" w:rsidRDefault="007E27EE" w14:paraId="7B5F4B33" w14:textId="5E1340ED">
            <w:pPr>
              <w:spacing w:after="120"/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 xml:space="preserve">Investice potřebná pro naplnění výše uvedeného cíle počítá s náklady </w:t>
            </w:r>
            <w:r w:rsidRPr="4AA51CF6" w:rsidR="79AA8D31">
              <w:rPr>
                <w:sz w:val="20"/>
                <w:szCs w:val="20"/>
              </w:rPr>
              <w:t>4</w:t>
            </w:r>
            <w:r w:rsidRPr="4AA51CF6">
              <w:rPr>
                <w:sz w:val="20"/>
                <w:szCs w:val="20"/>
              </w:rPr>
              <w:t>3 mil. Kč v období 2021-2023.</w:t>
            </w:r>
          </w:p>
        </w:tc>
      </w:tr>
      <w:tr w:rsidRPr="007A4BFB" w:rsidR="007E27EE" w:rsidTr="4AA51CF6" w14:paraId="25C1B886" w14:textId="77777777">
        <w:tc>
          <w:tcPr>
            <w:tcW w:w="2405" w:type="dxa"/>
          </w:tcPr>
          <w:p w:rsidRPr="007A4BFB" w:rsidR="007E27EE" w:rsidP="4AA51CF6" w:rsidRDefault="007E27EE" w14:paraId="311718C0" w14:textId="77777777">
            <w:pPr>
              <w:spacing w:after="120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Dodržování pravidel státní podpory</w:t>
            </w:r>
          </w:p>
        </w:tc>
        <w:tc>
          <w:tcPr>
            <w:tcW w:w="7223" w:type="dxa"/>
          </w:tcPr>
          <w:p w:rsidRPr="007A4BFB" w:rsidR="007E27EE" w:rsidP="4AA51CF6" w:rsidRDefault="007E27EE" w14:paraId="5E1D5138" w14:textId="6A97AEDA">
            <w:pPr>
              <w:spacing w:after="120"/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 xml:space="preserve">Veřejná podpora </w:t>
            </w:r>
            <w:r w:rsidRPr="4AA51CF6" w:rsidR="35C38F2C">
              <w:rPr>
                <w:sz w:val="20"/>
                <w:szCs w:val="20"/>
              </w:rPr>
              <w:t>je v souladu s programem CEF a jeho kofinancováním</w:t>
            </w:r>
            <w:r w:rsidRPr="4AA51CF6">
              <w:rPr>
                <w:sz w:val="20"/>
                <w:szCs w:val="20"/>
              </w:rPr>
              <w:t>.</w:t>
            </w:r>
          </w:p>
        </w:tc>
      </w:tr>
      <w:tr w:rsidRPr="007A4BFB" w:rsidR="007E27EE" w:rsidTr="4AA51CF6" w14:paraId="777F0F9C" w14:textId="77777777">
        <w:tc>
          <w:tcPr>
            <w:tcW w:w="2405" w:type="dxa"/>
          </w:tcPr>
          <w:p w:rsidRPr="007A4BFB" w:rsidR="007E27EE" w:rsidP="4AA51CF6" w:rsidRDefault="007E27EE" w14:paraId="13D0A4BB" w14:textId="77777777">
            <w:pPr>
              <w:spacing w:after="120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Uveďte dobu implementace</w:t>
            </w:r>
          </w:p>
        </w:tc>
        <w:tc>
          <w:tcPr>
            <w:tcW w:w="7223" w:type="dxa"/>
          </w:tcPr>
          <w:p w:rsidRPr="007A4BFB" w:rsidR="007E27EE" w:rsidP="4AA51CF6" w:rsidRDefault="007E27EE" w14:paraId="464C4850" w14:textId="019F5BCE">
            <w:pPr>
              <w:spacing w:after="120"/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 xml:space="preserve">Plánovaná doba realizace je </w:t>
            </w:r>
            <w:r w:rsidRPr="4AA51CF6" w:rsidR="00A67E3E">
              <w:rPr>
                <w:sz w:val="20"/>
                <w:szCs w:val="20"/>
              </w:rPr>
              <w:t>2021–2025</w:t>
            </w:r>
            <w:r w:rsidRPr="4AA51CF6">
              <w:rPr>
                <w:sz w:val="20"/>
                <w:szCs w:val="20"/>
              </w:rPr>
              <w:t>.</w:t>
            </w:r>
          </w:p>
        </w:tc>
      </w:tr>
    </w:tbl>
    <w:p w:rsidR="007E27EE" w:rsidP="4AA51CF6" w:rsidRDefault="007E27EE" w14:paraId="34FD7ACA" w14:textId="4364C60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b/>
          <w:bCs/>
          <w:sz w:val="20"/>
          <w:szCs w:val="20"/>
        </w:rPr>
      </w:pPr>
    </w:p>
    <w:p w:rsidR="007E27EE" w:rsidP="4AA51CF6" w:rsidRDefault="007E27EE" w14:paraId="5BFF1727" w14:textId="5CD84C5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b/>
          <w:bCs/>
          <w:sz w:val="20"/>
          <w:szCs w:val="20"/>
        </w:rPr>
      </w:pPr>
      <w:r w:rsidRPr="4EAC0756">
        <w:rPr>
          <w:b/>
          <w:bCs/>
          <w:sz w:val="20"/>
          <w:szCs w:val="20"/>
        </w:rPr>
        <w:t xml:space="preserve">1.3 Přenos zahraniční nejlepší praxe a know-how pro digitální transformaci, monitoring a výzkum </w:t>
      </w:r>
      <w:proofErr w:type="spellStart"/>
      <w:r w:rsidRPr="4EAC0756">
        <w:rPr>
          <w:b/>
          <w:bCs/>
          <w:sz w:val="20"/>
          <w:szCs w:val="20"/>
        </w:rPr>
        <w:t>socio</w:t>
      </w:r>
      <w:proofErr w:type="spellEnd"/>
      <w:r w:rsidRPr="4EAC0756">
        <w:rPr>
          <w:b/>
          <w:bCs/>
          <w:sz w:val="20"/>
          <w:szCs w:val="20"/>
        </w:rPr>
        <w:t xml:space="preserve">-ekonomických dopadů krize (Samuel </w:t>
      </w:r>
      <w:proofErr w:type="spellStart"/>
      <w:r w:rsidRPr="4EAC0756" w:rsidR="00942708">
        <w:rPr>
          <w:b/>
          <w:bCs/>
          <w:sz w:val="20"/>
          <w:szCs w:val="20"/>
        </w:rPr>
        <w:t>Neaman</w:t>
      </w:r>
      <w:proofErr w:type="spellEnd"/>
      <w:r w:rsidRPr="4EAC0756">
        <w:rPr>
          <w:b/>
          <w:bCs/>
          <w:sz w:val="20"/>
          <w:szCs w:val="20"/>
        </w:rPr>
        <w:t xml:space="preserve"> Institute)</w:t>
      </w:r>
    </w:p>
    <w:tbl>
      <w:tblPr>
        <w:tblStyle w:val="a4"/>
        <w:tblW w:w="96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7223"/>
      </w:tblGrid>
      <w:tr w:rsidRPr="007A4BFB" w:rsidR="007E27EE" w:rsidTr="4EAC0756" w14:paraId="5F5EC4F9" w14:textId="77777777">
        <w:tc>
          <w:tcPr>
            <w:tcW w:w="2405" w:type="dxa"/>
          </w:tcPr>
          <w:p w:rsidRPr="007A4BFB" w:rsidR="007E27EE" w:rsidP="4AA51CF6" w:rsidRDefault="007E27EE" w14:paraId="68B75423" w14:textId="77777777">
            <w:pPr>
              <w:spacing w:after="120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Výzva</w:t>
            </w:r>
          </w:p>
        </w:tc>
        <w:tc>
          <w:tcPr>
            <w:tcW w:w="7223" w:type="dxa"/>
          </w:tcPr>
          <w:p w:rsidRPr="007A4BFB" w:rsidR="007E27EE" w:rsidP="4AA51CF6" w:rsidRDefault="007E27EE" w14:paraId="5C23B235" w14:textId="77777777">
            <w:pPr>
              <w:spacing w:after="120"/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K provedení nutné digitální transformace a reformy ekonomiky po COVID-19 je třeba zajistit data pro evidence-</w:t>
            </w:r>
            <w:proofErr w:type="spellStart"/>
            <w:r w:rsidRPr="4AA51CF6">
              <w:rPr>
                <w:sz w:val="20"/>
                <w:szCs w:val="20"/>
              </w:rPr>
              <w:t>based</w:t>
            </w:r>
            <w:proofErr w:type="spellEnd"/>
            <w:r w:rsidRPr="4AA51CF6">
              <w:rPr>
                <w:sz w:val="20"/>
                <w:szCs w:val="20"/>
              </w:rPr>
              <w:t xml:space="preserve"> </w:t>
            </w:r>
            <w:proofErr w:type="spellStart"/>
            <w:r w:rsidRPr="4AA51CF6">
              <w:rPr>
                <w:sz w:val="20"/>
                <w:szCs w:val="20"/>
              </w:rPr>
              <w:t>policy</w:t>
            </w:r>
            <w:proofErr w:type="spellEnd"/>
            <w:r w:rsidRPr="4AA51CF6">
              <w:rPr>
                <w:sz w:val="20"/>
                <w:szCs w:val="20"/>
              </w:rPr>
              <w:t xml:space="preserve"> a přenos nejlepší praxe ze zahraničí. Dopady především automatizace ekonomiky a společnosti byly jednorázově kvantifikovány pouze ve Výzkumné zprávě potenciálu AI v ČR v roce 2018, v souladu s aktuálním trendem na úrovni EU, znásobeným dopady pandemie, bude podpořena kapacita na vyhodnocování, predikci trendů, a především předcházení negativním dopadům, především na SME.</w:t>
            </w:r>
          </w:p>
          <w:p w:rsidRPr="007A4BFB" w:rsidR="007E27EE" w:rsidP="4AA51CF6" w:rsidRDefault="007E27EE" w14:paraId="60787FE2" w14:textId="23D1774D">
            <w:pPr>
              <w:spacing w:after="120"/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 xml:space="preserve">Dopad COVID-19 na globální ekonomiku ukázal potřebu vytvořit odolnější dodavatelské řetězce. Podle </w:t>
            </w:r>
            <w:r w:rsidRPr="4AA51CF6" w:rsidR="35C38F2C">
              <w:rPr>
                <w:sz w:val="20"/>
                <w:szCs w:val="20"/>
              </w:rPr>
              <w:t>Evropské k</w:t>
            </w:r>
            <w:r w:rsidRPr="4AA51CF6">
              <w:rPr>
                <w:sz w:val="20"/>
                <w:szCs w:val="20"/>
              </w:rPr>
              <w:t xml:space="preserve">omise má především automatizace má potenciál přesunout část výroby do Evropy a zvýšit její autonomii v kritických hodnotových řetězcích. Očekává se, že </w:t>
            </w:r>
            <w:r w:rsidRPr="4AA51CF6" w:rsidR="79B9200F">
              <w:rPr>
                <w:sz w:val="20"/>
                <w:szCs w:val="20"/>
              </w:rPr>
              <w:t xml:space="preserve">automatizace </w:t>
            </w:r>
            <w:r w:rsidRPr="4AA51CF6">
              <w:rPr>
                <w:sz w:val="20"/>
                <w:szCs w:val="20"/>
              </w:rPr>
              <w:t xml:space="preserve">bude stále více podporovat pracovníky různými způsoby při plnění jejich úkolů a zlepšovat pracovní podmínky. Demografické výzvy v Evropě dále zvýší potřebu automatizace, zejména v odvětví služeb. Pandemie rovněž zdůraznila význam digitálně </w:t>
            </w:r>
            <w:r w:rsidRPr="4AA51CF6" w:rsidR="0D4359F1">
              <w:rPr>
                <w:sz w:val="20"/>
                <w:szCs w:val="20"/>
              </w:rPr>
              <w:t xml:space="preserve">transformovaných </w:t>
            </w:r>
            <w:r w:rsidRPr="4AA51CF6">
              <w:rPr>
                <w:sz w:val="20"/>
                <w:szCs w:val="20"/>
              </w:rPr>
              <w:t>nových způsobů práce</w:t>
            </w:r>
            <w:r w:rsidRPr="4AA51CF6" w:rsidR="7561C32A">
              <w:rPr>
                <w:sz w:val="20"/>
                <w:szCs w:val="20"/>
              </w:rPr>
              <w:t xml:space="preserve"> a také široké možnosti digitální transformace v sektoru </w:t>
            </w:r>
            <w:r w:rsidRPr="4AA51CF6" w:rsidR="00A67E3E">
              <w:rPr>
                <w:sz w:val="20"/>
                <w:szCs w:val="20"/>
              </w:rPr>
              <w:t>služeb.</w:t>
            </w:r>
          </w:p>
          <w:p w:rsidRPr="007A4BFB" w:rsidR="007E27EE" w:rsidP="4AA51CF6" w:rsidRDefault="007E27EE" w14:paraId="09CED8C5" w14:textId="07D75889">
            <w:pPr>
              <w:spacing w:after="120"/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Na druhou stranu tento vývoj přináší řadu výzev</w:t>
            </w:r>
            <w:r w:rsidRPr="4AA51CF6" w:rsidR="79B9200F">
              <w:rPr>
                <w:sz w:val="20"/>
                <w:szCs w:val="20"/>
              </w:rPr>
              <w:t xml:space="preserve">, nejen </w:t>
            </w:r>
            <w:r w:rsidRPr="4AA51CF6">
              <w:rPr>
                <w:sz w:val="20"/>
                <w:szCs w:val="20"/>
              </w:rPr>
              <w:t>otázky bezpečnosti</w:t>
            </w:r>
            <w:r w:rsidRPr="4AA51CF6" w:rsidR="79B9200F">
              <w:rPr>
                <w:sz w:val="20"/>
                <w:szCs w:val="20"/>
              </w:rPr>
              <w:t xml:space="preserve">, ale podporuje i </w:t>
            </w:r>
            <w:r w:rsidRPr="4AA51CF6">
              <w:rPr>
                <w:sz w:val="20"/>
                <w:szCs w:val="20"/>
              </w:rPr>
              <w:t xml:space="preserve">potřebu monitorovat široké spektrum dopadů a budovat </w:t>
            </w:r>
            <w:r w:rsidRPr="4AA51CF6" w:rsidR="0D4359F1">
              <w:rPr>
                <w:sz w:val="20"/>
                <w:szCs w:val="20"/>
              </w:rPr>
              <w:t>odolnost (</w:t>
            </w:r>
            <w:proofErr w:type="spellStart"/>
            <w:r w:rsidRPr="4AA51CF6">
              <w:rPr>
                <w:sz w:val="20"/>
                <w:szCs w:val="20"/>
              </w:rPr>
              <w:t>resilienci</w:t>
            </w:r>
            <w:proofErr w:type="spellEnd"/>
            <w:r w:rsidRPr="4AA51CF6" w:rsidR="0D4359F1">
              <w:rPr>
                <w:sz w:val="20"/>
                <w:szCs w:val="20"/>
              </w:rPr>
              <w:t>)</w:t>
            </w:r>
            <w:r w:rsidRPr="4AA51CF6">
              <w:rPr>
                <w:sz w:val="20"/>
                <w:szCs w:val="20"/>
              </w:rPr>
              <w:t xml:space="preserve"> především v obor</w:t>
            </w:r>
            <w:r w:rsidRPr="4AA51CF6" w:rsidR="79B9200F">
              <w:rPr>
                <w:sz w:val="20"/>
                <w:szCs w:val="20"/>
              </w:rPr>
              <w:t>ech</w:t>
            </w:r>
            <w:r w:rsidRPr="4AA51CF6">
              <w:rPr>
                <w:sz w:val="20"/>
                <w:szCs w:val="20"/>
              </w:rPr>
              <w:t xml:space="preserve"> citliv</w:t>
            </w:r>
            <w:r w:rsidRPr="4AA51CF6" w:rsidR="79B9200F">
              <w:rPr>
                <w:sz w:val="20"/>
                <w:szCs w:val="20"/>
              </w:rPr>
              <w:t>ých</w:t>
            </w:r>
            <w:r w:rsidRPr="4AA51CF6">
              <w:rPr>
                <w:sz w:val="20"/>
                <w:szCs w:val="20"/>
              </w:rPr>
              <w:t xml:space="preserve"> na dopady na trh práce, nerovnost a celkový blahobyt obyvatel.</w:t>
            </w:r>
          </w:p>
        </w:tc>
      </w:tr>
      <w:tr w:rsidRPr="007A4BFB" w:rsidR="007E27EE" w:rsidTr="4EAC0756" w14:paraId="27DE0DD6" w14:textId="77777777">
        <w:tc>
          <w:tcPr>
            <w:tcW w:w="2405" w:type="dxa"/>
          </w:tcPr>
          <w:p w:rsidRPr="007A4BFB" w:rsidR="007E27EE" w:rsidP="4AA51CF6" w:rsidRDefault="007E27EE" w14:paraId="51B76244" w14:textId="77777777">
            <w:pPr>
              <w:spacing w:after="120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Cíl</w:t>
            </w:r>
          </w:p>
        </w:tc>
        <w:tc>
          <w:tcPr>
            <w:tcW w:w="7223" w:type="dxa"/>
          </w:tcPr>
          <w:p w:rsidRPr="007A4BFB" w:rsidR="007E27EE" w:rsidP="4AA51CF6" w:rsidRDefault="007E27EE" w14:paraId="0AB39EC1" w14:textId="2F0BC1CF">
            <w:pPr>
              <w:spacing w:after="120"/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 xml:space="preserve">Reakce na naléhavou potřebu průběžného vyhodnocování dopadů moderních technologií v jednotlivých sektorech, a především aplikace zahraničního know-how v oblasti digitalizace ekonomiky a predikce dopadů. Automatizace je oblastí politiky s velkým potenciálem hospodářských a sociálních dopadů, včetně klíčových oblastí na podporu zelené a digitální transformace Evropy. Expertní skupina na vysoké úrovni pro dopad digitální transformace na trhy práce v EU v roce 2019 vydala závěrečnou zprávu s doporučeními, včetně politických opatření pro Evropskou unii, členské státy, podniky a další zúčastněné strany v krátkodobém, střednědobém a dlouhodobém horizontu. A to s cílem formovat digitální transformaci světa práce a učinit je plynulý, inkluzivní a zaměřený na člověka. Cílem této investice je proto vybudovat kapacitu, která zajistí dostatečné monitorování, vyhodnocování a návrh řešení dopadů skokové digitální transformace. Dalším cílem je zmírnit hospodářský a sociální dopad opatření přijatých proti pandemii </w:t>
            </w:r>
            <w:proofErr w:type="spellStart"/>
            <w:r w:rsidRPr="4AA51CF6">
              <w:rPr>
                <w:sz w:val="20"/>
                <w:szCs w:val="20"/>
              </w:rPr>
              <w:t>koronavirů</w:t>
            </w:r>
            <w:proofErr w:type="spellEnd"/>
            <w:r w:rsidRPr="4AA51CF6">
              <w:rPr>
                <w:sz w:val="20"/>
                <w:szCs w:val="20"/>
              </w:rPr>
              <w:t xml:space="preserve"> a zajistit, aby byla česká ekonomika a společnosti lépe připravena na zelený a digitální přechod. Pro další zvýšení a koordinaci investic je tato investice nezbytná.</w:t>
            </w:r>
          </w:p>
        </w:tc>
      </w:tr>
      <w:tr w:rsidRPr="007A4BFB" w:rsidR="007E27EE" w:rsidTr="4EAC0756" w14:paraId="5CC95109" w14:textId="77777777">
        <w:tc>
          <w:tcPr>
            <w:tcW w:w="2405" w:type="dxa"/>
          </w:tcPr>
          <w:p w:rsidRPr="007A4BFB" w:rsidR="007E27EE" w:rsidP="4AA51CF6" w:rsidRDefault="007E27EE" w14:paraId="0CC58C4C" w14:textId="77777777">
            <w:pPr>
              <w:spacing w:after="120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Implementace</w:t>
            </w:r>
          </w:p>
        </w:tc>
        <w:tc>
          <w:tcPr>
            <w:tcW w:w="7223" w:type="dxa"/>
          </w:tcPr>
          <w:p w:rsidRPr="00AF73AF" w:rsidR="007E27EE" w:rsidP="4AA51CF6" w:rsidRDefault="35C38F2C" w14:paraId="11A407BB" w14:textId="1A347AFA">
            <w:pPr>
              <w:spacing w:after="120"/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 xml:space="preserve">Především vytvoření pobočky strategického </w:t>
            </w:r>
            <w:proofErr w:type="spellStart"/>
            <w:r w:rsidRPr="4AA51CF6">
              <w:rPr>
                <w:sz w:val="20"/>
                <w:szCs w:val="20"/>
              </w:rPr>
              <w:t>think</w:t>
            </w:r>
            <w:proofErr w:type="spellEnd"/>
            <w:r w:rsidRPr="4AA51CF6">
              <w:rPr>
                <w:sz w:val="20"/>
                <w:szCs w:val="20"/>
              </w:rPr>
              <w:t xml:space="preserve">-tanku Samuel </w:t>
            </w:r>
            <w:proofErr w:type="spellStart"/>
            <w:r w:rsidRPr="4AA51CF6" w:rsidR="00942708">
              <w:rPr>
                <w:sz w:val="20"/>
                <w:szCs w:val="20"/>
              </w:rPr>
              <w:t>Neaman</w:t>
            </w:r>
            <w:proofErr w:type="spellEnd"/>
            <w:r w:rsidRPr="4AA51CF6">
              <w:rPr>
                <w:sz w:val="20"/>
                <w:szCs w:val="20"/>
              </w:rPr>
              <w:t xml:space="preserve"> Institute v ČR, napojen</w:t>
            </w:r>
            <w:r w:rsidRPr="4AA51CF6" w:rsidR="79B9200F">
              <w:rPr>
                <w:sz w:val="20"/>
                <w:szCs w:val="20"/>
              </w:rPr>
              <w:t xml:space="preserve">ého jako nezávislé organizace přímo na </w:t>
            </w:r>
            <w:r w:rsidRPr="4AA51CF6">
              <w:rPr>
                <w:sz w:val="20"/>
                <w:szCs w:val="20"/>
              </w:rPr>
              <w:t>Výbor pro digitální transformaci</w:t>
            </w:r>
            <w:r w:rsidRPr="4AA51CF6" w:rsidR="79B9200F">
              <w:rPr>
                <w:sz w:val="20"/>
                <w:szCs w:val="20"/>
              </w:rPr>
              <w:t xml:space="preserve">. </w:t>
            </w:r>
            <w:r w:rsidRPr="4AA51CF6" w:rsidR="79B9200F">
              <w:rPr>
                <w:sz w:val="20"/>
                <w:szCs w:val="20"/>
              </w:rPr>
              <w:lastRenderedPageBreak/>
              <w:t>P</w:t>
            </w:r>
            <w:r w:rsidRPr="4AA51CF6">
              <w:rPr>
                <w:sz w:val="20"/>
                <w:szCs w:val="20"/>
              </w:rPr>
              <w:t xml:space="preserve">ropojí </w:t>
            </w:r>
            <w:r w:rsidRPr="4AA51CF6" w:rsidR="79B9200F">
              <w:rPr>
                <w:sz w:val="20"/>
                <w:szCs w:val="20"/>
              </w:rPr>
              <w:t xml:space="preserve">se tak </w:t>
            </w:r>
            <w:r w:rsidRPr="4AA51CF6">
              <w:rPr>
                <w:sz w:val="20"/>
                <w:szCs w:val="20"/>
              </w:rPr>
              <w:t>především podnikatelské svazy, zástupc</w:t>
            </w:r>
            <w:r w:rsidRPr="4AA51CF6" w:rsidR="79B9200F">
              <w:rPr>
                <w:sz w:val="20"/>
                <w:szCs w:val="20"/>
              </w:rPr>
              <w:t>i</w:t>
            </w:r>
            <w:r w:rsidRPr="4AA51CF6">
              <w:rPr>
                <w:sz w:val="20"/>
                <w:szCs w:val="20"/>
              </w:rPr>
              <w:t xml:space="preserve"> zaměstnavatelů, akademick</w:t>
            </w:r>
            <w:r w:rsidRPr="4AA51CF6" w:rsidR="79B9200F">
              <w:rPr>
                <w:sz w:val="20"/>
                <w:szCs w:val="20"/>
              </w:rPr>
              <w:t>á</w:t>
            </w:r>
            <w:r w:rsidRPr="4AA51CF6">
              <w:rPr>
                <w:sz w:val="20"/>
                <w:szCs w:val="20"/>
              </w:rPr>
              <w:t xml:space="preserve"> sfér</w:t>
            </w:r>
            <w:r w:rsidRPr="4AA51CF6" w:rsidR="79B9200F">
              <w:rPr>
                <w:sz w:val="20"/>
                <w:szCs w:val="20"/>
              </w:rPr>
              <w:t>a</w:t>
            </w:r>
            <w:r w:rsidRPr="4AA51CF6">
              <w:rPr>
                <w:sz w:val="20"/>
                <w:szCs w:val="20"/>
              </w:rPr>
              <w:t xml:space="preserve"> a další </w:t>
            </w:r>
            <w:proofErr w:type="spellStart"/>
            <w:r w:rsidRPr="4AA51CF6">
              <w:rPr>
                <w:sz w:val="20"/>
                <w:szCs w:val="20"/>
              </w:rPr>
              <w:t>stakeholde</w:t>
            </w:r>
            <w:r w:rsidRPr="4AA51CF6" w:rsidR="79B9200F">
              <w:rPr>
                <w:sz w:val="20"/>
                <w:szCs w:val="20"/>
              </w:rPr>
              <w:t>ři</w:t>
            </w:r>
            <w:proofErr w:type="spellEnd"/>
            <w:r w:rsidRPr="4AA51CF6">
              <w:rPr>
                <w:sz w:val="20"/>
                <w:szCs w:val="20"/>
              </w:rPr>
              <w:t xml:space="preserve"> společně s veřejnou správou k záštitě a koordinaci digitální transformace české ekonomiky</w:t>
            </w:r>
            <w:r w:rsidRPr="4AA51CF6" w:rsidR="79B9200F">
              <w:rPr>
                <w:sz w:val="20"/>
                <w:szCs w:val="20"/>
              </w:rPr>
              <w:t xml:space="preserve"> s přenosem nejlepší zahraniční praxe a monitoringem a vyhodnocováním </w:t>
            </w:r>
            <w:proofErr w:type="spellStart"/>
            <w:r w:rsidRPr="4AA51CF6" w:rsidR="79B9200F">
              <w:rPr>
                <w:sz w:val="20"/>
                <w:szCs w:val="20"/>
              </w:rPr>
              <w:t>socio</w:t>
            </w:r>
            <w:proofErr w:type="spellEnd"/>
            <w:r w:rsidRPr="4AA51CF6" w:rsidR="79B9200F">
              <w:rPr>
                <w:sz w:val="20"/>
                <w:szCs w:val="20"/>
              </w:rPr>
              <w:t>-ekonomických dopadů</w:t>
            </w:r>
            <w:r w:rsidRPr="4AA51CF6">
              <w:rPr>
                <w:sz w:val="20"/>
                <w:szCs w:val="20"/>
              </w:rPr>
              <w:t>.</w:t>
            </w:r>
            <w:r w:rsidRPr="4AA51CF6" w:rsidR="79B9200F">
              <w:rPr>
                <w:sz w:val="20"/>
                <w:szCs w:val="20"/>
              </w:rPr>
              <w:t xml:space="preserve"> Implementaci povede </w:t>
            </w:r>
            <w:r w:rsidRPr="4AA51CF6" w:rsidR="007E27EE">
              <w:rPr>
                <w:sz w:val="20"/>
                <w:szCs w:val="20"/>
              </w:rPr>
              <w:t xml:space="preserve">Výbor pro digitální transformaci, pobočka předního světového </w:t>
            </w:r>
            <w:proofErr w:type="spellStart"/>
            <w:r w:rsidRPr="4AA51CF6" w:rsidR="007E27EE">
              <w:rPr>
                <w:sz w:val="20"/>
                <w:szCs w:val="20"/>
              </w:rPr>
              <w:t>think</w:t>
            </w:r>
            <w:proofErr w:type="spellEnd"/>
            <w:r w:rsidRPr="4AA51CF6" w:rsidR="007E27EE">
              <w:rPr>
                <w:sz w:val="20"/>
                <w:szCs w:val="20"/>
              </w:rPr>
              <w:t xml:space="preserve">-tanku </w:t>
            </w:r>
            <w:r w:rsidRPr="4AA51CF6" w:rsidR="79B9200F">
              <w:rPr>
                <w:sz w:val="20"/>
                <w:szCs w:val="20"/>
              </w:rPr>
              <w:t>pro</w:t>
            </w:r>
            <w:r w:rsidRPr="4AA51CF6" w:rsidR="007E27EE">
              <w:rPr>
                <w:sz w:val="20"/>
                <w:szCs w:val="20"/>
              </w:rPr>
              <w:t xml:space="preserve"> přenos strategického know-how (Samuel </w:t>
            </w:r>
            <w:proofErr w:type="spellStart"/>
            <w:r w:rsidRPr="4AA51CF6" w:rsidR="00942708">
              <w:rPr>
                <w:sz w:val="20"/>
                <w:szCs w:val="20"/>
              </w:rPr>
              <w:t>Neaman</w:t>
            </w:r>
            <w:proofErr w:type="spellEnd"/>
            <w:r w:rsidRPr="4AA51CF6" w:rsidR="007E27EE">
              <w:rPr>
                <w:sz w:val="20"/>
                <w:szCs w:val="20"/>
              </w:rPr>
              <w:t xml:space="preserve"> Institute univerzity </w:t>
            </w:r>
            <w:proofErr w:type="spellStart"/>
            <w:r w:rsidRPr="4AA51CF6" w:rsidR="007E27EE">
              <w:rPr>
                <w:sz w:val="20"/>
                <w:szCs w:val="20"/>
              </w:rPr>
              <w:t>Technion</w:t>
            </w:r>
            <w:proofErr w:type="spellEnd"/>
            <w:r w:rsidRPr="4AA51CF6" w:rsidR="007E27EE">
              <w:rPr>
                <w:sz w:val="20"/>
                <w:szCs w:val="20"/>
              </w:rPr>
              <w:t>) v</w:t>
            </w:r>
            <w:r w:rsidRPr="4AA51CF6" w:rsidR="79B9200F">
              <w:rPr>
                <w:sz w:val="20"/>
                <w:szCs w:val="20"/>
              </w:rPr>
              <w:t xml:space="preserve"> návaznosti na </w:t>
            </w:r>
            <w:r w:rsidRPr="4AA51CF6" w:rsidR="007E27EE">
              <w:rPr>
                <w:sz w:val="20"/>
                <w:szCs w:val="20"/>
              </w:rPr>
              <w:t>Evropské</w:t>
            </w:r>
            <w:r w:rsidRPr="4AA51CF6" w:rsidR="79B9200F">
              <w:rPr>
                <w:sz w:val="20"/>
                <w:szCs w:val="20"/>
              </w:rPr>
              <w:t xml:space="preserve"> </w:t>
            </w:r>
            <w:r w:rsidRPr="4AA51CF6" w:rsidR="007E27EE">
              <w:rPr>
                <w:sz w:val="20"/>
                <w:szCs w:val="20"/>
              </w:rPr>
              <w:t>centr</w:t>
            </w:r>
            <w:r w:rsidRPr="4AA51CF6" w:rsidR="79B9200F">
              <w:rPr>
                <w:sz w:val="20"/>
                <w:szCs w:val="20"/>
              </w:rPr>
              <w:t>um</w:t>
            </w:r>
            <w:r w:rsidRPr="4AA51CF6" w:rsidR="007E27EE">
              <w:rPr>
                <w:sz w:val="20"/>
                <w:szCs w:val="20"/>
              </w:rPr>
              <w:t xml:space="preserve"> excelence v AI.</w:t>
            </w:r>
            <w:r w:rsidRPr="4AA51CF6" w:rsidR="007E27EE">
              <w:rPr>
                <w:i/>
                <w:iCs/>
                <w:color w:val="2196FF"/>
                <w:sz w:val="20"/>
                <w:szCs w:val="20"/>
              </w:rPr>
              <w:t xml:space="preserve"> </w:t>
            </w:r>
          </w:p>
        </w:tc>
      </w:tr>
      <w:tr w:rsidRPr="007A4BFB" w:rsidR="007E27EE" w:rsidTr="4EAC0756" w14:paraId="1DD4D3C1" w14:textId="77777777">
        <w:trPr>
          <w:trHeight w:val="70"/>
        </w:trPr>
        <w:tc>
          <w:tcPr>
            <w:tcW w:w="2405" w:type="dxa"/>
          </w:tcPr>
          <w:p w:rsidRPr="007A4BFB" w:rsidR="007E27EE" w:rsidP="4AA51CF6" w:rsidRDefault="007E27EE" w14:paraId="32369C07" w14:textId="77777777">
            <w:pPr>
              <w:spacing w:after="120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lastRenderedPageBreak/>
              <w:t>Spolupráce a zapojení zúčastněných stran</w:t>
            </w:r>
          </w:p>
        </w:tc>
        <w:tc>
          <w:tcPr>
            <w:tcW w:w="7223" w:type="dxa"/>
          </w:tcPr>
          <w:p w:rsidRPr="007A4BFB" w:rsidR="007E27EE" w:rsidP="4AA51CF6" w:rsidRDefault="007E27EE" w14:paraId="740C7AED" w14:textId="77777777">
            <w:pPr>
              <w:spacing w:after="120"/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Akademická sféra (konsorcium univerzit), zapojení dalších předních domácích i mezinárodních pracovišť v oboru.</w:t>
            </w:r>
          </w:p>
        </w:tc>
      </w:tr>
      <w:tr w:rsidRPr="007A4BFB" w:rsidR="007E27EE" w:rsidTr="4EAC0756" w14:paraId="6E5C5619" w14:textId="77777777">
        <w:tc>
          <w:tcPr>
            <w:tcW w:w="2405" w:type="dxa"/>
          </w:tcPr>
          <w:p w:rsidRPr="007A4BFB" w:rsidR="007E27EE" w:rsidP="4AA51CF6" w:rsidRDefault="007E27EE" w14:paraId="08CC5E1F" w14:textId="77777777">
            <w:pPr>
              <w:spacing w:after="120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Překážky a rizika</w:t>
            </w:r>
          </w:p>
        </w:tc>
        <w:tc>
          <w:tcPr>
            <w:tcW w:w="7223" w:type="dxa"/>
          </w:tcPr>
          <w:p w:rsidRPr="007A4BFB" w:rsidR="007E27EE" w:rsidP="4AA51CF6" w:rsidRDefault="007E27EE" w14:paraId="234377EC" w14:textId="6A5E874F">
            <w:pPr>
              <w:spacing w:after="120"/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 xml:space="preserve">Nedostatečná analýza a monitoring vývoje představují zásadní riziko pro naplňování reforem a účelné vynaložení investic v rámci Národního plánu obnovy. </w:t>
            </w:r>
            <w:proofErr w:type="spellStart"/>
            <w:r w:rsidRPr="4AA51CF6">
              <w:rPr>
                <w:sz w:val="20"/>
                <w:szCs w:val="20"/>
              </w:rPr>
              <w:t>Ner</w:t>
            </w:r>
            <w:r w:rsidRPr="4AA51CF6" w:rsidR="00942708">
              <w:rPr>
                <w:sz w:val="20"/>
                <w:szCs w:val="20"/>
              </w:rPr>
              <w:t>e</w:t>
            </w:r>
            <w:r w:rsidRPr="4AA51CF6">
              <w:rPr>
                <w:sz w:val="20"/>
                <w:szCs w:val="20"/>
              </w:rPr>
              <w:t>alizace</w:t>
            </w:r>
            <w:proofErr w:type="spellEnd"/>
            <w:r w:rsidRPr="4AA51CF6">
              <w:rPr>
                <w:sz w:val="20"/>
                <w:szCs w:val="20"/>
              </w:rPr>
              <w:t xml:space="preserve"> tohoto nástroje tak přímo ohrožuje celé naplnění komponenty a navazujících aktivit. </w:t>
            </w:r>
            <w:r w:rsidRPr="4AA51CF6" w:rsidR="56590A47">
              <w:rPr>
                <w:sz w:val="20"/>
                <w:szCs w:val="20"/>
              </w:rPr>
              <w:t>Klíčovým rizikem jsou nedostatečné personální kapacity u implementující instituce (Ministerstvo průmyslu a obchodu ČR).</w:t>
            </w:r>
          </w:p>
        </w:tc>
      </w:tr>
      <w:tr w:rsidRPr="007A4BFB" w:rsidR="007E27EE" w:rsidTr="4EAC0756" w14:paraId="2566032A" w14:textId="77777777">
        <w:tc>
          <w:tcPr>
            <w:tcW w:w="2405" w:type="dxa"/>
          </w:tcPr>
          <w:p w:rsidRPr="007A4BFB" w:rsidR="007E27EE" w:rsidP="4AA51CF6" w:rsidRDefault="007E27EE" w14:paraId="675FF437" w14:textId="77777777">
            <w:pPr>
              <w:spacing w:after="120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Cílové skupiny populace a ekonomické subjekty</w:t>
            </w:r>
          </w:p>
        </w:tc>
        <w:tc>
          <w:tcPr>
            <w:tcW w:w="7223" w:type="dxa"/>
          </w:tcPr>
          <w:p w:rsidRPr="007A4BFB" w:rsidR="007E27EE" w:rsidP="4AA51CF6" w:rsidRDefault="007E27EE" w14:paraId="6728DAFD" w14:textId="77777777">
            <w:pPr>
              <w:spacing w:after="120"/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Veškeré zapojené subjekty ve státní správě i soukromé subjekty dotčené digitální transformací.</w:t>
            </w:r>
          </w:p>
        </w:tc>
      </w:tr>
      <w:tr w:rsidRPr="007A4BFB" w:rsidR="007E27EE" w:rsidTr="4EAC0756" w14:paraId="14C51CA6" w14:textId="77777777">
        <w:tc>
          <w:tcPr>
            <w:tcW w:w="2405" w:type="dxa"/>
          </w:tcPr>
          <w:p w:rsidRPr="007A4BFB" w:rsidR="007E27EE" w:rsidP="4AA51CF6" w:rsidRDefault="007E27EE" w14:paraId="55942146" w14:textId="77777777">
            <w:pPr>
              <w:spacing w:after="120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Souhrnné náklady realizace financované z RRF za celé období</w:t>
            </w:r>
          </w:p>
        </w:tc>
        <w:tc>
          <w:tcPr>
            <w:tcW w:w="7223" w:type="dxa"/>
          </w:tcPr>
          <w:p w:rsidRPr="007A4BFB" w:rsidR="007E27EE" w:rsidP="4AA51CF6" w:rsidRDefault="007E27EE" w14:paraId="2ECD4B0E" w14:textId="70F65AFB">
            <w:pPr>
              <w:spacing w:after="120"/>
              <w:jc w:val="both"/>
              <w:rPr>
                <w:sz w:val="20"/>
                <w:szCs w:val="20"/>
              </w:rPr>
            </w:pPr>
            <w:r w:rsidRPr="4EAC0756">
              <w:rPr>
                <w:sz w:val="20"/>
                <w:szCs w:val="20"/>
              </w:rPr>
              <w:t>Investice potřebná pro naplnění výše uvedeného cíle počítá s náklady 170 mil. Kč v období 2021-202</w:t>
            </w:r>
            <w:r w:rsidRPr="4EAC0756" w:rsidR="7867D773">
              <w:rPr>
                <w:sz w:val="20"/>
                <w:szCs w:val="20"/>
              </w:rPr>
              <w:t>4</w:t>
            </w:r>
            <w:r w:rsidRPr="4EAC0756">
              <w:rPr>
                <w:sz w:val="20"/>
                <w:szCs w:val="20"/>
              </w:rPr>
              <w:t>.</w:t>
            </w:r>
          </w:p>
        </w:tc>
      </w:tr>
      <w:tr w:rsidRPr="007A4BFB" w:rsidR="007E27EE" w:rsidTr="4EAC0756" w14:paraId="66B663A4" w14:textId="77777777">
        <w:tc>
          <w:tcPr>
            <w:tcW w:w="2405" w:type="dxa"/>
          </w:tcPr>
          <w:p w:rsidRPr="007A4BFB" w:rsidR="007E27EE" w:rsidP="4AA51CF6" w:rsidRDefault="007E27EE" w14:paraId="68E8C77F" w14:textId="77777777">
            <w:pPr>
              <w:spacing w:after="120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Dodržování pravidel státní podpory</w:t>
            </w:r>
          </w:p>
        </w:tc>
        <w:tc>
          <w:tcPr>
            <w:tcW w:w="7223" w:type="dxa"/>
          </w:tcPr>
          <w:p w:rsidRPr="007A4BFB" w:rsidR="007E27EE" w:rsidP="4AA51CF6" w:rsidRDefault="007E27EE" w14:paraId="453A4002" w14:textId="5AA1CCE3">
            <w:pPr>
              <w:spacing w:after="120"/>
              <w:jc w:val="both"/>
              <w:rPr>
                <w:i/>
                <w:iCs/>
                <w:color w:val="2196FF"/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 xml:space="preserve">Veškerá veřejná podpora bude </w:t>
            </w:r>
            <w:r w:rsidRPr="4AA51CF6" w:rsidR="0D4359F1">
              <w:rPr>
                <w:sz w:val="20"/>
                <w:szCs w:val="20"/>
              </w:rPr>
              <w:t xml:space="preserve">v rámci implementace vědecko-výzkumnými organizacemi, případně </w:t>
            </w:r>
            <w:r w:rsidRPr="4AA51CF6">
              <w:rPr>
                <w:sz w:val="20"/>
                <w:szCs w:val="20"/>
              </w:rPr>
              <w:t>projednána a popřípadě notifikována v závislosti na konkrétních projektech a změnách dočasného rámce a dalších pravidel v souvislosti s implementací RRF/NPO.</w:t>
            </w:r>
          </w:p>
        </w:tc>
      </w:tr>
      <w:tr w:rsidRPr="007A4BFB" w:rsidR="007E27EE" w:rsidTr="4EAC0756" w14:paraId="2CC14CAD" w14:textId="77777777">
        <w:tc>
          <w:tcPr>
            <w:tcW w:w="2405" w:type="dxa"/>
          </w:tcPr>
          <w:p w:rsidRPr="007A4BFB" w:rsidR="007E27EE" w:rsidP="4AA51CF6" w:rsidRDefault="007E27EE" w14:paraId="7E197F63" w14:textId="77777777">
            <w:pPr>
              <w:spacing w:after="120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Uveďte dobu implementace</w:t>
            </w:r>
          </w:p>
        </w:tc>
        <w:tc>
          <w:tcPr>
            <w:tcW w:w="7223" w:type="dxa"/>
          </w:tcPr>
          <w:p w:rsidRPr="007A4BFB" w:rsidR="007E27EE" w:rsidP="4AA51CF6" w:rsidRDefault="007E27EE" w14:paraId="3338FFFD" w14:textId="63687995">
            <w:pPr>
              <w:spacing w:after="120"/>
              <w:jc w:val="both"/>
              <w:rPr>
                <w:i/>
                <w:iCs/>
                <w:color w:val="2196FF"/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 xml:space="preserve">Plánovaná doba realizace je </w:t>
            </w:r>
            <w:r w:rsidRPr="4AA51CF6" w:rsidR="0D4359F1">
              <w:rPr>
                <w:sz w:val="20"/>
                <w:szCs w:val="20"/>
              </w:rPr>
              <w:t>40</w:t>
            </w:r>
            <w:r w:rsidRPr="4AA51CF6">
              <w:rPr>
                <w:sz w:val="20"/>
                <w:szCs w:val="20"/>
              </w:rPr>
              <w:t xml:space="preserve"> měsíců.</w:t>
            </w:r>
            <w:r w:rsidR="00F82851">
              <w:rPr>
                <w:sz w:val="20"/>
                <w:szCs w:val="20"/>
              </w:rPr>
              <w:t xml:space="preserve"> </w:t>
            </w:r>
            <w:r w:rsidRPr="00F82851" w:rsidR="00F82851">
              <w:rPr>
                <w:sz w:val="20"/>
                <w:szCs w:val="20"/>
              </w:rPr>
              <w:t>Investice bude dokončena do 31. prosince 2024.</w:t>
            </w:r>
          </w:p>
        </w:tc>
      </w:tr>
    </w:tbl>
    <w:p w:rsidRPr="007E27EE" w:rsidR="007D49E4" w:rsidP="4AA51CF6" w:rsidRDefault="007D49E4" w14:paraId="0CFFD6C7" w14:textId="273DA79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sz w:val="20"/>
          <w:szCs w:val="20"/>
        </w:rPr>
      </w:pPr>
    </w:p>
    <w:p w:rsidRPr="007E27EE" w:rsidR="007D49E4" w:rsidP="4AA51CF6" w:rsidRDefault="007E27EE" w14:paraId="00000097" w14:textId="39D4C22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b/>
          <w:bCs/>
          <w:sz w:val="20"/>
          <w:szCs w:val="20"/>
        </w:rPr>
      </w:pPr>
      <w:r w:rsidRPr="4AA51CF6">
        <w:rPr>
          <w:b/>
          <w:bCs/>
          <w:sz w:val="20"/>
          <w:szCs w:val="20"/>
        </w:rPr>
        <w:t>1.4 Platforma pro vzdělávání managementu SME pro post-COVID-19 digitální transformaci</w:t>
      </w:r>
    </w:p>
    <w:tbl>
      <w:tblPr>
        <w:tblStyle w:val="a2"/>
        <w:tblW w:w="96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7223"/>
      </w:tblGrid>
      <w:tr w:rsidRPr="007A4BFB" w:rsidR="007D49E4" w:rsidTr="4EAC0756" w14:paraId="29D712BB" w14:textId="77777777">
        <w:tc>
          <w:tcPr>
            <w:tcW w:w="2405" w:type="dxa"/>
          </w:tcPr>
          <w:p w:rsidRPr="007A4BFB" w:rsidR="007D49E4" w:rsidP="4AA51CF6" w:rsidRDefault="00603083" w14:paraId="0000009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0"/>
                <w:szCs w:val="20"/>
              </w:rPr>
            </w:pPr>
            <w:r w:rsidRPr="4AA51CF6">
              <w:rPr>
                <w:color w:val="000000" w:themeColor="text1"/>
                <w:sz w:val="20"/>
                <w:szCs w:val="20"/>
              </w:rPr>
              <w:t>Výzva</w:t>
            </w:r>
          </w:p>
        </w:tc>
        <w:tc>
          <w:tcPr>
            <w:tcW w:w="7223" w:type="dxa"/>
          </w:tcPr>
          <w:p w:rsidRPr="007A4BFB" w:rsidR="007D49E4" w:rsidP="4AA51CF6" w:rsidRDefault="00603083" w14:paraId="00000099" w14:textId="29713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 xml:space="preserve">K provedení nutné digitální transformace a reformy ekonomiky po COVID-19 je třeba nastavit řídící </w:t>
            </w:r>
            <w:r w:rsidRPr="4AA51CF6" w:rsidR="0D4359F1">
              <w:rPr>
                <w:sz w:val="20"/>
                <w:szCs w:val="20"/>
              </w:rPr>
              <w:t xml:space="preserve">a vzdělávací </w:t>
            </w:r>
            <w:r w:rsidRPr="4AA51CF6">
              <w:rPr>
                <w:sz w:val="20"/>
                <w:szCs w:val="20"/>
              </w:rPr>
              <w:t xml:space="preserve">systém. </w:t>
            </w:r>
            <w:r w:rsidRPr="4AA51CF6" w:rsidR="0D4359F1">
              <w:rPr>
                <w:sz w:val="20"/>
                <w:szCs w:val="20"/>
              </w:rPr>
              <w:t xml:space="preserve">Rozvoj nových technologií přináší nejen příležitosti, ale i výzvy. Je třeba průběžně vzdělávat nejen stávající zaměstnance, ale i management firem a podnikatele obecně tak, aby byli připraveni nové technologie naplno využívat, nepodceňovali kybernetickou bezpečnost a byli schopni nejen reagovat na měnící se situaci na trhu práce a požadavky, ale také, aby dokázali naplno využít příležitostí, které se díky novým technologiím objevují. </w:t>
            </w:r>
            <w:r w:rsidRPr="4AA51CF6">
              <w:rPr>
                <w:sz w:val="20"/>
                <w:szCs w:val="20"/>
              </w:rPr>
              <w:t xml:space="preserve">Pro zdokonalení a implementaci </w:t>
            </w:r>
            <w:r w:rsidRPr="4AA51CF6" w:rsidR="0D4359F1">
              <w:rPr>
                <w:sz w:val="20"/>
                <w:szCs w:val="20"/>
              </w:rPr>
              <w:t xml:space="preserve">digitálních </w:t>
            </w:r>
            <w:r w:rsidRPr="4AA51CF6">
              <w:rPr>
                <w:sz w:val="20"/>
                <w:szCs w:val="20"/>
              </w:rPr>
              <w:t xml:space="preserve">dovedností </w:t>
            </w:r>
            <w:r w:rsidRPr="4AA51CF6" w:rsidR="0D4359F1">
              <w:rPr>
                <w:sz w:val="20"/>
                <w:szCs w:val="20"/>
              </w:rPr>
              <w:t xml:space="preserve">je </w:t>
            </w:r>
            <w:r w:rsidRPr="4AA51CF6">
              <w:rPr>
                <w:sz w:val="20"/>
                <w:szCs w:val="20"/>
              </w:rPr>
              <w:t xml:space="preserve">doporučuje </w:t>
            </w:r>
            <w:r w:rsidRPr="4AA51CF6" w:rsidR="0D4359F1">
              <w:rPr>
                <w:sz w:val="20"/>
                <w:szCs w:val="20"/>
              </w:rPr>
              <w:t xml:space="preserve">Evropská komise </w:t>
            </w:r>
            <w:r w:rsidRPr="4AA51CF6">
              <w:rPr>
                <w:sz w:val="20"/>
                <w:szCs w:val="20"/>
              </w:rPr>
              <w:t>zapracovat do národních strategií v oblasti umělé inteligence</w:t>
            </w:r>
            <w:r w:rsidRPr="4AA51CF6" w:rsidR="0D4359F1">
              <w:rPr>
                <w:sz w:val="20"/>
                <w:szCs w:val="20"/>
              </w:rPr>
              <w:t xml:space="preserve"> a dalších dokumentů </w:t>
            </w:r>
            <w:r w:rsidRPr="4AA51CF6" w:rsidR="3AC218F5">
              <w:rPr>
                <w:sz w:val="20"/>
                <w:szCs w:val="20"/>
              </w:rPr>
              <w:t xml:space="preserve">(včetně Národní strategie kybernetické bezpečnosti České republiky) </w:t>
            </w:r>
            <w:r w:rsidRPr="4AA51CF6" w:rsidR="0D4359F1">
              <w:rPr>
                <w:sz w:val="20"/>
                <w:szCs w:val="20"/>
              </w:rPr>
              <w:t xml:space="preserve">a využít </w:t>
            </w:r>
            <w:r w:rsidRPr="4AA51CF6">
              <w:rPr>
                <w:sz w:val="20"/>
                <w:szCs w:val="20"/>
              </w:rPr>
              <w:t xml:space="preserve">Nástroj pro obnovu a odolnost k podpoře tohoto cíle, například financovat kurzy celoživotního učení, zejména rekvalifikace lidí z netechnického prostředí. Dále </w:t>
            </w:r>
            <w:r w:rsidRPr="4AA51CF6" w:rsidR="0D4359F1">
              <w:rPr>
                <w:sz w:val="20"/>
                <w:szCs w:val="20"/>
              </w:rPr>
              <w:t xml:space="preserve">investice </w:t>
            </w:r>
            <w:r w:rsidRPr="4AA51CF6">
              <w:rPr>
                <w:sz w:val="20"/>
                <w:szCs w:val="20"/>
              </w:rPr>
              <w:t>zaměřené na zvyšování kvalifikace stávající pracovní síly, například prostřednictvím specializovaných školení na univerzitách.</w:t>
            </w:r>
            <w:r w:rsidRPr="4AA51CF6" w:rsidR="0D4359F1">
              <w:rPr>
                <w:sz w:val="20"/>
                <w:szCs w:val="20"/>
              </w:rPr>
              <w:t xml:space="preserve"> Tyto aktivity je třeba zaměřit především jako komplementární k aktivitám směřujícím k reformě vzdělávání a trhu práce (Komponenta 3. Vzdělávání a trh práce) a zaměřit je jako vhodné doplnění pro firemní sféru, zejména pro SME.</w:t>
            </w:r>
          </w:p>
        </w:tc>
      </w:tr>
      <w:tr w:rsidRPr="007A4BFB" w:rsidR="007D49E4" w:rsidTr="4EAC0756" w14:paraId="33C654AE" w14:textId="77777777">
        <w:tc>
          <w:tcPr>
            <w:tcW w:w="2405" w:type="dxa"/>
          </w:tcPr>
          <w:p w:rsidRPr="007A4BFB" w:rsidR="007D49E4" w:rsidP="4AA51CF6" w:rsidRDefault="00603083" w14:paraId="0000009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0"/>
                <w:szCs w:val="20"/>
              </w:rPr>
            </w:pPr>
            <w:r w:rsidRPr="4AA51CF6">
              <w:rPr>
                <w:color w:val="000000" w:themeColor="text1"/>
                <w:sz w:val="20"/>
                <w:szCs w:val="20"/>
              </w:rPr>
              <w:t>Cíl</w:t>
            </w:r>
          </w:p>
        </w:tc>
        <w:tc>
          <w:tcPr>
            <w:tcW w:w="7223" w:type="dxa"/>
          </w:tcPr>
          <w:p w:rsidR="00A81D30" w:rsidP="4AA51CF6" w:rsidRDefault="00603083" w14:paraId="5009847D" w14:textId="729CF84D">
            <w:pPr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 xml:space="preserve">Cílem investice je vznik projektu </w:t>
            </w:r>
            <w:r w:rsidRPr="4AA51CF6" w:rsidR="0D4359F1">
              <w:rPr>
                <w:sz w:val="20"/>
                <w:szCs w:val="20"/>
              </w:rPr>
              <w:t>P</w:t>
            </w:r>
            <w:r w:rsidRPr="4AA51CF6">
              <w:rPr>
                <w:sz w:val="20"/>
                <w:szCs w:val="20"/>
              </w:rPr>
              <w:t xml:space="preserve">latformy pro digitální transformaci, jejímž smyslem je </w:t>
            </w:r>
            <w:r w:rsidRPr="4AA51CF6" w:rsidR="0D4359F1">
              <w:rPr>
                <w:sz w:val="20"/>
                <w:szCs w:val="20"/>
              </w:rPr>
              <w:t xml:space="preserve">v první fázi </w:t>
            </w:r>
            <w:r w:rsidRPr="4AA51CF6">
              <w:rPr>
                <w:sz w:val="20"/>
                <w:szCs w:val="20"/>
              </w:rPr>
              <w:t xml:space="preserve">vytvořit interaktivní </w:t>
            </w:r>
            <w:proofErr w:type="spellStart"/>
            <w:r w:rsidRPr="4AA51CF6">
              <w:rPr>
                <w:sz w:val="20"/>
                <w:szCs w:val="20"/>
              </w:rPr>
              <w:t>one</w:t>
            </w:r>
            <w:proofErr w:type="spellEnd"/>
            <w:r w:rsidRPr="4AA51CF6">
              <w:rPr>
                <w:sz w:val="20"/>
                <w:szCs w:val="20"/>
              </w:rPr>
              <w:t>-stop-</w:t>
            </w:r>
            <w:proofErr w:type="spellStart"/>
            <w:r w:rsidRPr="4AA51CF6">
              <w:rPr>
                <w:sz w:val="20"/>
                <w:szCs w:val="20"/>
              </w:rPr>
              <w:t>shop</w:t>
            </w:r>
            <w:proofErr w:type="spellEnd"/>
            <w:r w:rsidRPr="4AA51CF6">
              <w:rPr>
                <w:sz w:val="20"/>
                <w:szCs w:val="20"/>
              </w:rPr>
              <w:t xml:space="preserve">, dostupný 24/7/365, k němuž budou firmy schopny přistupovat odkudkoliv, a který jim pomůže zodpovědět všechny dotazy týkající se možností využívání nových technologií (AI, </w:t>
            </w:r>
            <w:proofErr w:type="spellStart"/>
            <w:r w:rsidRPr="4AA51CF6">
              <w:rPr>
                <w:sz w:val="20"/>
                <w:szCs w:val="20"/>
              </w:rPr>
              <w:t>blockchain</w:t>
            </w:r>
            <w:proofErr w:type="spellEnd"/>
            <w:r w:rsidRPr="4AA51CF6">
              <w:rPr>
                <w:sz w:val="20"/>
                <w:szCs w:val="20"/>
              </w:rPr>
              <w:t xml:space="preserve">, </w:t>
            </w:r>
            <w:proofErr w:type="spellStart"/>
            <w:r w:rsidRPr="4AA51CF6">
              <w:rPr>
                <w:sz w:val="20"/>
                <w:szCs w:val="20"/>
              </w:rPr>
              <w:t>cloud</w:t>
            </w:r>
            <w:proofErr w:type="spellEnd"/>
            <w:r w:rsidRPr="4AA51CF6">
              <w:rPr>
                <w:sz w:val="20"/>
                <w:szCs w:val="20"/>
              </w:rPr>
              <w:t xml:space="preserve"> </w:t>
            </w:r>
            <w:proofErr w:type="spellStart"/>
            <w:r w:rsidRPr="4AA51CF6">
              <w:rPr>
                <w:sz w:val="20"/>
                <w:szCs w:val="20"/>
              </w:rPr>
              <w:t>computing</w:t>
            </w:r>
            <w:proofErr w:type="spellEnd"/>
            <w:r w:rsidRPr="4AA51CF6">
              <w:rPr>
                <w:sz w:val="20"/>
                <w:szCs w:val="20"/>
              </w:rPr>
              <w:t xml:space="preserve">, robotizace a automatizace, kybernetická bezpečnost, </w:t>
            </w:r>
            <w:proofErr w:type="spellStart"/>
            <w:r w:rsidRPr="4AA51CF6">
              <w:rPr>
                <w:sz w:val="20"/>
                <w:szCs w:val="20"/>
              </w:rPr>
              <w:t>high</w:t>
            </w:r>
            <w:proofErr w:type="spellEnd"/>
            <w:r w:rsidRPr="4AA51CF6">
              <w:rPr>
                <w:sz w:val="20"/>
                <w:szCs w:val="20"/>
              </w:rPr>
              <w:t xml:space="preserve"> performance </w:t>
            </w:r>
            <w:proofErr w:type="spellStart"/>
            <w:r w:rsidRPr="4AA51CF6">
              <w:rPr>
                <w:sz w:val="20"/>
                <w:szCs w:val="20"/>
              </w:rPr>
              <w:t>computing</w:t>
            </w:r>
            <w:proofErr w:type="spellEnd"/>
            <w:r w:rsidRPr="4AA51CF6">
              <w:rPr>
                <w:sz w:val="20"/>
                <w:szCs w:val="20"/>
              </w:rPr>
              <w:t>,...), digitalizace jejich procesů, implementace vybraných řešení, bude vzdělávat v oblasti nových technologií a řešení s nimi spojených a zároveň je bude schopen propojit s možnými dodavateli řešení.</w:t>
            </w:r>
          </w:p>
          <w:p w:rsidR="00A81D30" w:rsidP="4AA51CF6" w:rsidRDefault="00A81D30" w14:paraId="014F1A4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</w:p>
          <w:p w:rsidRPr="007A4BFB" w:rsidR="007D49E4" w:rsidP="4AA51CF6" w:rsidRDefault="0D4359F1" w14:paraId="0000009B" w14:textId="34272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 xml:space="preserve">Pro rozvoj oblasti digitálních dovedností vznikne v druhé fázi pod </w:t>
            </w:r>
            <w:r w:rsidRPr="4AA51CF6" w:rsidR="00603083">
              <w:rPr>
                <w:sz w:val="20"/>
                <w:szCs w:val="20"/>
              </w:rPr>
              <w:t>technologickou platformou také vzdělávací platforma, jejíž obsah bude určován reálnými potřebami trhu. Opět se předpokládá zapojení širokého spektra partnerů, využití e-</w:t>
            </w:r>
            <w:proofErr w:type="spellStart"/>
            <w:r w:rsidRPr="4AA51CF6" w:rsidR="00603083">
              <w:rPr>
                <w:sz w:val="20"/>
                <w:szCs w:val="20"/>
              </w:rPr>
              <w:t>learningových</w:t>
            </w:r>
            <w:proofErr w:type="spellEnd"/>
            <w:r w:rsidRPr="4AA51CF6" w:rsidR="00603083">
              <w:rPr>
                <w:sz w:val="20"/>
                <w:szCs w:val="20"/>
              </w:rPr>
              <w:t xml:space="preserve"> řešení s přidanou hodnotou pro zaměstnavatele/zaměstnance. Systém vzdělávání založený na certifikaci/</w:t>
            </w:r>
            <w:proofErr w:type="spellStart"/>
            <w:r w:rsidRPr="4AA51CF6" w:rsidR="00603083">
              <w:rPr>
                <w:sz w:val="20"/>
                <w:szCs w:val="20"/>
              </w:rPr>
              <w:t>badge</w:t>
            </w:r>
            <w:proofErr w:type="spellEnd"/>
            <w:r w:rsidRPr="4AA51CF6" w:rsidR="00603083">
              <w:rPr>
                <w:sz w:val="20"/>
                <w:szCs w:val="20"/>
              </w:rPr>
              <w:t>. V rámci rozšířených aktivit zaměřených na vzdělávání budou probíhat také osvětové akce zaměřené na studenty ZŠ, SŠ a VŠ.</w:t>
            </w:r>
          </w:p>
          <w:p w:rsidRPr="007A4BFB" w:rsidR="007D49E4" w:rsidP="4AA51CF6" w:rsidRDefault="007D49E4" w14:paraId="0000009C" w14:textId="77777777">
            <w:pPr>
              <w:jc w:val="both"/>
              <w:rPr>
                <w:sz w:val="20"/>
                <w:szCs w:val="20"/>
              </w:rPr>
            </w:pPr>
          </w:p>
          <w:p w:rsidRPr="007A4BFB" w:rsidR="007D49E4" w:rsidP="4AA51CF6" w:rsidRDefault="0D4359F1" w14:paraId="0000009E" w14:textId="1A1629E3">
            <w:pPr>
              <w:spacing w:after="240"/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Dalším přínosem bude výzkum potřeb, motivace a překážek, které firmy přivádějí k používání digitálních služeb a nových technologií či je od nich odrazují. Získaná data budou využita k vytváření uživatelsky přívětivějších řešení a rozvoji nových služeb, které budou podporovat využití digitálních technologií v SME.</w:t>
            </w:r>
            <w:r w:rsidRPr="4AA51CF6" w:rsidR="06C63D54">
              <w:rPr>
                <w:sz w:val="20"/>
                <w:szCs w:val="20"/>
              </w:rPr>
              <w:t xml:space="preserve"> </w:t>
            </w:r>
            <w:r w:rsidRPr="4AA51CF6" w:rsidR="00603083">
              <w:rPr>
                <w:sz w:val="20"/>
                <w:szCs w:val="20"/>
              </w:rPr>
              <w:t xml:space="preserve">Cílem investice je též úzce provázat projekt Technologické platformy pro digitální transformaci s implementací digitální agendy v Národní RIS3 strategii a s procesy, které jsou na tuto strategii vázány a mají za cíl podpořit difúzi nových a klíčových technologií v ČR. </w:t>
            </w:r>
          </w:p>
        </w:tc>
      </w:tr>
      <w:tr w:rsidRPr="007A4BFB" w:rsidR="007D49E4" w:rsidTr="4EAC0756" w14:paraId="0EF98B85" w14:textId="77777777">
        <w:tc>
          <w:tcPr>
            <w:tcW w:w="2405" w:type="dxa"/>
          </w:tcPr>
          <w:p w:rsidRPr="007A4BFB" w:rsidR="007D49E4" w:rsidP="4AA51CF6" w:rsidRDefault="00603083" w14:paraId="0000009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0"/>
                <w:szCs w:val="20"/>
              </w:rPr>
            </w:pPr>
            <w:r w:rsidRPr="4AA51CF6">
              <w:rPr>
                <w:color w:val="000000" w:themeColor="text1"/>
                <w:sz w:val="20"/>
                <w:szCs w:val="20"/>
              </w:rPr>
              <w:lastRenderedPageBreak/>
              <w:t>Implementace</w:t>
            </w:r>
          </w:p>
        </w:tc>
        <w:tc>
          <w:tcPr>
            <w:tcW w:w="7223" w:type="dxa"/>
          </w:tcPr>
          <w:p w:rsidRPr="007A4BFB" w:rsidR="007D49E4" w:rsidP="4AA51CF6" w:rsidRDefault="06C63D54" w14:paraId="000000A0" w14:textId="7D0E9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 xml:space="preserve">Platforma pro digitální transformaci ČR vznikne přímo </w:t>
            </w:r>
            <w:r w:rsidRPr="4AA51CF6" w:rsidR="0D4359F1">
              <w:rPr>
                <w:sz w:val="20"/>
                <w:szCs w:val="20"/>
              </w:rPr>
              <w:t>pod koordinačním Výborem pro digitální transformaci.</w:t>
            </w:r>
            <w:r w:rsidRPr="4AA51CF6">
              <w:rPr>
                <w:sz w:val="20"/>
                <w:szCs w:val="20"/>
              </w:rPr>
              <w:t xml:space="preserve"> </w:t>
            </w:r>
            <w:r w:rsidRPr="4AA51CF6" w:rsidR="0D4359F1">
              <w:rPr>
                <w:sz w:val="20"/>
                <w:szCs w:val="20"/>
              </w:rPr>
              <w:t xml:space="preserve">Jednotlivé na sebe navazující kroky </w:t>
            </w:r>
            <w:r w:rsidRPr="4AA51CF6">
              <w:rPr>
                <w:sz w:val="20"/>
                <w:szCs w:val="20"/>
              </w:rPr>
              <w:t xml:space="preserve">jejího vzniku a implementace investice </w:t>
            </w:r>
            <w:r w:rsidRPr="4AA51CF6" w:rsidR="0D4359F1">
              <w:rPr>
                <w:sz w:val="20"/>
                <w:szCs w:val="20"/>
              </w:rPr>
              <w:t>povedou k vytvoření unikátního ekosystému, který nemá v českém ani evropském prostředí obdoby. Unikátní řešení zajistí propojení komponent (technologie, financování, regulace, vzdělávání, sdílení dobré praxe, …) nezbytných pro využití potenciálu digitální transformace.</w:t>
            </w:r>
            <w:r w:rsidRPr="4AA51CF6">
              <w:rPr>
                <w:sz w:val="20"/>
                <w:szCs w:val="20"/>
              </w:rPr>
              <w:t xml:space="preserve"> A to v </w:t>
            </w:r>
            <w:proofErr w:type="spellStart"/>
            <w:r w:rsidRPr="4AA51CF6">
              <w:rPr>
                <w:sz w:val="20"/>
                <w:szCs w:val="20"/>
              </w:rPr>
              <w:t>provazbě</w:t>
            </w:r>
            <w:proofErr w:type="spellEnd"/>
            <w:r w:rsidRPr="4AA51CF6">
              <w:rPr>
                <w:sz w:val="20"/>
                <w:szCs w:val="20"/>
              </w:rPr>
              <w:t xml:space="preserve"> na další investice v rámci této a navazující komponenty. Implementaci provede </w:t>
            </w:r>
            <w:r w:rsidRPr="4AA51CF6" w:rsidR="00603083">
              <w:rPr>
                <w:sz w:val="20"/>
                <w:szCs w:val="20"/>
              </w:rPr>
              <w:t>Ministerstvo průmyslu a obchodu ČR ve spolupráci s partnery pod řízením Výboru pro digitální transformaci</w:t>
            </w:r>
            <w:r w:rsidRPr="4AA51CF6">
              <w:rPr>
                <w:sz w:val="20"/>
                <w:szCs w:val="20"/>
              </w:rPr>
              <w:t>.</w:t>
            </w:r>
          </w:p>
        </w:tc>
      </w:tr>
      <w:tr w:rsidRPr="007A4BFB" w:rsidR="007D49E4" w:rsidTr="4EAC0756" w14:paraId="11869123" w14:textId="77777777">
        <w:trPr>
          <w:trHeight w:val="70"/>
        </w:trPr>
        <w:tc>
          <w:tcPr>
            <w:tcW w:w="2405" w:type="dxa"/>
          </w:tcPr>
          <w:p w:rsidRPr="007A4BFB" w:rsidR="007D49E4" w:rsidP="4AA51CF6" w:rsidRDefault="00603083" w14:paraId="000000A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0"/>
                <w:szCs w:val="20"/>
              </w:rPr>
            </w:pPr>
            <w:r w:rsidRPr="4AA51CF6">
              <w:rPr>
                <w:color w:val="000000" w:themeColor="text1"/>
                <w:sz w:val="20"/>
                <w:szCs w:val="20"/>
              </w:rPr>
              <w:t>Spolupráce a zapojení zúčastněných stran</w:t>
            </w:r>
          </w:p>
        </w:tc>
        <w:tc>
          <w:tcPr>
            <w:tcW w:w="7223" w:type="dxa"/>
          </w:tcPr>
          <w:p w:rsidRPr="007A4BFB" w:rsidR="007D49E4" w:rsidP="4AA51CF6" w:rsidRDefault="00603083" w14:paraId="000000A2" w14:textId="7EEAC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Zapojeny budou: zaměstnavatelské svazy a asociace, akademický sektor, inovační centra a dalších partneři.</w:t>
            </w:r>
          </w:p>
        </w:tc>
      </w:tr>
      <w:tr w:rsidRPr="007A4BFB" w:rsidR="007D49E4" w:rsidTr="4EAC0756" w14:paraId="1E5EF9C2" w14:textId="77777777">
        <w:tc>
          <w:tcPr>
            <w:tcW w:w="2405" w:type="dxa"/>
          </w:tcPr>
          <w:p w:rsidRPr="007A4BFB" w:rsidR="007D49E4" w:rsidP="4AA51CF6" w:rsidRDefault="00603083" w14:paraId="000000A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0"/>
                <w:szCs w:val="20"/>
              </w:rPr>
            </w:pPr>
            <w:r w:rsidRPr="4AA51CF6">
              <w:rPr>
                <w:color w:val="000000" w:themeColor="text1"/>
                <w:sz w:val="20"/>
                <w:szCs w:val="20"/>
              </w:rPr>
              <w:t>Překážky a rizika</w:t>
            </w:r>
          </w:p>
        </w:tc>
        <w:tc>
          <w:tcPr>
            <w:tcW w:w="7223" w:type="dxa"/>
          </w:tcPr>
          <w:p w:rsidRPr="007A4BFB" w:rsidR="007D49E4" w:rsidP="4AA51CF6" w:rsidRDefault="00603083" w14:paraId="000000A4" w14:textId="27FE1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 xml:space="preserve">Nedostatek finančních prostředků a nevhodně zvolené způsoby financování. Technické komplikace vedoucí k prodloužení doby realizace. </w:t>
            </w:r>
            <w:r w:rsidRPr="4AA51CF6" w:rsidR="56590A47">
              <w:rPr>
                <w:sz w:val="20"/>
                <w:szCs w:val="20"/>
              </w:rPr>
              <w:t>Klíčovým rizikem jsou nedostatečné personální kapacity u implementující instituce (Ministerstvo průmyslu a obchodu ČR).</w:t>
            </w:r>
          </w:p>
        </w:tc>
      </w:tr>
      <w:tr w:rsidRPr="007A4BFB" w:rsidR="007D49E4" w:rsidTr="4EAC0756" w14:paraId="2A1A9D2E" w14:textId="77777777">
        <w:tc>
          <w:tcPr>
            <w:tcW w:w="2405" w:type="dxa"/>
          </w:tcPr>
          <w:p w:rsidRPr="007A4BFB" w:rsidR="007D49E4" w:rsidP="4AA51CF6" w:rsidRDefault="00603083" w14:paraId="000000A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0"/>
                <w:szCs w:val="20"/>
              </w:rPr>
            </w:pPr>
            <w:r w:rsidRPr="4AA51CF6">
              <w:rPr>
                <w:color w:val="000000" w:themeColor="text1"/>
                <w:sz w:val="20"/>
                <w:szCs w:val="20"/>
              </w:rPr>
              <w:t>Cílové skupiny populace a ekonomické subjekty</w:t>
            </w:r>
          </w:p>
        </w:tc>
        <w:tc>
          <w:tcPr>
            <w:tcW w:w="7223" w:type="dxa"/>
          </w:tcPr>
          <w:p w:rsidRPr="007A4BFB" w:rsidR="007D49E4" w:rsidP="4AA51CF6" w:rsidRDefault="00603083" w14:paraId="000000A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Malé a střední podniky, start-</w:t>
            </w:r>
            <w:proofErr w:type="spellStart"/>
            <w:r w:rsidRPr="4AA51CF6">
              <w:rPr>
                <w:sz w:val="20"/>
                <w:szCs w:val="20"/>
              </w:rPr>
              <w:t>upy</w:t>
            </w:r>
            <w:proofErr w:type="spellEnd"/>
            <w:r w:rsidRPr="4AA51CF6">
              <w:rPr>
                <w:sz w:val="20"/>
                <w:szCs w:val="20"/>
              </w:rPr>
              <w:t xml:space="preserve">, zaměstnavatelé, zaměstnanci a studenti. </w:t>
            </w:r>
          </w:p>
        </w:tc>
      </w:tr>
      <w:tr w:rsidRPr="007A4BFB" w:rsidR="007D49E4" w:rsidTr="4EAC0756" w14:paraId="0A309001" w14:textId="77777777">
        <w:tc>
          <w:tcPr>
            <w:tcW w:w="2405" w:type="dxa"/>
          </w:tcPr>
          <w:p w:rsidRPr="007A4BFB" w:rsidR="007D49E4" w:rsidP="4AA51CF6" w:rsidRDefault="00603083" w14:paraId="000000A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0"/>
                <w:szCs w:val="20"/>
              </w:rPr>
            </w:pPr>
            <w:r w:rsidRPr="4AA51CF6">
              <w:rPr>
                <w:color w:val="000000" w:themeColor="text1"/>
                <w:sz w:val="20"/>
                <w:szCs w:val="20"/>
              </w:rPr>
              <w:t>Souhrnné náklady realizace financované z RRF za celé období</w:t>
            </w:r>
          </w:p>
        </w:tc>
        <w:tc>
          <w:tcPr>
            <w:tcW w:w="7223" w:type="dxa"/>
          </w:tcPr>
          <w:p w:rsidRPr="007A4BFB" w:rsidR="007D49E4" w:rsidP="4AA51CF6" w:rsidRDefault="00603083" w14:paraId="000000A8" w14:textId="360D4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sz w:val="20"/>
                <w:szCs w:val="20"/>
              </w:rPr>
            </w:pPr>
            <w:r w:rsidRPr="4EAC0756">
              <w:rPr>
                <w:sz w:val="20"/>
                <w:szCs w:val="20"/>
              </w:rPr>
              <w:t>Investice potřebná pro naplnění výše uvedeného cíle počítá s náklady 1</w:t>
            </w:r>
            <w:r w:rsidRPr="4EAC0756" w:rsidR="57BA4A0C">
              <w:rPr>
                <w:sz w:val="20"/>
                <w:szCs w:val="20"/>
              </w:rPr>
              <w:t>1</w:t>
            </w:r>
            <w:r w:rsidRPr="4EAC0756">
              <w:rPr>
                <w:sz w:val="20"/>
                <w:szCs w:val="20"/>
              </w:rPr>
              <w:t>0 mil. Kč v období 2021-202</w:t>
            </w:r>
            <w:r w:rsidRPr="4EAC0756" w:rsidR="145329E3">
              <w:rPr>
                <w:sz w:val="20"/>
                <w:szCs w:val="20"/>
              </w:rPr>
              <w:t>4</w:t>
            </w:r>
            <w:r w:rsidRPr="4EAC0756">
              <w:rPr>
                <w:sz w:val="20"/>
                <w:szCs w:val="20"/>
              </w:rPr>
              <w:t>.</w:t>
            </w:r>
          </w:p>
        </w:tc>
      </w:tr>
      <w:tr w:rsidRPr="007A4BFB" w:rsidR="007D49E4" w:rsidTr="4EAC0756" w14:paraId="5F642C8C" w14:textId="77777777">
        <w:tc>
          <w:tcPr>
            <w:tcW w:w="2405" w:type="dxa"/>
          </w:tcPr>
          <w:p w:rsidRPr="007A4BFB" w:rsidR="007D49E4" w:rsidP="4AA51CF6" w:rsidRDefault="00603083" w14:paraId="000000A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0"/>
                <w:szCs w:val="20"/>
              </w:rPr>
            </w:pPr>
            <w:r w:rsidRPr="4AA51CF6">
              <w:rPr>
                <w:color w:val="000000" w:themeColor="text1"/>
                <w:sz w:val="20"/>
                <w:szCs w:val="20"/>
              </w:rPr>
              <w:t>Dodržování pravidel státní podpory</w:t>
            </w:r>
          </w:p>
        </w:tc>
        <w:tc>
          <w:tcPr>
            <w:tcW w:w="7223" w:type="dxa"/>
          </w:tcPr>
          <w:p w:rsidRPr="007A4BFB" w:rsidR="007D49E4" w:rsidP="4AA51CF6" w:rsidRDefault="00603083" w14:paraId="000000AA" w14:textId="26EB0E7A">
            <w:pPr>
              <w:spacing w:after="120"/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 xml:space="preserve">Veškerá veřejná podpora </w:t>
            </w:r>
            <w:r w:rsidRPr="4AA51CF6" w:rsidR="476E301B">
              <w:rPr>
                <w:sz w:val="20"/>
                <w:szCs w:val="20"/>
              </w:rPr>
              <w:t xml:space="preserve">bude poskytnuta </w:t>
            </w:r>
            <w:r w:rsidRPr="4AA51CF6" w:rsidR="00A67E3E">
              <w:rPr>
                <w:sz w:val="20"/>
                <w:szCs w:val="20"/>
              </w:rPr>
              <w:t>v závislosti</w:t>
            </w:r>
            <w:r w:rsidRPr="4AA51CF6">
              <w:rPr>
                <w:sz w:val="20"/>
                <w:szCs w:val="20"/>
              </w:rPr>
              <w:t xml:space="preserve"> na konkrétních projektech a </w:t>
            </w:r>
            <w:r w:rsidRPr="4AA51CF6" w:rsidR="476E301B">
              <w:rPr>
                <w:sz w:val="20"/>
                <w:szCs w:val="20"/>
              </w:rPr>
              <w:t xml:space="preserve">také na </w:t>
            </w:r>
            <w:r w:rsidRPr="4AA51CF6">
              <w:rPr>
                <w:sz w:val="20"/>
                <w:szCs w:val="20"/>
              </w:rPr>
              <w:t>změnách dočasného rámce a dalších pravidel v souvislosti s implementací RRF/NPO.</w:t>
            </w:r>
            <w:r w:rsidRPr="4AA51CF6" w:rsidR="3AC218F5">
              <w:rPr>
                <w:sz w:val="20"/>
                <w:szCs w:val="20"/>
              </w:rPr>
              <w:t xml:space="preserve"> Podpora na vzdělávání a odbornou přípravu poskytovaná jednotlivým osobám, které nevykonávají hospodářskou činnost, nezaměstnaným osobám nebo zaměstnaným jednotlivcům nepředstavuje veřejnou podporu. Podporu podnikům lze poskytnout kromě dočasného rámce, též v režimu podpory malého rozsahu (de </w:t>
            </w:r>
            <w:proofErr w:type="spellStart"/>
            <w:r w:rsidRPr="4AA51CF6" w:rsidR="3AC218F5">
              <w:rPr>
                <w:sz w:val="20"/>
                <w:szCs w:val="20"/>
              </w:rPr>
              <w:t>minimis</w:t>
            </w:r>
            <w:proofErr w:type="spellEnd"/>
            <w:r w:rsidRPr="4AA51CF6" w:rsidR="3AC218F5">
              <w:rPr>
                <w:sz w:val="20"/>
                <w:szCs w:val="20"/>
              </w:rPr>
              <w:t xml:space="preserve">) např. dle nařízení č. 1407/2013 nebo dle čl. 31 GBER. Pokud jde o vznik samotné platformy pro digitální transformaci a vzdělávací platformy, nelze vyloučit, že její financování bude představovat veřejnou podporu. Aby se zabránilo poskytnutí veřejné podpory partnerům, budou vybráni prostřednictvím otevřeného, transparentního, bezpodmínečného a nediskriminačního výběrového řízení. Bude zohledněn </w:t>
            </w:r>
            <w:proofErr w:type="spellStart"/>
            <w:r w:rsidRPr="4AA51CF6" w:rsidR="3AC218F5">
              <w:rPr>
                <w:sz w:val="20"/>
                <w:szCs w:val="20"/>
              </w:rPr>
              <w:t>Guiding</w:t>
            </w:r>
            <w:proofErr w:type="spellEnd"/>
            <w:r w:rsidRPr="4AA51CF6" w:rsidR="3AC218F5">
              <w:rPr>
                <w:sz w:val="20"/>
                <w:szCs w:val="20"/>
              </w:rPr>
              <w:t xml:space="preserve"> </w:t>
            </w:r>
            <w:proofErr w:type="spellStart"/>
            <w:r w:rsidRPr="4AA51CF6" w:rsidR="3AC218F5">
              <w:rPr>
                <w:sz w:val="20"/>
                <w:szCs w:val="20"/>
              </w:rPr>
              <w:t>Templates</w:t>
            </w:r>
            <w:proofErr w:type="spellEnd"/>
            <w:r w:rsidRPr="4AA51CF6" w:rsidR="3AC218F5">
              <w:rPr>
                <w:sz w:val="20"/>
                <w:szCs w:val="20"/>
              </w:rPr>
              <w:t>, v kontextu vlajkové iniciativy MODERNISE (</w:t>
            </w:r>
            <w:proofErr w:type="spellStart"/>
            <w:r w:rsidRPr="4AA51CF6" w:rsidR="3AC218F5">
              <w:rPr>
                <w:sz w:val="20"/>
                <w:szCs w:val="20"/>
              </w:rPr>
              <w:t>Digitalisation</w:t>
            </w:r>
            <w:proofErr w:type="spellEnd"/>
            <w:r w:rsidRPr="4AA51CF6" w:rsidR="3AC218F5">
              <w:rPr>
                <w:sz w:val="20"/>
                <w:szCs w:val="20"/>
              </w:rPr>
              <w:t xml:space="preserve"> </w:t>
            </w:r>
            <w:proofErr w:type="spellStart"/>
            <w:r w:rsidRPr="4AA51CF6" w:rsidR="3AC218F5">
              <w:rPr>
                <w:sz w:val="20"/>
                <w:szCs w:val="20"/>
              </w:rPr>
              <w:t>of</w:t>
            </w:r>
            <w:proofErr w:type="spellEnd"/>
            <w:r w:rsidRPr="4AA51CF6" w:rsidR="3AC218F5">
              <w:rPr>
                <w:sz w:val="20"/>
                <w:szCs w:val="20"/>
              </w:rPr>
              <w:t xml:space="preserve"> public </w:t>
            </w:r>
            <w:proofErr w:type="spellStart"/>
            <w:r w:rsidRPr="4AA51CF6" w:rsidR="3AC218F5">
              <w:rPr>
                <w:sz w:val="20"/>
                <w:szCs w:val="20"/>
              </w:rPr>
              <w:t>administration</w:t>
            </w:r>
            <w:proofErr w:type="spellEnd"/>
            <w:r w:rsidRPr="4AA51CF6" w:rsidR="3AC218F5">
              <w:rPr>
                <w:sz w:val="20"/>
                <w:szCs w:val="20"/>
              </w:rPr>
              <w:t xml:space="preserve">, </w:t>
            </w:r>
            <w:proofErr w:type="spellStart"/>
            <w:r w:rsidRPr="4AA51CF6" w:rsidR="3AC218F5">
              <w:rPr>
                <w:sz w:val="20"/>
                <w:szCs w:val="20"/>
              </w:rPr>
              <w:t>including</w:t>
            </w:r>
            <w:proofErr w:type="spellEnd"/>
            <w:r w:rsidRPr="4AA51CF6" w:rsidR="3AC218F5">
              <w:rPr>
                <w:sz w:val="20"/>
                <w:szCs w:val="20"/>
              </w:rPr>
              <w:t xml:space="preserve"> </w:t>
            </w:r>
            <w:proofErr w:type="spellStart"/>
            <w:r w:rsidRPr="4AA51CF6" w:rsidR="3AC218F5">
              <w:rPr>
                <w:sz w:val="20"/>
                <w:szCs w:val="20"/>
              </w:rPr>
              <w:t>healthcare</w:t>
            </w:r>
            <w:proofErr w:type="spellEnd"/>
            <w:r w:rsidRPr="4AA51CF6" w:rsidR="3AC218F5">
              <w:rPr>
                <w:sz w:val="20"/>
                <w:szCs w:val="20"/>
              </w:rPr>
              <w:t>).</w:t>
            </w:r>
          </w:p>
        </w:tc>
      </w:tr>
      <w:tr w:rsidRPr="007A4BFB" w:rsidR="007D49E4" w:rsidTr="4EAC0756" w14:paraId="0B0970AA" w14:textId="77777777">
        <w:tc>
          <w:tcPr>
            <w:tcW w:w="2405" w:type="dxa"/>
          </w:tcPr>
          <w:p w:rsidRPr="007A4BFB" w:rsidR="007D49E4" w:rsidP="4AA51CF6" w:rsidRDefault="00603083" w14:paraId="000000A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0"/>
                <w:szCs w:val="20"/>
              </w:rPr>
            </w:pPr>
            <w:r w:rsidRPr="4AA51CF6">
              <w:rPr>
                <w:color w:val="000000" w:themeColor="text1"/>
                <w:sz w:val="20"/>
                <w:szCs w:val="20"/>
              </w:rPr>
              <w:t>Uveďte dobu implementace</w:t>
            </w:r>
          </w:p>
        </w:tc>
        <w:tc>
          <w:tcPr>
            <w:tcW w:w="7223" w:type="dxa"/>
          </w:tcPr>
          <w:p w:rsidRPr="007A4BFB" w:rsidR="007D49E4" w:rsidP="4AA51CF6" w:rsidRDefault="001222D7" w14:paraId="000000AC" w14:textId="16E24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sz w:val="20"/>
                <w:szCs w:val="20"/>
              </w:rPr>
            </w:pPr>
            <w:r w:rsidRPr="001222D7">
              <w:rPr>
                <w:sz w:val="20"/>
                <w:szCs w:val="20"/>
              </w:rPr>
              <w:t>Investice bude dokončena do 31. prosince 2024.</w:t>
            </w:r>
          </w:p>
        </w:tc>
      </w:tr>
    </w:tbl>
    <w:p w:rsidR="007E27EE" w:rsidP="4AA51CF6" w:rsidRDefault="007E27EE" w14:paraId="05DD7CD3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b/>
          <w:bCs/>
          <w:color w:val="000000"/>
          <w:sz w:val="20"/>
          <w:szCs w:val="20"/>
        </w:rPr>
      </w:pPr>
    </w:p>
    <w:p w:rsidR="007E27EE" w:rsidP="4AA51CF6" w:rsidRDefault="007E27EE" w14:paraId="349E4912" w14:textId="5929AFA3">
      <w:pPr>
        <w:spacing w:line="240" w:lineRule="auto"/>
        <w:rPr>
          <w:b/>
          <w:bCs/>
          <w:color w:val="000000"/>
          <w:sz w:val="20"/>
          <w:szCs w:val="20"/>
        </w:rPr>
      </w:pPr>
    </w:p>
    <w:p w:rsidR="007D49E4" w:rsidP="4AA51CF6" w:rsidRDefault="007E27EE" w14:paraId="000000AD" w14:textId="4B209CC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b/>
          <w:bCs/>
          <w:color w:val="000000"/>
          <w:sz w:val="20"/>
          <w:szCs w:val="20"/>
        </w:rPr>
      </w:pPr>
      <w:r w:rsidRPr="4AA51CF6">
        <w:rPr>
          <w:b/>
          <w:bCs/>
          <w:color w:val="000000" w:themeColor="text1"/>
          <w:sz w:val="20"/>
          <w:szCs w:val="20"/>
        </w:rPr>
        <w:lastRenderedPageBreak/>
        <w:t>1.5 Evropský projekt pro DLT financování digitalizace SME pro překonání krize (</w:t>
      </w:r>
      <w:proofErr w:type="spellStart"/>
      <w:r w:rsidRPr="4AA51CF6">
        <w:rPr>
          <w:b/>
          <w:bCs/>
          <w:color w:val="000000" w:themeColor="text1"/>
          <w:sz w:val="20"/>
          <w:szCs w:val="20"/>
        </w:rPr>
        <w:t>European</w:t>
      </w:r>
      <w:proofErr w:type="spellEnd"/>
      <w:r w:rsidRPr="4AA51CF6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4AA51CF6">
        <w:rPr>
          <w:b/>
          <w:bCs/>
          <w:color w:val="000000" w:themeColor="text1"/>
          <w:sz w:val="20"/>
          <w:szCs w:val="20"/>
        </w:rPr>
        <w:t>Blockchain</w:t>
      </w:r>
      <w:proofErr w:type="spellEnd"/>
      <w:r w:rsidRPr="4AA51CF6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4AA51CF6">
        <w:rPr>
          <w:b/>
          <w:bCs/>
          <w:color w:val="000000" w:themeColor="text1"/>
          <w:sz w:val="20"/>
          <w:szCs w:val="20"/>
        </w:rPr>
        <w:t>Services</w:t>
      </w:r>
      <w:proofErr w:type="spellEnd"/>
      <w:r w:rsidRPr="4AA51CF6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4AA51CF6" w:rsidR="00FB1BDD">
        <w:rPr>
          <w:b/>
          <w:bCs/>
          <w:color w:val="000000" w:themeColor="text1"/>
          <w:sz w:val="20"/>
          <w:szCs w:val="20"/>
        </w:rPr>
        <w:t>Infrastructure</w:t>
      </w:r>
      <w:proofErr w:type="spellEnd"/>
      <w:r w:rsidRPr="4AA51CF6" w:rsidR="00FB1BDD">
        <w:rPr>
          <w:b/>
          <w:bCs/>
          <w:color w:val="000000" w:themeColor="text1"/>
          <w:sz w:val="20"/>
          <w:szCs w:val="20"/>
        </w:rPr>
        <w:t xml:space="preserve"> – EBSI</w:t>
      </w:r>
      <w:r w:rsidRPr="4AA51CF6">
        <w:rPr>
          <w:b/>
          <w:bCs/>
          <w:color w:val="000000" w:themeColor="text1"/>
          <w:sz w:val="20"/>
          <w:szCs w:val="20"/>
        </w:rPr>
        <w:t>)</w:t>
      </w:r>
    </w:p>
    <w:tbl>
      <w:tblPr>
        <w:tblStyle w:val="a5"/>
        <w:tblW w:w="9628" w:type="dxa"/>
        <w:tblInd w:w="-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7223"/>
      </w:tblGrid>
      <w:tr w:rsidRPr="007A4BFB" w:rsidR="007E27EE" w:rsidTr="5886C982" w14:paraId="6E48BB85" w14:textId="77777777">
        <w:tc>
          <w:tcPr>
            <w:tcW w:w="2405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Pr="007A4BFB" w:rsidR="007E27EE" w:rsidP="4AA51CF6" w:rsidRDefault="007E27EE" w14:paraId="29F3E6EB" w14:textId="77777777">
            <w:pPr>
              <w:spacing w:after="120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Výzva</w:t>
            </w:r>
          </w:p>
        </w:tc>
        <w:tc>
          <w:tcPr>
            <w:tcW w:w="7223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C662E" w:rsidP="4AA51CF6" w:rsidRDefault="007E27EE" w14:paraId="0ADA6468" w14:textId="77777777">
            <w:pPr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 xml:space="preserve">Makroekonomický šok způsobený restrikcemi v důsledku epidemie COVID-19 podstatně prohlubuje problém nedostatečných provozních a investičních zdrojů pro SME. Již dnes se přitom často potýkají s nedostatkem </w:t>
            </w:r>
            <w:r w:rsidRPr="4AA51CF6" w:rsidR="68438324">
              <w:rPr>
                <w:sz w:val="20"/>
                <w:szCs w:val="20"/>
              </w:rPr>
              <w:t>provozního,</w:t>
            </w:r>
            <w:r w:rsidRPr="4AA51CF6">
              <w:rPr>
                <w:sz w:val="20"/>
                <w:szCs w:val="20"/>
              </w:rPr>
              <w:t xml:space="preserve"> </w:t>
            </w:r>
            <w:r w:rsidRPr="4AA51CF6" w:rsidR="0EF61130">
              <w:rPr>
                <w:sz w:val="20"/>
                <w:szCs w:val="20"/>
              </w:rPr>
              <w:t xml:space="preserve">a především investičního </w:t>
            </w:r>
            <w:r w:rsidRPr="4AA51CF6">
              <w:rPr>
                <w:sz w:val="20"/>
                <w:szCs w:val="20"/>
              </w:rPr>
              <w:t>financování</w:t>
            </w:r>
            <w:r w:rsidRPr="4AA51CF6" w:rsidR="0EF61130">
              <w:rPr>
                <w:sz w:val="20"/>
                <w:szCs w:val="20"/>
              </w:rPr>
              <w:t xml:space="preserve"> a nedostatečnými </w:t>
            </w:r>
            <w:r w:rsidRPr="4AA51CF6">
              <w:rPr>
                <w:sz w:val="20"/>
                <w:szCs w:val="20"/>
              </w:rPr>
              <w:t>vlastní</w:t>
            </w:r>
            <w:r w:rsidRPr="4AA51CF6" w:rsidR="0EF61130">
              <w:rPr>
                <w:sz w:val="20"/>
                <w:szCs w:val="20"/>
              </w:rPr>
              <w:t>mi</w:t>
            </w:r>
            <w:r w:rsidRPr="4AA51CF6">
              <w:rPr>
                <w:sz w:val="20"/>
                <w:szCs w:val="20"/>
              </w:rPr>
              <w:t xml:space="preserve"> zdroj</w:t>
            </w:r>
            <w:r w:rsidRPr="4AA51CF6" w:rsidR="0EF61130">
              <w:rPr>
                <w:sz w:val="20"/>
                <w:szCs w:val="20"/>
              </w:rPr>
              <w:t>i</w:t>
            </w:r>
            <w:r w:rsidRPr="4AA51CF6">
              <w:rPr>
                <w:sz w:val="20"/>
                <w:szCs w:val="20"/>
              </w:rPr>
              <w:t xml:space="preserve"> potřebn</w:t>
            </w:r>
            <w:r w:rsidRPr="4AA51CF6" w:rsidR="0EF61130">
              <w:rPr>
                <w:sz w:val="20"/>
                <w:szCs w:val="20"/>
              </w:rPr>
              <w:t>ými pro</w:t>
            </w:r>
            <w:r w:rsidRPr="4AA51CF6">
              <w:rPr>
                <w:sz w:val="20"/>
                <w:szCs w:val="20"/>
              </w:rPr>
              <w:t xml:space="preserve"> modernizaci. Přes obrovskou potřebu kapitálu ze strany malých a středních podniků dosud </w:t>
            </w:r>
            <w:r w:rsidRPr="4AA51CF6" w:rsidR="476E301B">
              <w:rPr>
                <w:sz w:val="20"/>
                <w:szCs w:val="20"/>
              </w:rPr>
              <w:t xml:space="preserve">neexistuje celoevropská </w:t>
            </w:r>
            <w:r w:rsidRPr="4AA51CF6">
              <w:rPr>
                <w:sz w:val="20"/>
                <w:szCs w:val="20"/>
              </w:rPr>
              <w:t xml:space="preserve">platforma pro financování SME prostřednictvím emise cenných papírů. </w:t>
            </w:r>
            <w:r w:rsidRPr="4AA51CF6" w:rsidR="0EF61130">
              <w:rPr>
                <w:sz w:val="20"/>
                <w:szCs w:val="20"/>
              </w:rPr>
              <w:t xml:space="preserve">Především </w:t>
            </w:r>
            <w:r w:rsidRPr="4AA51CF6">
              <w:rPr>
                <w:sz w:val="20"/>
                <w:szCs w:val="20"/>
              </w:rPr>
              <w:t>z důvodu vysokých administrativních nákladů</w:t>
            </w:r>
            <w:r w:rsidRPr="4AA51CF6" w:rsidR="0EF61130">
              <w:rPr>
                <w:sz w:val="20"/>
                <w:szCs w:val="20"/>
              </w:rPr>
              <w:t>,</w:t>
            </w:r>
            <w:r w:rsidRPr="4AA51CF6">
              <w:rPr>
                <w:sz w:val="20"/>
                <w:szCs w:val="20"/>
              </w:rPr>
              <w:t xml:space="preserve"> </w:t>
            </w:r>
            <w:r w:rsidRPr="4AA51CF6" w:rsidR="0EF61130">
              <w:rPr>
                <w:sz w:val="20"/>
                <w:szCs w:val="20"/>
              </w:rPr>
              <w:t xml:space="preserve">zaměření investorů na </w:t>
            </w:r>
            <w:r w:rsidRPr="4AA51CF6">
              <w:rPr>
                <w:sz w:val="20"/>
                <w:szCs w:val="20"/>
              </w:rPr>
              <w:t>emis</w:t>
            </w:r>
            <w:r w:rsidRPr="4AA51CF6" w:rsidR="0EF61130">
              <w:rPr>
                <w:sz w:val="20"/>
                <w:szCs w:val="20"/>
              </w:rPr>
              <w:t>e</w:t>
            </w:r>
            <w:r w:rsidRPr="4AA51CF6">
              <w:rPr>
                <w:sz w:val="20"/>
                <w:szCs w:val="20"/>
              </w:rPr>
              <w:t xml:space="preserve"> velkého finančního objemu</w:t>
            </w:r>
            <w:r w:rsidRPr="4AA51CF6" w:rsidR="0EF61130">
              <w:rPr>
                <w:sz w:val="20"/>
                <w:szCs w:val="20"/>
              </w:rPr>
              <w:t xml:space="preserve"> a také nedostatečně rozvinutým povědomím podnikatelů o možnosti využívání nových způsobů financování</w:t>
            </w:r>
            <w:r w:rsidRPr="4AA51CF6">
              <w:rPr>
                <w:sz w:val="20"/>
                <w:szCs w:val="20"/>
              </w:rPr>
              <w:t xml:space="preserve">. </w:t>
            </w:r>
          </w:p>
          <w:p w:rsidR="002C662E" w:rsidP="4AA51CF6" w:rsidRDefault="002C662E" w14:paraId="02F8D03E" w14:textId="77777777">
            <w:pPr>
              <w:jc w:val="both"/>
              <w:rPr>
                <w:sz w:val="20"/>
                <w:szCs w:val="20"/>
              </w:rPr>
            </w:pPr>
          </w:p>
          <w:p w:rsidR="007E27EE" w:rsidP="4AA51CF6" w:rsidRDefault="007E27EE" w14:paraId="6A5F020E" w14:textId="6CB1C79B">
            <w:pPr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 xml:space="preserve">Východiskem pro řešení těchto problémů je vytvoření platformy pro vydávání cenných papíru pomoci </w:t>
            </w:r>
            <w:r w:rsidRPr="4AA51CF6" w:rsidR="31C0E9CE">
              <w:rPr>
                <w:sz w:val="20"/>
                <w:szCs w:val="20"/>
              </w:rPr>
              <w:t xml:space="preserve">decentralizovaných technologií (DLT) </w:t>
            </w:r>
            <w:r w:rsidRPr="4AA51CF6" w:rsidR="5B65093B">
              <w:rPr>
                <w:sz w:val="20"/>
                <w:szCs w:val="20"/>
              </w:rPr>
              <w:t>při splnění všech regulatorních požadavků</w:t>
            </w:r>
            <w:r w:rsidRPr="4AA51CF6" w:rsidR="68438324">
              <w:rPr>
                <w:sz w:val="20"/>
                <w:szCs w:val="20"/>
              </w:rPr>
              <w:t>, a to</w:t>
            </w:r>
            <w:r w:rsidRPr="4AA51CF6" w:rsidR="5B65093B">
              <w:rPr>
                <w:sz w:val="20"/>
                <w:szCs w:val="20"/>
              </w:rPr>
              <w:t xml:space="preserve"> v rámci Evropského </w:t>
            </w:r>
            <w:proofErr w:type="spellStart"/>
            <w:r w:rsidRPr="4AA51CF6" w:rsidR="5B65093B">
              <w:rPr>
                <w:sz w:val="20"/>
                <w:szCs w:val="20"/>
              </w:rPr>
              <w:t>blockchainového</w:t>
            </w:r>
            <w:proofErr w:type="spellEnd"/>
            <w:r w:rsidRPr="4AA51CF6" w:rsidR="5B65093B">
              <w:rPr>
                <w:sz w:val="20"/>
                <w:szCs w:val="20"/>
              </w:rPr>
              <w:t xml:space="preserve"> partnerství (</w:t>
            </w:r>
            <w:proofErr w:type="spellStart"/>
            <w:r w:rsidRPr="4AA51CF6" w:rsidR="5B65093B">
              <w:rPr>
                <w:sz w:val="20"/>
                <w:szCs w:val="20"/>
              </w:rPr>
              <w:t>European</w:t>
            </w:r>
            <w:proofErr w:type="spellEnd"/>
            <w:r w:rsidRPr="4AA51CF6" w:rsidR="5B65093B">
              <w:rPr>
                <w:sz w:val="20"/>
                <w:szCs w:val="20"/>
              </w:rPr>
              <w:t xml:space="preserve"> </w:t>
            </w:r>
            <w:proofErr w:type="spellStart"/>
            <w:r w:rsidRPr="4AA51CF6" w:rsidR="5B65093B">
              <w:rPr>
                <w:sz w:val="20"/>
                <w:szCs w:val="20"/>
              </w:rPr>
              <w:t>Blockchain</w:t>
            </w:r>
            <w:proofErr w:type="spellEnd"/>
            <w:r w:rsidRPr="4AA51CF6" w:rsidR="5B65093B">
              <w:rPr>
                <w:sz w:val="20"/>
                <w:szCs w:val="20"/>
              </w:rPr>
              <w:t xml:space="preserve"> </w:t>
            </w:r>
            <w:proofErr w:type="spellStart"/>
            <w:r w:rsidRPr="4AA51CF6" w:rsidR="68438324">
              <w:rPr>
                <w:sz w:val="20"/>
                <w:szCs w:val="20"/>
              </w:rPr>
              <w:t>Partnership</w:t>
            </w:r>
            <w:proofErr w:type="spellEnd"/>
            <w:r w:rsidRPr="4AA51CF6" w:rsidR="68438324">
              <w:rPr>
                <w:sz w:val="20"/>
                <w:szCs w:val="20"/>
              </w:rPr>
              <w:t xml:space="preserve"> – EBP</w:t>
            </w:r>
            <w:r w:rsidRPr="4AA51CF6" w:rsidR="5B65093B">
              <w:rPr>
                <w:sz w:val="20"/>
                <w:szCs w:val="20"/>
              </w:rPr>
              <w:t>) mezi Evropskou komisí a členskými státy.</w:t>
            </w:r>
          </w:p>
          <w:p w:rsidR="002C662E" w:rsidP="4AA51CF6" w:rsidRDefault="002C662E" w14:paraId="22086E97" w14:textId="77777777">
            <w:pPr>
              <w:jc w:val="both"/>
              <w:rPr>
                <w:sz w:val="20"/>
                <w:szCs w:val="20"/>
              </w:rPr>
            </w:pPr>
          </w:p>
          <w:p w:rsidRPr="007A4BFB" w:rsidR="002C662E" w:rsidP="4AA51CF6" w:rsidRDefault="68438324" w14:paraId="59DEC02E" w14:textId="77777777">
            <w:pPr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 xml:space="preserve">Pilotní projekty </w:t>
            </w:r>
            <w:proofErr w:type="spellStart"/>
            <w:r w:rsidRPr="4AA51CF6">
              <w:rPr>
                <w:sz w:val="20"/>
                <w:szCs w:val="20"/>
              </w:rPr>
              <w:t>blockchainových</w:t>
            </w:r>
            <w:proofErr w:type="spellEnd"/>
            <w:r w:rsidRPr="4AA51CF6">
              <w:rPr>
                <w:sz w:val="20"/>
                <w:szCs w:val="20"/>
              </w:rPr>
              <w:t xml:space="preserve"> bondů implementovalo již několik </w:t>
            </w:r>
            <w:proofErr w:type="spellStart"/>
            <w:r w:rsidRPr="4AA51CF6">
              <w:rPr>
                <w:sz w:val="20"/>
                <w:szCs w:val="20"/>
              </w:rPr>
              <w:t>významých</w:t>
            </w:r>
            <w:proofErr w:type="spellEnd"/>
            <w:r w:rsidRPr="4AA51CF6">
              <w:rPr>
                <w:sz w:val="20"/>
                <w:szCs w:val="20"/>
              </w:rPr>
              <w:t xml:space="preserve"> mezinárodních organizaci a společnosti, např.</w:t>
            </w:r>
          </w:p>
          <w:p w:rsidRPr="007A4BFB" w:rsidR="002C662E" w:rsidP="4AA51CF6" w:rsidRDefault="68438324" w14:paraId="517F9088" w14:textId="7777777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 xml:space="preserve">Světová banka spolu s </w:t>
            </w:r>
            <w:proofErr w:type="spellStart"/>
            <w:r w:rsidRPr="4AA51CF6">
              <w:rPr>
                <w:sz w:val="20"/>
                <w:szCs w:val="20"/>
              </w:rPr>
              <w:t>Commonwealth</w:t>
            </w:r>
            <w:proofErr w:type="spellEnd"/>
            <w:r w:rsidRPr="4AA51CF6">
              <w:rPr>
                <w:sz w:val="20"/>
                <w:szCs w:val="20"/>
              </w:rPr>
              <w:t xml:space="preserve"> Bank </w:t>
            </w:r>
            <w:proofErr w:type="spellStart"/>
            <w:r w:rsidRPr="4AA51CF6">
              <w:rPr>
                <w:sz w:val="20"/>
                <w:szCs w:val="20"/>
              </w:rPr>
              <w:t>of</w:t>
            </w:r>
            <w:proofErr w:type="spellEnd"/>
            <w:r w:rsidRPr="4AA51CF6">
              <w:rPr>
                <w:sz w:val="20"/>
                <w:szCs w:val="20"/>
              </w:rPr>
              <w:t xml:space="preserve"> </w:t>
            </w:r>
            <w:proofErr w:type="spellStart"/>
            <w:r w:rsidRPr="4AA51CF6">
              <w:rPr>
                <w:sz w:val="20"/>
                <w:szCs w:val="20"/>
              </w:rPr>
              <w:t>Australia</w:t>
            </w:r>
            <w:proofErr w:type="spellEnd"/>
            <w:r w:rsidRPr="4AA51CF6">
              <w:rPr>
                <w:sz w:val="20"/>
                <w:szCs w:val="20"/>
              </w:rPr>
              <w:t xml:space="preserve"> v roce 2018 vydala Bond-i,</w:t>
            </w:r>
          </w:p>
          <w:p w:rsidRPr="007A4BFB" w:rsidR="002C662E" w:rsidP="4AA51CF6" w:rsidRDefault="68438324" w14:paraId="25D899DC" w14:textId="7777777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 xml:space="preserve">ve stejném roce </w:t>
            </w:r>
            <w:proofErr w:type="spellStart"/>
            <w:r w:rsidRPr="4AA51CF6">
              <w:rPr>
                <w:sz w:val="20"/>
                <w:szCs w:val="20"/>
              </w:rPr>
              <w:t>Erste</w:t>
            </w:r>
            <w:proofErr w:type="spellEnd"/>
            <w:r w:rsidRPr="4AA51CF6">
              <w:rPr>
                <w:sz w:val="20"/>
                <w:szCs w:val="20"/>
              </w:rPr>
              <w:t xml:space="preserve"> Group a ASFINAG provedly první digitální vydaní dluhopisů na </w:t>
            </w:r>
            <w:proofErr w:type="spellStart"/>
            <w:r w:rsidRPr="4AA51CF6">
              <w:rPr>
                <w:sz w:val="20"/>
                <w:szCs w:val="20"/>
              </w:rPr>
              <w:t>blockchainu</w:t>
            </w:r>
            <w:proofErr w:type="spellEnd"/>
            <w:r w:rsidRPr="4AA51CF6">
              <w:rPr>
                <w:sz w:val="20"/>
                <w:szCs w:val="20"/>
              </w:rPr>
              <w:t>,</w:t>
            </w:r>
          </w:p>
          <w:p w:rsidRPr="007A4BFB" w:rsidR="002C662E" w:rsidP="4AA51CF6" w:rsidRDefault="68438324" w14:paraId="01934858" w14:textId="38875546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proofErr w:type="spellStart"/>
            <w:r w:rsidRPr="4AA51CF6">
              <w:rPr>
                <w:sz w:val="20"/>
                <w:szCs w:val="20"/>
              </w:rPr>
              <w:t>Société</w:t>
            </w:r>
            <w:proofErr w:type="spellEnd"/>
            <w:r w:rsidRPr="4AA51CF6">
              <w:rPr>
                <w:sz w:val="20"/>
                <w:szCs w:val="20"/>
              </w:rPr>
              <w:t xml:space="preserve"> </w:t>
            </w:r>
            <w:proofErr w:type="spellStart"/>
            <w:r w:rsidRPr="4AA51CF6">
              <w:rPr>
                <w:sz w:val="20"/>
                <w:szCs w:val="20"/>
              </w:rPr>
              <w:t>Générale</w:t>
            </w:r>
            <w:proofErr w:type="spellEnd"/>
            <w:r w:rsidRPr="4AA51CF6">
              <w:rPr>
                <w:sz w:val="20"/>
                <w:szCs w:val="20"/>
              </w:rPr>
              <w:t xml:space="preserve"> v roce 2019 vydala bondy v hodnotě 100 mil eur,</w:t>
            </w:r>
          </w:p>
          <w:p w:rsidR="00A67E3E" w:rsidP="4AA51CF6" w:rsidRDefault="68438324" w14:paraId="552DFE00" w14:textId="195607FD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 xml:space="preserve">BBVA a španělská pojišťovna MAPFRE </w:t>
            </w:r>
            <w:r w:rsidRPr="4AA51CF6" w:rsidR="00A67E3E">
              <w:rPr>
                <w:sz w:val="20"/>
                <w:szCs w:val="20"/>
              </w:rPr>
              <w:t>před</w:t>
            </w:r>
            <w:r w:rsidRPr="4AA51CF6">
              <w:rPr>
                <w:sz w:val="20"/>
                <w:szCs w:val="20"/>
              </w:rPr>
              <w:t xml:space="preserve">minulý rok vydaly první “zelený dluhopis” </w:t>
            </w:r>
            <w:proofErr w:type="spellStart"/>
            <w:r w:rsidRPr="4AA51CF6">
              <w:rPr>
                <w:sz w:val="20"/>
                <w:szCs w:val="20"/>
              </w:rPr>
              <w:t>blockchainu</w:t>
            </w:r>
            <w:proofErr w:type="spellEnd"/>
            <w:r w:rsidRPr="4AA51CF6">
              <w:rPr>
                <w:sz w:val="20"/>
                <w:szCs w:val="20"/>
              </w:rPr>
              <w:t xml:space="preserve"> </w:t>
            </w:r>
            <w:proofErr w:type="spellStart"/>
            <w:r w:rsidRPr="4AA51CF6">
              <w:rPr>
                <w:sz w:val="20"/>
                <w:szCs w:val="20"/>
              </w:rPr>
              <w:t>for</w:t>
            </w:r>
            <w:proofErr w:type="spellEnd"/>
            <w:r w:rsidRPr="4AA51CF6">
              <w:rPr>
                <w:sz w:val="20"/>
                <w:szCs w:val="20"/>
              </w:rPr>
              <w:t xml:space="preserve"> EUR 35 mil</w:t>
            </w:r>
            <w:r w:rsidRPr="4AA51CF6" w:rsidR="00A67E3E">
              <w:rPr>
                <w:sz w:val="20"/>
                <w:szCs w:val="20"/>
              </w:rPr>
              <w:t>.,</w:t>
            </w:r>
          </w:p>
          <w:p w:rsidRPr="002C662E" w:rsidR="002C662E" w:rsidP="4AA51CF6" w:rsidRDefault="00A67E3E" w14:paraId="57302D5A" w14:textId="7983850F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5886C982" w:rsidR="00A67E3E">
              <w:rPr>
                <w:sz w:val="20"/>
                <w:szCs w:val="20"/>
              </w:rPr>
              <w:t xml:space="preserve">Evropská investiční banka vydala v dubnu 2021 bondy na </w:t>
            </w:r>
            <w:r w:rsidRPr="5886C982" w:rsidR="00A67E3E">
              <w:rPr>
                <w:sz w:val="20"/>
                <w:szCs w:val="20"/>
              </w:rPr>
              <w:t>blockchainu</w:t>
            </w:r>
            <w:r w:rsidRPr="5886C982" w:rsidR="00A67E3E">
              <w:rPr>
                <w:sz w:val="20"/>
                <w:szCs w:val="20"/>
              </w:rPr>
              <w:t xml:space="preserve"> v hodnotě EUR 100 </w:t>
            </w:r>
            <w:r w:rsidRPr="5886C982" w:rsidR="00A67E3E">
              <w:rPr>
                <w:sz w:val="20"/>
                <w:szCs w:val="20"/>
              </w:rPr>
              <w:t>mil.</w:t>
            </w:r>
          </w:p>
        </w:tc>
      </w:tr>
      <w:tr w:rsidRPr="007A4BFB" w:rsidR="007E27EE" w:rsidTr="5886C982" w14:paraId="52B8CBB6" w14:textId="77777777">
        <w:tc>
          <w:tcPr>
            <w:tcW w:w="2405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Pr="007A4BFB" w:rsidR="007E27EE" w:rsidP="4AA51CF6" w:rsidRDefault="007E27EE" w14:paraId="774ED7BF" w14:textId="77777777">
            <w:pPr>
              <w:spacing w:after="120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Cíl</w:t>
            </w:r>
          </w:p>
        </w:tc>
        <w:tc>
          <w:tcPr>
            <w:tcW w:w="7223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Pr="007A4BFB" w:rsidR="007E27EE" w:rsidP="4AA51CF6" w:rsidRDefault="5B65093B" w14:paraId="6D9A4793" w14:textId="35EC25CA">
            <w:pPr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 xml:space="preserve">Hlavním cílem je pomoci SME zotavit se z následků krize způsobené pandemií onemocnění Covid-19 a především prostřednictvím investic udržet a obnovit jejich konkurenceschopnost. </w:t>
            </w:r>
            <w:r w:rsidRPr="4AA51CF6" w:rsidR="68438324">
              <w:rPr>
                <w:sz w:val="20"/>
                <w:szCs w:val="20"/>
              </w:rPr>
              <w:t>Využití DLT zjednoduší přístup SME k financování, a to snížením nákladů, zvýšením transparence a </w:t>
            </w:r>
            <w:proofErr w:type="spellStart"/>
            <w:r w:rsidRPr="4AA51CF6" w:rsidR="68438324">
              <w:rPr>
                <w:sz w:val="20"/>
                <w:szCs w:val="20"/>
              </w:rPr>
              <w:t>auditovatelnosti</w:t>
            </w:r>
            <w:proofErr w:type="spellEnd"/>
            <w:r w:rsidRPr="4AA51CF6" w:rsidR="68438324">
              <w:rPr>
                <w:sz w:val="20"/>
                <w:szCs w:val="20"/>
              </w:rPr>
              <w:t xml:space="preserve"> a zvýšením dostupnosti kapitálu a dluhu otevřením přímého přístupu na celoevropský trh. Investice </w:t>
            </w:r>
            <w:r w:rsidRPr="4AA51CF6">
              <w:rPr>
                <w:sz w:val="20"/>
                <w:szCs w:val="20"/>
              </w:rPr>
              <w:t>tak napln</w:t>
            </w:r>
            <w:r w:rsidRPr="4AA51CF6" w:rsidR="68438324">
              <w:rPr>
                <w:sz w:val="20"/>
                <w:szCs w:val="20"/>
              </w:rPr>
              <w:t>í</w:t>
            </w:r>
            <w:r w:rsidRPr="4AA51CF6">
              <w:rPr>
                <w:sz w:val="20"/>
                <w:szCs w:val="20"/>
              </w:rPr>
              <w:t xml:space="preserve"> opatření </w:t>
            </w:r>
            <w:r w:rsidRPr="4AA51CF6" w:rsidR="0EF61130">
              <w:rPr>
                <w:sz w:val="20"/>
                <w:szCs w:val="20"/>
              </w:rPr>
              <w:t>Strategi</w:t>
            </w:r>
            <w:r w:rsidRPr="4AA51CF6">
              <w:rPr>
                <w:sz w:val="20"/>
                <w:szCs w:val="20"/>
              </w:rPr>
              <w:t>e</w:t>
            </w:r>
            <w:r w:rsidRPr="4AA51CF6" w:rsidR="0EF61130">
              <w:rPr>
                <w:sz w:val="20"/>
                <w:szCs w:val="20"/>
              </w:rPr>
              <w:t xml:space="preserve"> na podporu malých a středních podniků v České republice pro období 2021-2027</w:t>
            </w:r>
            <w:r w:rsidRPr="4AA51CF6">
              <w:rPr>
                <w:sz w:val="20"/>
                <w:szCs w:val="20"/>
              </w:rPr>
              <w:t xml:space="preserve">, specifického cíle Rozvoj investičního </w:t>
            </w:r>
            <w:proofErr w:type="spellStart"/>
            <w:r w:rsidRPr="4AA51CF6">
              <w:rPr>
                <w:sz w:val="20"/>
                <w:szCs w:val="20"/>
              </w:rPr>
              <w:t>crowdfundingu</w:t>
            </w:r>
            <w:proofErr w:type="spellEnd"/>
            <w:r w:rsidRPr="4AA51CF6">
              <w:rPr>
                <w:sz w:val="20"/>
                <w:szCs w:val="20"/>
              </w:rPr>
              <w:t xml:space="preserve"> a technologie </w:t>
            </w:r>
            <w:proofErr w:type="spellStart"/>
            <w:r w:rsidRPr="4AA51CF6">
              <w:rPr>
                <w:sz w:val="20"/>
                <w:szCs w:val="20"/>
              </w:rPr>
              <w:t>blockchain</w:t>
            </w:r>
            <w:proofErr w:type="spellEnd"/>
            <w:r w:rsidRPr="4AA51CF6">
              <w:rPr>
                <w:sz w:val="20"/>
                <w:szCs w:val="20"/>
              </w:rPr>
              <w:t xml:space="preserve"> v ČR a také cíle </w:t>
            </w:r>
            <w:r w:rsidRPr="4AA51CF6" w:rsidR="0EF61130">
              <w:rPr>
                <w:sz w:val="20"/>
                <w:szCs w:val="20"/>
              </w:rPr>
              <w:t>Koncepce rozvoje kapitálového trhu</w:t>
            </w:r>
            <w:r w:rsidRPr="4AA51CF6">
              <w:rPr>
                <w:sz w:val="20"/>
                <w:szCs w:val="20"/>
              </w:rPr>
              <w:t xml:space="preserve"> </w:t>
            </w:r>
            <w:r w:rsidRPr="4AA51CF6" w:rsidR="0EF61130">
              <w:rPr>
                <w:sz w:val="20"/>
                <w:szCs w:val="20"/>
              </w:rPr>
              <w:t>v České republice 2019–2023</w:t>
            </w:r>
            <w:r w:rsidRPr="4AA51CF6">
              <w:rPr>
                <w:sz w:val="20"/>
                <w:szCs w:val="20"/>
              </w:rPr>
              <w:t xml:space="preserve">. A to v návaznosti na </w:t>
            </w:r>
            <w:r w:rsidRPr="4AA51CF6" w:rsidR="0EF61130">
              <w:rPr>
                <w:sz w:val="20"/>
                <w:szCs w:val="20"/>
              </w:rPr>
              <w:t xml:space="preserve">Strategii pro udržitelnou a digitální Evropu zaměřenou na </w:t>
            </w:r>
            <w:r w:rsidRPr="4AA51CF6">
              <w:rPr>
                <w:sz w:val="20"/>
                <w:szCs w:val="20"/>
              </w:rPr>
              <w:t>SME</w:t>
            </w:r>
            <w:r w:rsidRPr="4AA51CF6" w:rsidR="0EF61130">
              <w:rPr>
                <w:sz w:val="20"/>
                <w:szCs w:val="20"/>
              </w:rPr>
              <w:t xml:space="preserve">, která uvádí potřebu zahájení iniciativy založené na DLT, jež umožní vydávání a obchodování s dluhopisy </w:t>
            </w:r>
            <w:r w:rsidRPr="4AA51CF6">
              <w:rPr>
                <w:sz w:val="20"/>
                <w:szCs w:val="20"/>
              </w:rPr>
              <w:t xml:space="preserve">SME </w:t>
            </w:r>
            <w:r w:rsidRPr="4AA51CF6" w:rsidR="0EF61130">
              <w:rPr>
                <w:sz w:val="20"/>
                <w:szCs w:val="20"/>
              </w:rPr>
              <w:t>v celé Evropě</w:t>
            </w:r>
            <w:r w:rsidRPr="4AA51CF6">
              <w:rPr>
                <w:sz w:val="20"/>
                <w:szCs w:val="20"/>
              </w:rPr>
              <w:t xml:space="preserve">. Proto bude </w:t>
            </w:r>
            <w:r w:rsidRPr="4AA51CF6" w:rsidR="0EF61130">
              <w:rPr>
                <w:sz w:val="20"/>
                <w:szCs w:val="20"/>
              </w:rPr>
              <w:t xml:space="preserve">realizován projekt decentralizovaného trhu s cennými papíry </w:t>
            </w:r>
            <w:r w:rsidRPr="4AA51CF6">
              <w:rPr>
                <w:sz w:val="20"/>
                <w:szCs w:val="20"/>
              </w:rPr>
              <w:t xml:space="preserve">SME </w:t>
            </w:r>
            <w:r w:rsidRPr="4AA51CF6" w:rsidR="0EF61130">
              <w:rPr>
                <w:sz w:val="20"/>
                <w:szCs w:val="20"/>
              </w:rPr>
              <w:t xml:space="preserve">postaveném na Evropské infrastruktuře pro </w:t>
            </w:r>
            <w:proofErr w:type="spellStart"/>
            <w:r w:rsidRPr="4AA51CF6" w:rsidR="0EF61130">
              <w:rPr>
                <w:sz w:val="20"/>
                <w:szCs w:val="20"/>
              </w:rPr>
              <w:t>blockchainové</w:t>
            </w:r>
            <w:proofErr w:type="spellEnd"/>
            <w:r w:rsidRPr="4AA51CF6" w:rsidR="0EF61130">
              <w:rPr>
                <w:sz w:val="20"/>
                <w:szCs w:val="20"/>
              </w:rPr>
              <w:t xml:space="preserve"> služby</w:t>
            </w:r>
            <w:r w:rsidRPr="4AA51CF6">
              <w:rPr>
                <w:sz w:val="20"/>
                <w:szCs w:val="20"/>
              </w:rPr>
              <w:t xml:space="preserve"> (</w:t>
            </w:r>
            <w:proofErr w:type="spellStart"/>
            <w:r w:rsidRPr="4AA51CF6">
              <w:rPr>
                <w:sz w:val="20"/>
                <w:szCs w:val="20"/>
              </w:rPr>
              <w:t>European</w:t>
            </w:r>
            <w:proofErr w:type="spellEnd"/>
            <w:r w:rsidRPr="4AA51CF6">
              <w:rPr>
                <w:sz w:val="20"/>
                <w:szCs w:val="20"/>
              </w:rPr>
              <w:t xml:space="preserve"> </w:t>
            </w:r>
            <w:proofErr w:type="spellStart"/>
            <w:r w:rsidRPr="4AA51CF6">
              <w:rPr>
                <w:sz w:val="20"/>
                <w:szCs w:val="20"/>
              </w:rPr>
              <w:t>Blockchain</w:t>
            </w:r>
            <w:proofErr w:type="spellEnd"/>
            <w:r w:rsidRPr="4AA51CF6">
              <w:rPr>
                <w:sz w:val="20"/>
                <w:szCs w:val="20"/>
              </w:rPr>
              <w:t xml:space="preserve"> </w:t>
            </w:r>
            <w:proofErr w:type="spellStart"/>
            <w:r w:rsidRPr="4AA51CF6">
              <w:rPr>
                <w:sz w:val="20"/>
                <w:szCs w:val="20"/>
              </w:rPr>
              <w:t>Services</w:t>
            </w:r>
            <w:proofErr w:type="spellEnd"/>
            <w:r w:rsidRPr="4AA51CF6">
              <w:rPr>
                <w:sz w:val="20"/>
                <w:szCs w:val="20"/>
              </w:rPr>
              <w:t xml:space="preserve"> </w:t>
            </w:r>
            <w:proofErr w:type="spellStart"/>
            <w:r w:rsidRPr="4AA51CF6" w:rsidR="68438324">
              <w:rPr>
                <w:sz w:val="20"/>
                <w:szCs w:val="20"/>
              </w:rPr>
              <w:t>Infrastructure</w:t>
            </w:r>
            <w:proofErr w:type="spellEnd"/>
            <w:r w:rsidRPr="4AA51CF6" w:rsidR="68438324">
              <w:rPr>
                <w:sz w:val="20"/>
                <w:szCs w:val="20"/>
              </w:rPr>
              <w:t xml:space="preserve"> – EBSI</w:t>
            </w:r>
            <w:r w:rsidRPr="4AA51CF6">
              <w:rPr>
                <w:sz w:val="20"/>
                <w:szCs w:val="20"/>
              </w:rPr>
              <w:t xml:space="preserve">), který </w:t>
            </w:r>
            <w:r w:rsidRPr="4AA51CF6" w:rsidR="0EF61130">
              <w:rPr>
                <w:sz w:val="20"/>
                <w:szCs w:val="20"/>
              </w:rPr>
              <w:t xml:space="preserve">ČR, jako předsednická země skupiny V4, iniciovala v roce 2020 </w:t>
            </w:r>
            <w:r w:rsidRPr="4AA51CF6">
              <w:rPr>
                <w:sz w:val="20"/>
                <w:szCs w:val="20"/>
              </w:rPr>
              <w:t xml:space="preserve">a </w:t>
            </w:r>
            <w:r w:rsidRPr="4AA51CF6" w:rsidR="0EF61130">
              <w:rPr>
                <w:sz w:val="20"/>
                <w:szCs w:val="20"/>
              </w:rPr>
              <w:t xml:space="preserve">vede </w:t>
            </w:r>
            <w:r w:rsidRPr="4AA51CF6">
              <w:rPr>
                <w:sz w:val="20"/>
                <w:szCs w:val="20"/>
              </w:rPr>
              <w:t xml:space="preserve">jeho </w:t>
            </w:r>
            <w:r w:rsidRPr="4AA51CF6" w:rsidR="0EF61130">
              <w:rPr>
                <w:sz w:val="20"/>
                <w:szCs w:val="20"/>
              </w:rPr>
              <w:t>implementaci</w:t>
            </w:r>
            <w:r w:rsidRPr="4AA51CF6" w:rsidR="31C0E9CE">
              <w:rPr>
                <w:sz w:val="20"/>
                <w:szCs w:val="20"/>
              </w:rPr>
              <w:t xml:space="preserve"> v rámci EBP</w:t>
            </w:r>
            <w:r w:rsidRPr="4AA51CF6">
              <w:rPr>
                <w:sz w:val="20"/>
                <w:szCs w:val="20"/>
              </w:rPr>
              <w:t xml:space="preserve">.  </w:t>
            </w:r>
            <w:r w:rsidRPr="4AA51CF6" w:rsidR="0EF61130">
              <w:rPr>
                <w:sz w:val="20"/>
                <w:szCs w:val="20"/>
              </w:rPr>
              <w:t>Projekt zároveň naplňuje koncepci Digitální Česko – Digitální ekonomika a společnost a Inovační strategii ČR 2019–2030.</w:t>
            </w:r>
          </w:p>
        </w:tc>
      </w:tr>
      <w:tr w:rsidRPr="007A4BFB" w:rsidR="007E27EE" w:rsidTr="5886C982" w14:paraId="70ED07DC" w14:textId="77777777">
        <w:tc>
          <w:tcPr>
            <w:tcW w:w="2405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Pr="007A4BFB" w:rsidR="007E27EE" w:rsidP="4AA51CF6" w:rsidRDefault="007E27EE" w14:paraId="166BE1F5" w14:textId="77777777">
            <w:pPr>
              <w:spacing w:after="120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Implementace</w:t>
            </w:r>
          </w:p>
        </w:tc>
        <w:tc>
          <w:tcPr>
            <w:tcW w:w="7223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E3565" w:rsidP="4AA51CF6" w:rsidRDefault="31C0E9CE" w14:paraId="73626768" w14:textId="2DD9AC7D">
            <w:pPr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Realizac</w:t>
            </w:r>
            <w:r w:rsidRPr="4AA51CF6" w:rsidR="68438324">
              <w:rPr>
                <w:sz w:val="20"/>
                <w:szCs w:val="20"/>
              </w:rPr>
              <w:t>e</w:t>
            </w:r>
            <w:r w:rsidRPr="4AA51CF6">
              <w:rPr>
                <w:sz w:val="20"/>
                <w:szCs w:val="20"/>
              </w:rPr>
              <w:t xml:space="preserve"> projektu dluhového financování </w:t>
            </w:r>
            <w:r w:rsidRPr="4AA51CF6" w:rsidR="68438324">
              <w:rPr>
                <w:sz w:val="20"/>
                <w:szCs w:val="20"/>
              </w:rPr>
              <w:t xml:space="preserve">SME </w:t>
            </w:r>
            <w:r w:rsidRPr="4AA51CF6">
              <w:rPr>
                <w:sz w:val="20"/>
                <w:szCs w:val="20"/>
              </w:rPr>
              <w:t xml:space="preserve">na </w:t>
            </w:r>
            <w:r w:rsidRPr="4AA51CF6" w:rsidR="68438324">
              <w:rPr>
                <w:sz w:val="20"/>
                <w:szCs w:val="20"/>
              </w:rPr>
              <w:t xml:space="preserve">DLT </w:t>
            </w:r>
            <w:r w:rsidRPr="4AA51CF6">
              <w:rPr>
                <w:sz w:val="20"/>
                <w:szCs w:val="20"/>
              </w:rPr>
              <w:t xml:space="preserve">otevře nové zdroje provozního a investičního financování českých </w:t>
            </w:r>
            <w:r w:rsidRPr="4AA51CF6" w:rsidR="68438324">
              <w:rPr>
                <w:sz w:val="20"/>
                <w:szCs w:val="20"/>
              </w:rPr>
              <w:t xml:space="preserve">SME </w:t>
            </w:r>
            <w:r w:rsidRPr="4AA51CF6">
              <w:rPr>
                <w:sz w:val="20"/>
                <w:szCs w:val="20"/>
              </w:rPr>
              <w:t>a zahájí vznik celoevropské platformy pro bondy na DLT.</w:t>
            </w:r>
            <w:r w:rsidRPr="4AA51CF6" w:rsidR="68438324">
              <w:rPr>
                <w:sz w:val="20"/>
                <w:szCs w:val="20"/>
              </w:rPr>
              <w:t xml:space="preserve"> </w:t>
            </w:r>
            <w:r w:rsidRPr="4AA51CF6" w:rsidR="5B65093B">
              <w:rPr>
                <w:sz w:val="20"/>
                <w:szCs w:val="20"/>
              </w:rPr>
              <w:t xml:space="preserve">Pilotní projekt bude součásti celoevropské platformy, kterou v květnu </w:t>
            </w:r>
            <w:r w:rsidRPr="4AA51CF6" w:rsidR="68438324">
              <w:rPr>
                <w:sz w:val="20"/>
                <w:szCs w:val="20"/>
              </w:rPr>
              <w:t xml:space="preserve">2020 </w:t>
            </w:r>
            <w:r w:rsidRPr="4AA51CF6" w:rsidR="5B65093B">
              <w:rPr>
                <w:sz w:val="20"/>
                <w:szCs w:val="20"/>
              </w:rPr>
              <w:t xml:space="preserve">schválila </w:t>
            </w:r>
            <w:proofErr w:type="spellStart"/>
            <w:r w:rsidRPr="4AA51CF6" w:rsidR="5B65093B">
              <w:rPr>
                <w:sz w:val="20"/>
                <w:szCs w:val="20"/>
              </w:rPr>
              <w:t>European</w:t>
            </w:r>
            <w:proofErr w:type="spellEnd"/>
            <w:r w:rsidRPr="4AA51CF6" w:rsidR="5B65093B">
              <w:rPr>
                <w:sz w:val="20"/>
                <w:szCs w:val="20"/>
              </w:rPr>
              <w:t xml:space="preserve"> </w:t>
            </w:r>
            <w:proofErr w:type="spellStart"/>
            <w:r w:rsidRPr="4AA51CF6" w:rsidR="5B65093B">
              <w:rPr>
                <w:sz w:val="20"/>
                <w:szCs w:val="20"/>
              </w:rPr>
              <w:t>Blockchain</w:t>
            </w:r>
            <w:proofErr w:type="spellEnd"/>
            <w:r w:rsidRPr="4AA51CF6" w:rsidR="5B65093B">
              <w:rPr>
                <w:sz w:val="20"/>
                <w:szCs w:val="20"/>
              </w:rPr>
              <w:t xml:space="preserve"> </w:t>
            </w:r>
            <w:proofErr w:type="spellStart"/>
            <w:r w:rsidRPr="4AA51CF6" w:rsidR="5B65093B">
              <w:rPr>
                <w:sz w:val="20"/>
                <w:szCs w:val="20"/>
              </w:rPr>
              <w:t>Partnership</w:t>
            </w:r>
            <w:proofErr w:type="spellEnd"/>
            <w:r w:rsidRPr="4AA51CF6" w:rsidR="5B65093B">
              <w:rPr>
                <w:sz w:val="20"/>
                <w:szCs w:val="20"/>
              </w:rPr>
              <w:t xml:space="preserve"> a která vznikne v rámci </w:t>
            </w:r>
            <w:proofErr w:type="spellStart"/>
            <w:r w:rsidRPr="4AA51CF6" w:rsidR="5B65093B">
              <w:rPr>
                <w:sz w:val="20"/>
                <w:szCs w:val="20"/>
              </w:rPr>
              <w:t>European</w:t>
            </w:r>
            <w:proofErr w:type="spellEnd"/>
            <w:r w:rsidRPr="4AA51CF6" w:rsidR="5B65093B">
              <w:rPr>
                <w:sz w:val="20"/>
                <w:szCs w:val="20"/>
              </w:rPr>
              <w:t xml:space="preserve"> </w:t>
            </w:r>
            <w:proofErr w:type="spellStart"/>
            <w:r w:rsidRPr="4AA51CF6" w:rsidR="5B65093B">
              <w:rPr>
                <w:sz w:val="20"/>
                <w:szCs w:val="20"/>
              </w:rPr>
              <w:t>Blockchain</w:t>
            </w:r>
            <w:proofErr w:type="spellEnd"/>
            <w:r w:rsidRPr="4AA51CF6" w:rsidR="5B65093B">
              <w:rPr>
                <w:sz w:val="20"/>
                <w:szCs w:val="20"/>
              </w:rPr>
              <w:t xml:space="preserve"> </w:t>
            </w:r>
            <w:proofErr w:type="spellStart"/>
            <w:r w:rsidRPr="4AA51CF6" w:rsidR="5B65093B">
              <w:rPr>
                <w:sz w:val="20"/>
                <w:szCs w:val="20"/>
              </w:rPr>
              <w:t>Services</w:t>
            </w:r>
            <w:proofErr w:type="spellEnd"/>
            <w:r w:rsidRPr="4AA51CF6" w:rsidR="5B65093B">
              <w:rPr>
                <w:sz w:val="20"/>
                <w:szCs w:val="20"/>
              </w:rPr>
              <w:t xml:space="preserve"> </w:t>
            </w:r>
            <w:proofErr w:type="spellStart"/>
            <w:r w:rsidRPr="4AA51CF6" w:rsidR="5B65093B">
              <w:rPr>
                <w:sz w:val="20"/>
                <w:szCs w:val="20"/>
              </w:rPr>
              <w:t>Infrastructure</w:t>
            </w:r>
            <w:proofErr w:type="spellEnd"/>
            <w:r w:rsidRPr="4AA51CF6" w:rsidR="5B65093B">
              <w:rPr>
                <w:sz w:val="20"/>
                <w:szCs w:val="20"/>
              </w:rPr>
              <w:t>.</w:t>
            </w:r>
          </w:p>
          <w:p w:rsidRPr="007A4BFB" w:rsidR="00AE3565" w:rsidP="4AA51CF6" w:rsidRDefault="00AE3565" w14:paraId="1D60AF9E" w14:textId="77777777">
            <w:pPr>
              <w:jc w:val="both"/>
              <w:rPr>
                <w:sz w:val="20"/>
                <w:szCs w:val="20"/>
              </w:rPr>
            </w:pPr>
          </w:p>
          <w:p w:rsidRPr="007A4BFB" w:rsidR="00AE3565" w:rsidP="4AA51CF6" w:rsidRDefault="5B65093B" w14:paraId="213DF9A5" w14:textId="65C5B7A8">
            <w:pPr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 xml:space="preserve">Díky svým vlastnostem nová platforma přináší </w:t>
            </w:r>
            <w:r w:rsidRPr="4AA51CF6" w:rsidR="68438324">
              <w:rPr>
                <w:sz w:val="20"/>
                <w:szCs w:val="20"/>
              </w:rPr>
              <w:t>zásadní</w:t>
            </w:r>
            <w:r w:rsidRPr="4AA51CF6">
              <w:rPr>
                <w:sz w:val="20"/>
                <w:szCs w:val="20"/>
              </w:rPr>
              <w:t xml:space="preserve"> změn</w:t>
            </w:r>
            <w:r w:rsidRPr="4AA51CF6" w:rsidR="68438324">
              <w:rPr>
                <w:sz w:val="20"/>
                <w:szCs w:val="20"/>
              </w:rPr>
              <w:t>y</w:t>
            </w:r>
            <w:r w:rsidRPr="4AA51CF6">
              <w:rPr>
                <w:sz w:val="20"/>
                <w:szCs w:val="20"/>
              </w:rPr>
              <w:t>:</w:t>
            </w:r>
          </w:p>
          <w:p w:rsidRPr="007A4BFB" w:rsidR="00AE3565" w:rsidP="4AA51CF6" w:rsidRDefault="5B65093B" w14:paraId="619F0016" w14:textId="77777777">
            <w:pPr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díky elektronické podobě je vydávání a nakládání s cennými papíry rychlejší a bezpečnější;</w:t>
            </w:r>
          </w:p>
          <w:p w:rsidRPr="007A4BFB" w:rsidR="00AE3565" w:rsidP="4AA51CF6" w:rsidRDefault="5B65093B" w14:paraId="2BD34155" w14:textId="77777777">
            <w:pPr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díky automatizací je platforma mnohem efektivnější a levnější, a proto dostupná velmi širokému, prakticky neomezenému okruhu investorů;</w:t>
            </w:r>
          </w:p>
          <w:p w:rsidR="007E27EE" w:rsidP="4AA51CF6" w:rsidRDefault="5B65093B" w14:paraId="381CD105" w14:textId="02E66F01">
            <w:pPr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lastRenderedPageBreak/>
              <w:t>transparentnost systému a dostupnost dat v reálném čase mohou usnadnit dohled, sledování ekonomických trendů, a tím zajistit stabilitu finančního systému a udržet rovnováhu v celkové ekonomice.</w:t>
            </w:r>
          </w:p>
          <w:p w:rsidRPr="002C662E" w:rsidR="002C662E" w:rsidP="4AA51CF6" w:rsidRDefault="002C662E" w14:paraId="5D3D30E3" w14:textId="77777777">
            <w:pPr>
              <w:jc w:val="both"/>
              <w:rPr>
                <w:sz w:val="20"/>
                <w:szCs w:val="20"/>
              </w:rPr>
            </w:pPr>
          </w:p>
          <w:p w:rsidRPr="002C662E" w:rsidR="004834F5" w:rsidP="4AA51CF6" w:rsidRDefault="68438324" w14:paraId="43C82981" w14:textId="4E0975B2">
            <w:pPr>
              <w:spacing w:after="120"/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 xml:space="preserve">Na Evropské úrovni je projekt veden Evropskou komisí a EBP, na národní úrovni bude koordinovat implementaci projektu nově zřízená </w:t>
            </w:r>
            <w:r w:rsidRPr="4AA51CF6" w:rsidR="31C0E9CE">
              <w:rPr>
                <w:sz w:val="20"/>
                <w:szCs w:val="20"/>
              </w:rPr>
              <w:t>Koordinační rada pro decentralizované tech</w:t>
            </w:r>
            <w:r w:rsidRPr="4AA51CF6">
              <w:rPr>
                <w:sz w:val="20"/>
                <w:szCs w:val="20"/>
              </w:rPr>
              <w:t>nologie pod Výborem pro digitální transformaci</w:t>
            </w:r>
            <w:r w:rsidRPr="4AA51CF6" w:rsidR="31C0E9CE">
              <w:rPr>
                <w:sz w:val="20"/>
                <w:szCs w:val="20"/>
              </w:rPr>
              <w:t>.</w:t>
            </w:r>
            <w:r w:rsidRPr="4AA51CF6">
              <w:rPr>
                <w:sz w:val="20"/>
                <w:szCs w:val="20"/>
              </w:rPr>
              <w:t xml:space="preserve"> Tím bude zajištěno napojení na systém digitální transformace ekonomiky, pro kterou bude investice znamenat značné rozšíření a doplnění možností financování </w:t>
            </w:r>
            <w:r w:rsidRPr="4AA51CF6" w:rsidR="5B996457">
              <w:rPr>
                <w:sz w:val="20"/>
                <w:szCs w:val="20"/>
              </w:rPr>
              <w:t>digitální transformace, a to především SME.</w:t>
            </w:r>
          </w:p>
        </w:tc>
      </w:tr>
      <w:tr w:rsidRPr="007A4BFB" w:rsidR="007E27EE" w:rsidTr="5886C982" w14:paraId="6675BE14" w14:textId="77777777">
        <w:trPr>
          <w:trHeight w:val="70"/>
        </w:trPr>
        <w:tc>
          <w:tcPr>
            <w:tcW w:w="2405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Pr="007A4BFB" w:rsidR="007E27EE" w:rsidP="4AA51CF6" w:rsidRDefault="007E27EE" w14:paraId="5053867F" w14:textId="77777777">
            <w:pPr>
              <w:spacing w:after="120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lastRenderedPageBreak/>
              <w:t>Spolupráce a zapojení zúčastněných stran</w:t>
            </w:r>
          </w:p>
        </w:tc>
        <w:tc>
          <w:tcPr>
            <w:tcW w:w="7223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Pr="007A4BFB" w:rsidR="007E27EE" w:rsidP="4AA51CF6" w:rsidRDefault="007E27EE" w14:paraId="2F5B8E7B" w14:textId="23768C0F">
            <w:pPr>
              <w:spacing w:after="120"/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 xml:space="preserve">Zapojeny budou podniky a profesní asociace působící </w:t>
            </w:r>
            <w:r w:rsidRPr="4AA51CF6" w:rsidR="5B996457">
              <w:rPr>
                <w:sz w:val="20"/>
                <w:szCs w:val="20"/>
              </w:rPr>
              <w:t xml:space="preserve">zejména </w:t>
            </w:r>
            <w:r w:rsidRPr="4AA51CF6">
              <w:rPr>
                <w:sz w:val="20"/>
                <w:szCs w:val="20"/>
              </w:rPr>
              <w:t>ve finančním sektoru</w:t>
            </w:r>
            <w:r w:rsidRPr="4AA51CF6" w:rsidR="5B996457">
              <w:rPr>
                <w:sz w:val="20"/>
                <w:szCs w:val="20"/>
              </w:rPr>
              <w:t>.</w:t>
            </w:r>
          </w:p>
        </w:tc>
      </w:tr>
      <w:tr w:rsidRPr="007A4BFB" w:rsidR="007E27EE" w:rsidTr="5886C982" w14:paraId="08B19C6C" w14:textId="77777777">
        <w:tc>
          <w:tcPr>
            <w:tcW w:w="2405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Pr="007A4BFB" w:rsidR="007E27EE" w:rsidP="4AA51CF6" w:rsidRDefault="007E27EE" w14:paraId="4E09E459" w14:textId="77777777">
            <w:pPr>
              <w:spacing w:after="120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Překážky a rizika</w:t>
            </w:r>
          </w:p>
        </w:tc>
        <w:tc>
          <w:tcPr>
            <w:tcW w:w="7223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Pr="007A4BFB" w:rsidR="007E27EE" w:rsidP="4AA51CF6" w:rsidRDefault="007E27EE" w14:paraId="6C8A176D" w14:textId="77777777">
            <w:pPr>
              <w:spacing w:after="120"/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 xml:space="preserve">Technické a regulatorní komplikace vedoucí k prodloužení doby realizace. </w:t>
            </w:r>
          </w:p>
        </w:tc>
      </w:tr>
      <w:tr w:rsidRPr="007A4BFB" w:rsidR="007E27EE" w:rsidTr="5886C982" w14:paraId="15EE0A58" w14:textId="77777777">
        <w:tc>
          <w:tcPr>
            <w:tcW w:w="2405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Pr="007A4BFB" w:rsidR="007E27EE" w:rsidP="4AA51CF6" w:rsidRDefault="007E27EE" w14:paraId="20CA9D66" w14:textId="77777777">
            <w:pPr>
              <w:spacing w:after="120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Cílové skupiny populace a ekonomické subjekty</w:t>
            </w:r>
          </w:p>
        </w:tc>
        <w:tc>
          <w:tcPr>
            <w:tcW w:w="7223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Pr="007A4BFB" w:rsidR="007E27EE" w:rsidP="4AA51CF6" w:rsidRDefault="007E27EE" w14:paraId="18051472" w14:textId="6A10501C">
            <w:pPr>
              <w:spacing w:after="120"/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Malé a střední podniky</w:t>
            </w:r>
            <w:r w:rsidRPr="4AA51CF6" w:rsidR="68438324">
              <w:rPr>
                <w:sz w:val="20"/>
                <w:szCs w:val="20"/>
              </w:rPr>
              <w:t>.</w:t>
            </w:r>
          </w:p>
        </w:tc>
      </w:tr>
      <w:tr w:rsidRPr="007A4BFB" w:rsidR="007E27EE" w:rsidTr="5886C982" w14:paraId="1DAEF529" w14:textId="77777777">
        <w:tc>
          <w:tcPr>
            <w:tcW w:w="2405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Pr="007A4BFB" w:rsidR="007E27EE" w:rsidP="4AA51CF6" w:rsidRDefault="007E27EE" w14:paraId="680F9CE5" w14:textId="77777777">
            <w:pPr>
              <w:spacing w:after="120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Souhrnné náklady realizace financované z RRF za celé období</w:t>
            </w:r>
          </w:p>
        </w:tc>
        <w:tc>
          <w:tcPr>
            <w:tcW w:w="7223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Pr="007A4BFB" w:rsidR="007E27EE" w:rsidP="4AA51CF6" w:rsidRDefault="68438324" w14:paraId="3A02EF9C" w14:textId="123F1B1D">
            <w:pPr>
              <w:spacing w:after="120"/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 xml:space="preserve">Projekt je součástí programu Digitální Evropa a bude podpořen prostředky z ně, v rámci investice bude poskytnuto kofinancování </w:t>
            </w:r>
            <w:r w:rsidRPr="4AA51CF6" w:rsidR="007E27EE">
              <w:rPr>
                <w:sz w:val="20"/>
                <w:szCs w:val="20"/>
              </w:rPr>
              <w:t>potřebn</w:t>
            </w:r>
            <w:r w:rsidRPr="4AA51CF6">
              <w:rPr>
                <w:sz w:val="20"/>
                <w:szCs w:val="20"/>
              </w:rPr>
              <w:t>é</w:t>
            </w:r>
            <w:r w:rsidRPr="4AA51CF6" w:rsidR="007E27EE">
              <w:rPr>
                <w:sz w:val="20"/>
                <w:szCs w:val="20"/>
              </w:rPr>
              <w:t xml:space="preserve"> pro naplnění výše uvedeného cíle</w:t>
            </w:r>
            <w:r w:rsidRPr="4AA51CF6">
              <w:rPr>
                <w:sz w:val="20"/>
                <w:szCs w:val="20"/>
              </w:rPr>
              <w:t>, které</w:t>
            </w:r>
            <w:r w:rsidRPr="4AA51CF6" w:rsidR="007E27EE">
              <w:rPr>
                <w:sz w:val="20"/>
                <w:szCs w:val="20"/>
              </w:rPr>
              <w:t xml:space="preserve"> počítá s náklady 225 mil. Kč v období 2021-2023.</w:t>
            </w:r>
          </w:p>
        </w:tc>
      </w:tr>
      <w:tr w:rsidRPr="007A4BFB" w:rsidR="007E27EE" w:rsidTr="5886C982" w14:paraId="443E0542" w14:textId="77777777">
        <w:tc>
          <w:tcPr>
            <w:tcW w:w="2405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Pr="007A4BFB" w:rsidR="007E27EE" w:rsidP="4AA51CF6" w:rsidRDefault="007E27EE" w14:paraId="5BFFF64B" w14:textId="77777777">
            <w:pPr>
              <w:spacing w:after="120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Dodržování pravidel státní podpory</w:t>
            </w:r>
          </w:p>
        </w:tc>
        <w:tc>
          <w:tcPr>
            <w:tcW w:w="7223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Pr="007A4BFB" w:rsidR="007E27EE" w:rsidP="4AA51CF6" w:rsidRDefault="68438324" w14:paraId="05987145" w14:textId="2F3BF9B5">
            <w:pPr>
              <w:spacing w:after="120"/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 xml:space="preserve">Veřejná podpora bude poskytnuta v souladu s rámcem </w:t>
            </w:r>
            <w:r w:rsidRPr="4AA51CF6" w:rsidR="5B996457">
              <w:rPr>
                <w:sz w:val="20"/>
                <w:szCs w:val="20"/>
              </w:rPr>
              <w:t>programu Digitální Evropa.</w:t>
            </w:r>
          </w:p>
        </w:tc>
      </w:tr>
      <w:tr w:rsidRPr="007A4BFB" w:rsidR="007E27EE" w:rsidTr="5886C982" w14:paraId="749CD7D6" w14:textId="77777777">
        <w:tc>
          <w:tcPr>
            <w:tcW w:w="2405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Pr="007A4BFB" w:rsidR="007E27EE" w:rsidP="4AA51CF6" w:rsidRDefault="007E27EE" w14:paraId="1A5CA0BA" w14:textId="77777777">
            <w:pPr>
              <w:spacing w:after="120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Uveďte dobu implementace</w:t>
            </w:r>
          </w:p>
        </w:tc>
        <w:tc>
          <w:tcPr>
            <w:tcW w:w="7223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Pr="007A4BFB" w:rsidR="007E27EE" w:rsidP="4AA51CF6" w:rsidRDefault="001222D7" w14:paraId="6E8EBAB0" w14:textId="01633A48">
            <w:pPr>
              <w:spacing w:after="120"/>
              <w:jc w:val="both"/>
              <w:rPr>
                <w:sz w:val="20"/>
                <w:szCs w:val="20"/>
              </w:rPr>
            </w:pPr>
            <w:r w:rsidRPr="001222D7">
              <w:rPr>
                <w:sz w:val="20"/>
                <w:szCs w:val="20"/>
              </w:rPr>
              <w:t>Investice bude dokončena do 31. prosince 202</w:t>
            </w:r>
            <w:r>
              <w:rPr>
                <w:sz w:val="20"/>
                <w:szCs w:val="20"/>
              </w:rPr>
              <w:t>3</w:t>
            </w:r>
            <w:r w:rsidRPr="001222D7">
              <w:rPr>
                <w:sz w:val="20"/>
                <w:szCs w:val="20"/>
              </w:rPr>
              <w:t>.</w:t>
            </w:r>
          </w:p>
        </w:tc>
      </w:tr>
    </w:tbl>
    <w:p w:rsidR="007E27EE" w:rsidP="4AA51CF6" w:rsidRDefault="007E27EE" w14:paraId="32550292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b/>
          <w:bCs/>
          <w:color w:val="000000"/>
          <w:sz w:val="20"/>
          <w:szCs w:val="20"/>
        </w:rPr>
      </w:pPr>
    </w:p>
    <w:p w:rsidR="007E27EE" w:rsidP="4AA51CF6" w:rsidRDefault="007E27EE" w14:paraId="5FD5191F" w14:textId="56BF9CBE">
      <w:pPr>
        <w:spacing w:line="240" w:lineRule="auto"/>
        <w:rPr>
          <w:b/>
          <w:bCs/>
          <w:color w:val="000000"/>
          <w:sz w:val="20"/>
          <w:szCs w:val="20"/>
        </w:rPr>
      </w:pPr>
    </w:p>
    <w:p w:rsidRPr="007E27EE" w:rsidR="007D49E4" w:rsidP="4AA51CF6" w:rsidRDefault="007E27EE" w14:paraId="000000AE" w14:textId="02505B8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b/>
          <w:bCs/>
          <w:color w:val="000000"/>
          <w:sz w:val="20"/>
          <w:szCs w:val="20"/>
        </w:rPr>
      </w:pPr>
      <w:r w:rsidRPr="4AA51CF6">
        <w:rPr>
          <w:b/>
          <w:bCs/>
          <w:color w:val="000000" w:themeColor="text1"/>
          <w:sz w:val="20"/>
          <w:szCs w:val="20"/>
        </w:rPr>
        <w:t>1.6 Demonstrativní projekty rozvoje aplikací pro města a průmyslové oblasti (např. 5G)</w:t>
      </w:r>
    </w:p>
    <w:tbl>
      <w:tblPr>
        <w:tblStyle w:val="a3"/>
        <w:tblW w:w="96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7223"/>
      </w:tblGrid>
      <w:tr w:rsidRPr="007A4BFB" w:rsidR="007D49E4" w:rsidTr="5886C982" w14:paraId="3D0E84C6" w14:textId="77777777">
        <w:tc>
          <w:tcPr>
            <w:tcW w:w="2405" w:type="dxa"/>
            <w:tcMar/>
          </w:tcPr>
          <w:p w:rsidRPr="007A4BFB" w:rsidR="007D49E4" w:rsidP="4AA51CF6" w:rsidRDefault="00603083" w14:paraId="000000AF" w14:textId="77777777">
            <w:pPr>
              <w:spacing w:after="120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Výzva</w:t>
            </w:r>
          </w:p>
        </w:tc>
        <w:tc>
          <w:tcPr>
            <w:tcW w:w="7223" w:type="dxa"/>
            <w:tcMar/>
          </w:tcPr>
          <w:p w:rsidR="58E46D48" w:rsidP="1CFDBBFA" w:rsidRDefault="58E46D48" w14:paraId="2FCC9DDA" w14:textId="29A38B40">
            <w:pPr>
              <w:spacing w:after="120"/>
              <w:jc w:val="both"/>
              <w:rPr>
                <w:sz w:val="20"/>
                <w:szCs w:val="20"/>
              </w:rPr>
            </w:pPr>
            <w:r w:rsidRPr="1CFDBBFA">
              <w:rPr>
                <w:sz w:val="20"/>
                <w:szCs w:val="20"/>
              </w:rPr>
              <w:t xml:space="preserve">Rozvojová kritéria aukce pro vybudování a provozování sítí 5G ukládají ve stanoveném rozsahu, termínech a parametrech zajistit pokrytí České republiky signálem 5G. </w:t>
            </w:r>
          </w:p>
          <w:p w:rsidR="58E46D48" w:rsidP="1CFDBBFA" w:rsidRDefault="58E46D48" w14:paraId="0C8591F4" w14:textId="68874D5E">
            <w:pPr>
              <w:spacing w:after="120"/>
              <w:jc w:val="both"/>
              <w:rPr>
                <w:sz w:val="20"/>
                <w:szCs w:val="20"/>
              </w:rPr>
            </w:pPr>
            <w:r w:rsidRPr="1CFDBBFA">
              <w:rPr>
                <w:sz w:val="20"/>
                <w:szCs w:val="20"/>
              </w:rPr>
              <w:t>Nad rámec stanovené povinnosti bude potřebné cíleně směřovanou veřejnou podporu směrovat na české subjekty, které působí ve výzkumně vývojových a inovačních oblastech, jež jsou orientovány na sítě nebo služby 5G, konkrétně na aplikace pro vertikály ekosystému sítí 5G pro města (včetně obcí nebo regionu) a pro oblast průmyslu. Existenci takovýchto subjektů potvrdila 3. veřejná soutěž ve výzkumu a experimentálním vývoji Programu MPO na podporu průmyslového výzkumu a experimentálního vývoje TREND, ve které počet přihlášených projektů výrazně převyšoval možnosti uvedené veřejné soutěže.</w:t>
            </w:r>
          </w:p>
          <w:p w:rsidRPr="007A4BFB" w:rsidR="007D49E4" w:rsidP="5886C982" w:rsidRDefault="00603083" w14:paraId="000000B0" w14:textId="189D1BAC">
            <w:pPr>
              <w:pStyle w:val="Normln"/>
              <w:spacing w:after="120"/>
              <w:jc w:val="both"/>
              <w:rPr>
                <w:i w:val="1"/>
                <w:iCs w:val="1"/>
                <w:color w:val="2196FF"/>
                <w:sz w:val="20"/>
                <w:szCs w:val="20"/>
              </w:rPr>
            </w:pPr>
            <w:r w:rsidRPr="5886C982" w:rsidR="00603083">
              <w:rPr>
                <w:sz w:val="20"/>
                <w:szCs w:val="20"/>
              </w:rPr>
              <w:t>V současnosti chybí aplikace vertikál ekosystému sítí 5G</w:t>
            </w:r>
            <w:r w:rsidRPr="5886C982" w:rsidR="4BFF526B">
              <w:rPr>
                <w:sz w:val="20"/>
                <w:szCs w:val="20"/>
              </w:rPr>
              <w:t xml:space="preserve"> pro města (včetně obcí nebo regionu) a pro oblast průmyslu</w:t>
            </w:r>
            <w:r w:rsidRPr="5886C982" w:rsidR="00603083">
              <w:rPr>
                <w:sz w:val="20"/>
                <w:szCs w:val="20"/>
              </w:rPr>
              <w:t>.  Na základě slibných výsledků probíhající soutěže „</w:t>
            </w:r>
            <w:r w:rsidRPr="5886C982" w:rsidR="2D5D16AE">
              <w:rPr>
                <w:sz w:val="20"/>
                <w:szCs w:val="20"/>
              </w:rPr>
              <w:t>5G pro 5 měst</w:t>
            </w:r>
            <w:r w:rsidRPr="5886C982" w:rsidR="00603083">
              <w:rPr>
                <w:sz w:val="20"/>
                <w:szCs w:val="20"/>
              </w:rPr>
              <w:t>“ bude vytvořena platforma pro další vývoj a nasazení těchto aplikací.  Vytvořená platforma následně pozitivně ovlivní jednak zájem o využívání služeb poskytovaných na 5G sítích, a samozřejmě taky rozvoj těchto sítí.</w:t>
            </w:r>
          </w:p>
        </w:tc>
      </w:tr>
      <w:tr w:rsidRPr="007A4BFB" w:rsidR="007D49E4" w:rsidTr="5886C982" w14:paraId="462F7FA7" w14:textId="77777777">
        <w:tc>
          <w:tcPr>
            <w:tcW w:w="2405" w:type="dxa"/>
            <w:tcMar/>
          </w:tcPr>
          <w:p w:rsidRPr="007A4BFB" w:rsidR="007D49E4" w:rsidP="4AA51CF6" w:rsidRDefault="00603083" w14:paraId="000000B1" w14:textId="77777777">
            <w:pPr>
              <w:spacing w:after="120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Cíl</w:t>
            </w:r>
          </w:p>
        </w:tc>
        <w:tc>
          <w:tcPr>
            <w:tcW w:w="7223" w:type="dxa"/>
            <w:tcMar/>
          </w:tcPr>
          <w:p w:rsidRPr="009F668C" w:rsidR="007D49E4" w:rsidP="1CFDBBFA" w:rsidRDefault="00603083" w14:paraId="5A5DFAC0" w14:textId="6C9D1319">
            <w:pPr>
              <w:spacing w:after="120"/>
              <w:jc w:val="both"/>
              <w:rPr>
                <w:sz w:val="20"/>
                <w:szCs w:val="20"/>
              </w:rPr>
            </w:pPr>
            <w:r w:rsidRPr="1CFDBBFA">
              <w:rPr>
                <w:sz w:val="20"/>
                <w:szCs w:val="20"/>
              </w:rPr>
              <w:t xml:space="preserve">Cílem investice je kapitálová podpora </w:t>
            </w:r>
            <w:r w:rsidRPr="1CFDBBFA" w:rsidR="0494BC49">
              <w:rPr>
                <w:sz w:val="20"/>
                <w:szCs w:val="20"/>
              </w:rPr>
              <w:t xml:space="preserve">vývoje a nasazování aplikací vertikál ekosystému sítí 5G pro města (včetně obcí nebo regionu) se záměrem podpořit koncept Smart </w:t>
            </w:r>
            <w:proofErr w:type="spellStart"/>
            <w:r w:rsidRPr="1CFDBBFA" w:rsidR="0494BC49">
              <w:rPr>
                <w:sz w:val="20"/>
                <w:szCs w:val="20"/>
              </w:rPr>
              <w:t>Cities</w:t>
            </w:r>
            <w:proofErr w:type="spellEnd"/>
            <w:r w:rsidRPr="1CFDBBFA" w:rsidR="0494BC49">
              <w:rPr>
                <w:sz w:val="20"/>
                <w:szCs w:val="20"/>
              </w:rPr>
              <w:t xml:space="preserve"> (</w:t>
            </w:r>
            <w:proofErr w:type="spellStart"/>
            <w:r w:rsidRPr="1CFDBBFA" w:rsidR="0494BC49">
              <w:rPr>
                <w:sz w:val="20"/>
                <w:szCs w:val="20"/>
              </w:rPr>
              <w:t>Village</w:t>
            </w:r>
            <w:proofErr w:type="spellEnd"/>
            <w:r w:rsidRPr="1CFDBBFA" w:rsidR="0494BC49">
              <w:rPr>
                <w:sz w:val="20"/>
                <w:szCs w:val="20"/>
              </w:rPr>
              <w:t>/Region), a rovněž pro Průmysl 4.0.</w:t>
            </w:r>
          </w:p>
          <w:p w:rsidRPr="009F668C" w:rsidR="007D49E4" w:rsidP="1CFDBBFA" w:rsidRDefault="0494BC49" w14:paraId="55D3AE4D" w14:textId="53292FED">
            <w:pPr>
              <w:spacing w:after="120"/>
              <w:jc w:val="both"/>
              <w:rPr>
                <w:sz w:val="20"/>
                <w:szCs w:val="20"/>
              </w:rPr>
            </w:pPr>
            <w:r w:rsidRPr="1CFDBBFA">
              <w:rPr>
                <w:sz w:val="20"/>
                <w:szCs w:val="20"/>
              </w:rPr>
              <w:t>Tento proces podpory bude založen na dosažených průběžných výsledcích soutěže „5</w:t>
            </w:r>
            <w:r w:rsidR="00F82851">
              <w:rPr>
                <w:sz w:val="20"/>
                <w:szCs w:val="20"/>
              </w:rPr>
              <w:t>G</w:t>
            </w:r>
            <w:r w:rsidR="00474F69">
              <w:rPr>
                <w:sz w:val="20"/>
                <w:szCs w:val="20"/>
              </w:rPr>
              <w:t xml:space="preserve"> pro 5 </w:t>
            </w:r>
            <w:r w:rsidRPr="1CFDBBFA">
              <w:rPr>
                <w:sz w:val="20"/>
                <w:szCs w:val="20"/>
              </w:rPr>
              <w:t xml:space="preserve">měst“, kterou organizuje Ministerstvo pro místní rozvoj ve spolupráci s Ministerstvem průmyslu a obchodu. </w:t>
            </w:r>
          </w:p>
          <w:p w:rsidRPr="009F668C" w:rsidR="007D49E4" w:rsidP="1CFDBBFA" w:rsidRDefault="0494BC49" w14:paraId="3F0FDCE2" w14:textId="60193737">
            <w:pPr>
              <w:spacing w:after="120"/>
              <w:jc w:val="both"/>
              <w:rPr>
                <w:sz w:val="20"/>
                <w:szCs w:val="20"/>
              </w:rPr>
            </w:pPr>
            <w:r w:rsidRPr="1CFDBBFA">
              <w:rPr>
                <w:sz w:val="20"/>
                <w:szCs w:val="20"/>
              </w:rPr>
              <w:t xml:space="preserve">T1: V rámci cíle T1 budou vyvinuty a uvedeny do provozu tzv. referenční aplikace vertikál ekosystému sítí 5G pro Smart </w:t>
            </w:r>
            <w:proofErr w:type="spellStart"/>
            <w:r w:rsidRPr="1CFDBBFA">
              <w:rPr>
                <w:sz w:val="20"/>
                <w:szCs w:val="20"/>
              </w:rPr>
              <w:t>Cities</w:t>
            </w:r>
            <w:proofErr w:type="spellEnd"/>
            <w:r w:rsidRPr="1CFDBBFA">
              <w:rPr>
                <w:sz w:val="20"/>
                <w:szCs w:val="20"/>
              </w:rPr>
              <w:t>.</w:t>
            </w:r>
          </w:p>
          <w:p w:rsidRPr="009F668C" w:rsidR="007D49E4" w:rsidP="1CFDBBFA" w:rsidRDefault="0494BC49" w14:paraId="000000B8" w14:textId="2F2D5334">
            <w:pPr>
              <w:spacing w:after="120"/>
              <w:jc w:val="both"/>
              <w:rPr>
                <w:sz w:val="20"/>
                <w:szCs w:val="20"/>
              </w:rPr>
            </w:pPr>
            <w:r w:rsidRPr="1CFDBBFA">
              <w:rPr>
                <w:sz w:val="20"/>
                <w:szCs w:val="20"/>
              </w:rPr>
              <w:lastRenderedPageBreak/>
              <w:t xml:space="preserve">T2: V rámci cíle T2 budou následně vyvinuty a uvedeny do provozu jednak aplikace vertikál ekosystému sítí 5G pro Smart </w:t>
            </w:r>
            <w:proofErr w:type="spellStart"/>
            <w:r w:rsidRPr="1CFDBBFA">
              <w:rPr>
                <w:sz w:val="20"/>
                <w:szCs w:val="20"/>
              </w:rPr>
              <w:t>Cities</w:t>
            </w:r>
            <w:proofErr w:type="spellEnd"/>
            <w:r w:rsidRPr="1CFDBBFA">
              <w:rPr>
                <w:sz w:val="20"/>
                <w:szCs w:val="20"/>
              </w:rPr>
              <w:t xml:space="preserve"> a rovněž aplikace vertikál ekosystému sítí 5G pro Průmysl 4.0.</w:t>
            </w:r>
          </w:p>
        </w:tc>
      </w:tr>
      <w:tr w:rsidRPr="007A4BFB" w:rsidR="007D49E4" w:rsidTr="5886C982" w14:paraId="0D13A04A" w14:textId="77777777">
        <w:tc>
          <w:tcPr>
            <w:tcW w:w="2405" w:type="dxa"/>
            <w:tcMar/>
          </w:tcPr>
          <w:p w:rsidRPr="007A4BFB" w:rsidR="007D49E4" w:rsidP="4AA51CF6" w:rsidRDefault="00603083" w14:paraId="000000B9" w14:textId="77777777">
            <w:pPr>
              <w:spacing w:after="120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lastRenderedPageBreak/>
              <w:t>Implementace</w:t>
            </w:r>
          </w:p>
        </w:tc>
        <w:tc>
          <w:tcPr>
            <w:tcW w:w="7223" w:type="dxa"/>
            <w:tcMar/>
          </w:tcPr>
          <w:p w:rsidRPr="007A4BFB" w:rsidR="007D49E4" w:rsidP="1CFDBBFA" w:rsidRDefault="6EC02CF7" w14:paraId="780CF361" w14:textId="6E206D7D">
            <w:pPr>
              <w:spacing w:after="120"/>
              <w:jc w:val="both"/>
              <w:rPr>
                <w:sz w:val="20"/>
                <w:szCs w:val="20"/>
              </w:rPr>
            </w:pPr>
            <w:r w:rsidRPr="1CFDBBFA">
              <w:rPr>
                <w:sz w:val="20"/>
                <w:szCs w:val="20"/>
              </w:rPr>
              <w:t xml:space="preserve">V minulosti v rámci konceptu „Podpora 5G sítí v oblasti Smart </w:t>
            </w:r>
            <w:proofErr w:type="spellStart"/>
            <w:r w:rsidRPr="1CFDBBFA">
              <w:rPr>
                <w:sz w:val="20"/>
                <w:szCs w:val="20"/>
              </w:rPr>
              <w:t>Cities</w:t>
            </w:r>
            <w:proofErr w:type="spellEnd"/>
            <w:r w:rsidRPr="1CFDBBFA">
              <w:rPr>
                <w:sz w:val="20"/>
                <w:szCs w:val="20"/>
              </w:rPr>
              <w:t>“ Ministerstvo pro místní rozvoj (MMR) ve spolupráci s Ministerstvem průmyslu a obchodu (MPO) vyhlásilo soutěž „5</w:t>
            </w:r>
            <w:r w:rsidR="00474F69">
              <w:rPr>
                <w:sz w:val="20"/>
                <w:szCs w:val="20"/>
              </w:rPr>
              <w:t xml:space="preserve">G pro 5 </w:t>
            </w:r>
            <w:r w:rsidRPr="1CFDBBFA">
              <w:rPr>
                <w:sz w:val="20"/>
                <w:szCs w:val="20"/>
              </w:rPr>
              <w:t xml:space="preserve">měst“; soutěž měla za cíl motivovat města pro rozvoj konceptu Smart </w:t>
            </w:r>
            <w:proofErr w:type="spellStart"/>
            <w:r w:rsidRPr="1CFDBBFA">
              <w:rPr>
                <w:sz w:val="20"/>
                <w:szCs w:val="20"/>
              </w:rPr>
              <w:t>Cities</w:t>
            </w:r>
            <w:proofErr w:type="spellEnd"/>
            <w:r w:rsidRPr="1CFDBBFA">
              <w:rPr>
                <w:sz w:val="20"/>
                <w:szCs w:val="20"/>
              </w:rPr>
              <w:t xml:space="preserve"> založeného a využívajícího především sítě a technologie 5G. Návrhy předložené do soutěže měly být orientovány na zvýšení kvality života obyvatel a návštěvníků daného města, a rovněž na podnikatelskou atraktivitu tohoto města. Soutěž je řízena monitorovány Řídícím výborem soutěže, ve kterém má výrazné zastoupení MMR a MPO.</w:t>
            </w:r>
          </w:p>
          <w:p w:rsidRPr="007A4BFB" w:rsidR="007D49E4" w:rsidP="1CFDBBFA" w:rsidRDefault="6EC02CF7" w14:paraId="406521CF" w14:textId="6D153ECE">
            <w:pPr>
              <w:spacing w:after="120"/>
              <w:jc w:val="both"/>
              <w:rPr>
                <w:sz w:val="20"/>
                <w:szCs w:val="20"/>
              </w:rPr>
            </w:pPr>
            <w:r w:rsidRPr="1CFDBBFA">
              <w:rPr>
                <w:sz w:val="20"/>
                <w:szCs w:val="20"/>
              </w:rPr>
              <w:t>Do soutěže „5</w:t>
            </w:r>
            <w:r w:rsidR="00474F69">
              <w:rPr>
                <w:sz w:val="20"/>
                <w:szCs w:val="20"/>
              </w:rPr>
              <w:t xml:space="preserve">G </w:t>
            </w:r>
            <w:r w:rsidR="00983AC6">
              <w:rPr>
                <w:sz w:val="20"/>
                <w:szCs w:val="20"/>
              </w:rPr>
              <w:t>pro</w:t>
            </w:r>
            <w:r w:rsidR="00474F69">
              <w:rPr>
                <w:sz w:val="20"/>
                <w:szCs w:val="20"/>
              </w:rPr>
              <w:t xml:space="preserve"> 5 </w:t>
            </w:r>
            <w:r w:rsidRPr="1CFDBBFA">
              <w:rPr>
                <w:sz w:val="20"/>
                <w:szCs w:val="20"/>
              </w:rPr>
              <w:t xml:space="preserve">měst“ se přihlásilo celkem 58 samospráv s návrhy projektů zaměřených na pilotní testování technologie využívající sítě 5G pro usnadnění života obyvatelům měst, snížení nákladů souvisejících s provozem městské infrastruktury, nebo monitorování životního prostředí. Výběrová komise obou ministerstev vybrala pět vítězných návrhů projektů, které předložily samosprávy následujících měst: </w:t>
            </w:r>
          </w:p>
          <w:p w:rsidRPr="007A4BFB" w:rsidR="007D49E4" w:rsidP="1CFDBBFA" w:rsidRDefault="6EC02CF7" w14:paraId="754D085F" w14:textId="14CADD96">
            <w:pPr>
              <w:pStyle w:val="Odstavecseseznamem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 w:rsidRPr="1CFDBBFA">
              <w:rPr>
                <w:rFonts w:ascii="Calibri" w:hAnsi="Calibri" w:eastAsia="Calibri" w:cs="Calibri"/>
                <w:sz w:val="20"/>
                <w:szCs w:val="20"/>
              </w:rPr>
              <w:t>Plzeň</w:t>
            </w:r>
          </w:p>
          <w:p w:rsidRPr="007A4BFB" w:rsidR="007D49E4" w:rsidP="1CFDBBFA" w:rsidRDefault="6EC02CF7" w14:paraId="437AAA58" w14:textId="7D072CE7">
            <w:pPr>
              <w:pStyle w:val="Odstavecseseznamem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 w:rsidRPr="1CFDBBFA">
              <w:rPr>
                <w:rFonts w:ascii="Calibri" w:hAnsi="Calibri" w:eastAsia="Calibri" w:cs="Calibri"/>
                <w:sz w:val="20"/>
                <w:szCs w:val="20"/>
              </w:rPr>
              <w:t>Bílina</w:t>
            </w:r>
          </w:p>
          <w:p w:rsidRPr="007A4BFB" w:rsidR="007D49E4" w:rsidP="1CFDBBFA" w:rsidRDefault="6EC02CF7" w14:paraId="64A72D25" w14:textId="0C5FC629">
            <w:pPr>
              <w:pStyle w:val="Odstavecseseznamem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 w:rsidRPr="1CFDBBFA">
              <w:rPr>
                <w:rFonts w:ascii="Calibri" w:hAnsi="Calibri" w:eastAsia="Calibri" w:cs="Calibri"/>
                <w:sz w:val="20"/>
                <w:szCs w:val="20"/>
              </w:rPr>
              <w:t>Karlovy Vary</w:t>
            </w:r>
          </w:p>
          <w:p w:rsidRPr="007A4BFB" w:rsidR="007D49E4" w:rsidP="1CFDBBFA" w:rsidRDefault="6EC02CF7" w14:paraId="5B2EEA4A" w14:textId="00F02864">
            <w:pPr>
              <w:pStyle w:val="Odstavecseseznamem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 w:rsidRPr="1CFDBBFA">
              <w:rPr>
                <w:rFonts w:ascii="Calibri" w:hAnsi="Calibri" w:eastAsia="Calibri" w:cs="Calibri"/>
                <w:sz w:val="20"/>
                <w:szCs w:val="20"/>
              </w:rPr>
              <w:t>Jeseník</w:t>
            </w:r>
          </w:p>
          <w:p w:rsidRPr="007A4BFB" w:rsidR="007D49E4" w:rsidP="1CFDBBFA" w:rsidRDefault="6EC02CF7" w14:paraId="0E0200CF" w14:textId="78EBEEC6">
            <w:pPr>
              <w:pStyle w:val="Odstavecseseznamem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 w:rsidRPr="1CFDBBFA">
              <w:rPr>
                <w:rFonts w:ascii="Calibri" w:hAnsi="Calibri" w:eastAsia="Calibri" w:cs="Calibri"/>
                <w:sz w:val="20"/>
                <w:szCs w:val="20"/>
              </w:rPr>
              <w:t>Ústí nad Labem.</w:t>
            </w:r>
          </w:p>
          <w:p w:rsidRPr="007A4BFB" w:rsidR="007D49E4" w:rsidP="1CFDBBFA" w:rsidRDefault="6EC02CF7" w14:paraId="0B46B011" w14:textId="492ABF85">
            <w:pPr>
              <w:spacing w:after="120"/>
              <w:jc w:val="both"/>
              <w:rPr>
                <w:sz w:val="20"/>
                <w:szCs w:val="20"/>
              </w:rPr>
            </w:pPr>
            <w:r w:rsidRPr="1CFDBBFA">
              <w:rPr>
                <w:sz w:val="20"/>
                <w:szCs w:val="20"/>
              </w:rPr>
              <w:t xml:space="preserve">V současní době byl již zahájen částečný vývoj jednotlivých vítězných projektů (aplikací). Průběh soutěže a dosažené výsledky potvrzují, že akceleraci rozvoje konceptu Smart </w:t>
            </w:r>
            <w:proofErr w:type="spellStart"/>
            <w:r w:rsidRPr="1CFDBBFA">
              <w:rPr>
                <w:sz w:val="20"/>
                <w:szCs w:val="20"/>
              </w:rPr>
              <w:t>Cities</w:t>
            </w:r>
            <w:proofErr w:type="spellEnd"/>
            <w:r w:rsidRPr="1CFDBBFA">
              <w:rPr>
                <w:sz w:val="20"/>
                <w:szCs w:val="20"/>
              </w:rPr>
              <w:t xml:space="preserve"> (obcí a regionů) do jiných lokalit České republiky bude vhodné koncipovat na základech této soutěže. </w:t>
            </w:r>
          </w:p>
          <w:p w:rsidRPr="007A4BFB" w:rsidR="007D49E4" w:rsidP="5886C982" w:rsidRDefault="6EC02CF7" w14:paraId="79717D04" w14:textId="335B36B0">
            <w:pPr>
              <w:pStyle w:val="Normln"/>
              <w:spacing w:after="120"/>
              <w:jc w:val="both"/>
              <w:rPr>
                <w:sz w:val="20"/>
                <w:szCs w:val="20"/>
              </w:rPr>
            </w:pPr>
            <w:r w:rsidRPr="5886C982" w:rsidR="3D43FD68">
              <w:rPr>
                <w:sz w:val="20"/>
                <w:szCs w:val="20"/>
              </w:rPr>
              <w:t>Z tohoto důvodu ve 3. čtvrtletí 2021 MMR ve spolupráci s MPO provedou podrobnou kontrolu situace vývojových prací na aplikacích vyvíjených v rámci soutěže „</w:t>
            </w:r>
            <w:r w:rsidRPr="5886C982" w:rsidR="35E6F529">
              <w:rPr>
                <w:sz w:val="20"/>
                <w:szCs w:val="20"/>
              </w:rPr>
              <w:t xml:space="preserve">5G pro 5 </w:t>
            </w:r>
            <w:r w:rsidRPr="5886C982" w:rsidR="35E6F529">
              <w:rPr>
                <w:sz w:val="20"/>
                <w:szCs w:val="20"/>
              </w:rPr>
              <w:t>měst</w:t>
            </w:r>
            <w:r w:rsidRPr="5886C982" w:rsidR="3D43FD68">
              <w:rPr>
                <w:sz w:val="20"/>
                <w:szCs w:val="20"/>
              </w:rPr>
              <w:t xml:space="preserve">“. Jenom pozitivní výsledkem kontroly zaručí, že dosažené výsledky jednotlivých projektů/aplikací lze převzít a pro investici Národního plánu rozvoje klasifikovat je jako jednotlivé referenční aplikace vertikál ekosystému sítí 5G pro Smart </w:t>
            </w:r>
            <w:proofErr w:type="spellStart"/>
            <w:r w:rsidRPr="5886C982" w:rsidR="3D43FD68">
              <w:rPr>
                <w:sz w:val="20"/>
                <w:szCs w:val="20"/>
              </w:rPr>
              <w:t>Cities</w:t>
            </w:r>
            <w:proofErr w:type="spellEnd"/>
            <w:r w:rsidRPr="5886C982" w:rsidR="3D43FD68">
              <w:rPr>
                <w:sz w:val="20"/>
                <w:szCs w:val="20"/>
              </w:rPr>
              <w:t>. Současně vypracované hodnocení každé referenční aplikace bude obsahovat doporučení na poskytnutí veřejných prostředků na dokončení vývoje referenční aplikace a na její uvedení do provozu (realizace cíle T1).</w:t>
            </w:r>
          </w:p>
          <w:p w:rsidRPr="007A4BFB" w:rsidR="007D49E4" w:rsidP="1CFDBBFA" w:rsidRDefault="6EC02CF7" w14:paraId="3B47111F" w14:textId="4D14C483">
            <w:pPr>
              <w:spacing w:after="120"/>
              <w:jc w:val="both"/>
              <w:rPr>
                <w:sz w:val="20"/>
                <w:szCs w:val="20"/>
              </w:rPr>
            </w:pPr>
            <w:r w:rsidRPr="1CFDBBFA">
              <w:rPr>
                <w:sz w:val="20"/>
                <w:szCs w:val="20"/>
              </w:rPr>
              <w:t>Následně na základě nabytých zkušenosti MMR vypracuje a navrhne „Metodický postup pro zavádění aplikací pro vertikály Smart City (</w:t>
            </w:r>
            <w:proofErr w:type="gramStart"/>
            <w:r w:rsidRPr="1CFDBBFA">
              <w:rPr>
                <w:sz w:val="20"/>
                <w:szCs w:val="20"/>
              </w:rPr>
              <w:t>s</w:t>
            </w:r>
            <w:proofErr w:type="gramEnd"/>
            <w:r w:rsidRPr="1CFDBBFA">
              <w:rPr>
                <w:sz w:val="20"/>
                <w:szCs w:val="20"/>
              </w:rPr>
              <w:t xml:space="preserve"> možnosti rozšíření na Smart </w:t>
            </w:r>
            <w:proofErr w:type="spellStart"/>
            <w:r w:rsidRPr="1CFDBBFA">
              <w:rPr>
                <w:sz w:val="20"/>
                <w:szCs w:val="20"/>
              </w:rPr>
              <w:t>Village</w:t>
            </w:r>
            <w:proofErr w:type="spellEnd"/>
            <w:r w:rsidRPr="1CFDBBFA">
              <w:rPr>
                <w:sz w:val="20"/>
                <w:szCs w:val="20"/>
              </w:rPr>
              <w:t xml:space="preserve"> nebo Smart Region) ekosystému sítí 5G“.</w:t>
            </w:r>
          </w:p>
          <w:p w:rsidRPr="007A4BFB" w:rsidR="007D49E4" w:rsidP="1CFDBBFA" w:rsidRDefault="6EC02CF7" w14:paraId="4CC217CC" w14:textId="22FB311A">
            <w:pPr>
              <w:spacing w:after="120"/>
              <w:jc w:val="both"/>
              <w:rPr>
                <w:sz w:val="20"/>
                <w:szCs w:val="20"/>
              </w:rPr>
            </w:pPr>
            <w:r w:rsidRPr="1CFDBBFA">
              <w:rPr>
                <w:sz w:val="20"/>
                <w:szCs w:val="20"/>
              </w:rPr>
              <w:t xml:space="preserve">V rámci následného cíle T2 budou vyvinuté aplikace vertikál ekosystému sítí 5G pro Smart </w:t>
            </w:r>
            <w:proofErr w:type="spellStart"/>
            <w:r w:rsidRPr="1CFDBBFA">
              <w:rPr>
                <w:sz w:val="20"/>
                <w:szCs w:val="20"/>
              </w:rPr>
              <w:t>Cities</w:t>
            </w:r>
            <w:proofErr w:type="spellEnd"/>
            <w:r w:rsidRPr="1CFDBBFA" w:rsidR="406E0265">
              <w:rPr>
                <w:sz w:val="20"/>
                <w:szCs w:val="20"/>
              </w:rPr>
              <w:t xml:space="preserve"> nebo jejich dílčí částí (např. způsob sběru dat a jejich vyhodnocení, monitorovací a řídící procesy atd.) implementovány na další lokality České republiky ve dvou směrech:</w:t>
            </w:r>
          </w:p>
          <w:p w:rsidRPr="007A4BFB" w:rsidR="007D49E4" w:rsidP="1CFDBBFA" w:rsidRDefault="406E0265" w14:paraId="432801C6" w14:textId="276CE8D8">
            <w:pPr>
              <w:spacing w:after="120"/>
              <w:jc w:val="both"/>
              <w:rPr>
                <w:sz w:val="20"/>
                <w:szCs w:val="20"/>
              </w:rPr>
            </w:pPr>
            <w:r w:rsidRPr="1CFDBBFA">
              <w:rPr>
                <w:sz w:val="20"/>
                <w:szCs w:val="20"/>
              </w:rPr>
              <w:t xml:space="preserve">1. Jako aplikace vertikály Smart City (Smart </w:t>
            </w:r>
            <w:proofErr w:type="spellStart"/>
            <w:r w:rsidRPr="1CFDBBFA">
              <w:rPr>
                <w:sz w:val="20"/>
                <w:szCs w:val="20"/>
              </w:rPr>
              <w:t>Village</w:t>
            </w:r>
            <w:proofErr w:type="spellEnd"/>
            <w:r w:rsidRPr="1CFDBBFA">
              <w:rPr>
                <w:sz w:val="20"/>
                <w:szCs w:val="20"/>
              </w:rPr>
              <w:t xml:space="preserve"> nebo Smart Region) zaměřené na inteligentní dopravní systémy, pouliční osvětlení, odpadové/oběhové hospodářství, veřejná doprava, správa parkovacích míst, dále na koncepty snižování kriminality ve městě, zvyšování bezpečnosti občanů, monitorování ovzduší, snižování zdraví škodlivých emisí, hospodaření s vodou, monitorování přírodních jevů, predikce předpovědí srážek, monitorování lesů, vliv exhalací na lesy, monitorování půdy atd.</w:t>
            </w:r>
          </w:p>
          <w:p w:rsidRPr="007A4BFB" w:rsidR="007D49E4" w:rsidP="1CFDBBFA" w:rsidRDefault="406E0265" w14:paraId="1FD96744" w14:textId="5430ACEF">
            <w:pPr>
              <w:spacing w:after="120"/>
              <w:jc w:val="both"/>
              <w:rPr>
                <w:sz w:val="20"/>
                <w:szCs w:val="20"/>
              </w:rPr>
            </w:pPr>
            <w:r w:rsidRPr="1CFDBBFA">
              <w:rPr>
                <w:sz w:val="20"/>
                <w:szCs w:val="20"/>
              </w:rPr>
              <w:t xml:space="preserve">Přínos: </w:t>
            </w:r>
          </w:p>
          <w:p w:rsidRPr="007A4BFB" w:rsidR="007D49E4" w:rsidP="1CFDBBFA" w:rsidRDefault="406E0265" w14:paraId="09211801" w14:textId="15678D31">
            <w:pPr>
              <w:pStyle w:val="Odstavecseseznamem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 w:rsidRPr="1CFDBBFA">
              <w:rPr>
                <w:rFonts w:ascii="Calibri" w:hAnsi="Calibri" w:eastAsia="Calibri" w:cs="Calibri"/>
                <w:sz w:val="20"/>
                <w:szCs w:val="20"/>
              </w:rPr>
              <w:t>usnadnění života obyvatelům měst, obcí a regionů,</w:t>
            </w:r>
          </w:p>
          <w:p w:rsidRPr="007A4BFB" w:rsidR="007D49E4" w:rsidP="1CFDBBFA" w:rsidRDefault="406E0265" w14:paraId="027E83B5" w14:textId="17BE7366">
            <w:pPr>
              <w:pStyle w:val="Odstavecseseznamem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 w:rsidRPr="1CFDBBFA">
              <w:rPr>
                <w:rFonts w:ascii="Calibri" w:hAnsi="Calibri" w:eastAsia="Calibri" w:cs="Calibri"/>
                <w:sz w:val="20"/>
                <w:szCs w:val="20"/>
              </w:rPr>
              <w:t>snížení nákladů souvisejících především s provozem městské infrastruktury,</w:t>
            </w:r>
          </w:p>
          <w:p w:rsidRPr="007A4BFB" w:rsidR="007D49E4" w:rsidP="1CFDBBFA" w:rsidRDefault="406E0265" w14:paraId="6E262AE2" w14:textId="69D5EAA2">
            <w:pPr>
              <w:pStyle w:val="Odstavecseseznamem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 w:rsidRPr="1CFDBBFA">
              <w:rPr>
                <w:rFonts w:ascii="Calibri" w:hAnsi="Calibri" w:eastAsia="Calibri" w:cs="Calibri"/>
                <w:sz w:val="20"/>
                <w:szCs w:val="20"/>
              </w:rPr>
              <w:t>monitorování životního prostředí.</w:t>
            </w:r>
          </w:p>
          <w:p w:rsidRPr="007A4BFB" w:rsidR="007D49E4" w:rsidP="1CFDBBFA" w:rsidRDefault="406E0265" w14:paraId="1E70909F" w14:textId="3EA4DCB4">
            <w:pPr>
              <w:spacing w:after="120"/>
              <w:jc w:val="both"/>
              <w:rPr>
                <w:sz w:val="20"/>
                <w:szCs w:val="20"/>
              </w:rPr>
            </w:pPr>
            <w:r w:rsidRPr="1CFDBBFA">
              <w:rPr>
                <w:sz w:val="20"/>
                <w:szCs w:val="20"/>
              </w:rPr>
              <w:t xml:space="preserve"> </w:t>
            </w:r>
          </w:p>
          <w:p w:rsidRPr="007A4BFB" w:rsidR="007D49E4" w:rsidP="1CFDBBFA" w:rsidRDefault="406E0265" w14:paraId="59C21F15" w14:textId="0B8D1361">
            <w:pPr>
              <w:spacing w:after="120"/>
              <w:jc w:val="both"/>
              <w:rPr>
                <w:sz w:val="20"/>
                <w:szCs w:val="20"/>
              </w:rPr>
            </w:pPr>
            <w:r w:rsidRPr="1CFDBBFA">
              <w:rPr>
                <w:sz w:val="20"/>
                <w:szCs w:val="20"/>
              </w:rPr>
              <w:lastRenderedPageBreak/>
              <w:t>2. Jako aplikace vertikály Průmyslu 4.0 zaměřené na digitalizované výrobní linky nebo robotizované systémy vybudované na rutinním využívání umělé inteligence, přímé komunikaci koncových zařízení mezi sebou (D2D); komplexy budou připojeny k 5G sítí nebo ke kampusovým 5G sítím.</w:t>
            </w:r>
          </w:p>
          <w:p w:rsidRPr="007A4BFB" w:rsidR="007D49E4" w:rsidP="1CFDBBFA" w:rsidRDefault="406E0265" w14:paraId="40EC9417" w14:textId="635842F3">
            <w:pPr>
              <w:spacing w:after="120"/>
              <w:jc w:val="both"/>
              <w:rPr>
                <w:sz w:val="20"/>
                <w:szCs w:val="20"/>
              </w:rPr>
            </w:pPr>
            <w:r w:rsidRPr="1CFDBBFA">
              <w:rPr>
                <w:sz w:val="20"/>
                <w:szCs w:val="20"/>
              </w:rPr>
              <w:t xml:space="preserve">Přínos: </w:t>
            </w:r>
          </w:p>
          <w:p w:rsidRPr="007A4BFB" w:rsidR="007D49E4" w:rsidP="1CFDBBFA" w:rsidRDefault="406E0265" w14:paraId="4A30AEF2" w14:textId="4EB39165">
            <w:pPr>
              <w:pStyle w:val="Odstavecseseznamem"/>
              <w:numPr>
                <w:ilvl w:val="0"/>
                <w:numId w:val="1"/>
              </w:numPr>
              <w:spacing w:line="240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1CFDBBFA">
              <w:rPr>
                <w:rFonts w:ascii="Calibri" w:hAnsi="Calibri" w:eastAsia="Calibri" w:cs="Calibri"/>
                <w:sz w:val="20"/>
                <w:szCs w:val="20"/>
              </w:rPr>
              <w:t xml:space="preserve">snižování výrobních nákladů, </w:t>
            </w:r>
          </w:p>
          <w:p w:rsidRPr="007A4BFB" w:rsidR="007D49E4" w:rsidP="1CFDBBFA" w:rsidRDefault="406E0265" w14:paraId="57EA77C2" w14:textId="4C7D2C43">
            <w:pPr>
              <w:pStyle w:val="Odstavecseseznamem"/>
              <w:numPr>
                <w:ilvl w:val="0"/>
                <w:numId w:val="1"/>
              </w:numPr>
              <w:spacing w:line="240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1CFDBBFA">
              <w:rPr>
                <w:rFonts w:ascii="Calibri" w:hAnsi="Calibri" w:eastAsia="Calibri" w:cs="Calibri"/>
                <w:sz w:val="20"/>
                <w:szCs w:val="20"/>
              </w:rPr>
              <w:t>zkracování doby výroby,</w:t>
            </w:r>
          </w:p>
          <w:p w:rsidRPr="007A4BFB" w:rsidR="007D49E4" w:rsidP="1CFDBBFA" w:rsidRDefault="406E0265" w14:paraId="4FE8E7D4" w14:textId="06D3F0A2">
            <w:pPr>
              <w:pStyle w:val="Odstavecseseznamem"/>
              <w:numPr>
                <w:ilvl w:val="0"/>
                <w:numId w:val="1"/>
              </w:numPr>
              <w:spacing w:line="240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1CFDBBFA">
              <w:rPr>
                <w:rFonts w:ascii="Calibri" w:hAnsi="Calibri" w:eastAsia="Calibri" w:cs="Calibri"/>
                <w:sz w:val="20"/>
                <w:szCs w:val="20"/>
              </w:rPr>
              <w:t>eliminace ohrožení lidského faktoru ve výrobě (zejména v zdraví škodlivých provozovnách).</w:t>
            </w:r>
          </w:p>
          <w:p w:rsidRPr="007A4BFB" w:rsidR="007D49E4" w:rsidP="1CFDBBFA" w:rsidRDefault="406E0265" w14:paraId="000000BA" w14:textId="125B01E5">
            <w:pPr>
              <w:spacing w:after="120"/>
              <w:jc w:val="both"/>
              <w:rPr>
                <w:sz w:val="20"/>
                <w:szCs w:val="20"/>
              </w:rPr>
            </w:pPr>
            <w:r w:rsidRPr="7BF7833C">
              <w:rPr>
                <w:sz w:val="20"/>
                <w:szCs w:val="20"/>
              </w:rPr>
              <w:t xml:space="preserve">Implementaci povede Ministerstvo pro místní rozvoj ČR </w:t>
            </w:r>
            <w:r w:rsidRPr="7BF7833C" w:rsidR="440058DC">
              <w:rPr>
                <w:sz w:val="20"/>
                <w:szCs w:val="20"/>
              </w:rPr>
              <w:t>v spolupráci</w:t>
            </w:r>
            <w:r w:rsidRPr="7BF7833C">
              <w:rPr>
                <w:sz w:val="20"/>
                <w:szCs w:val="20"/>
              </w:rPr>
              <w:t xml:space="preserve"> s Ministerstvem průmyslu a obchodu ČR.</w:t>
            </w:r>
          </w:p>
        </w:tc>
      </w:tr>
      <w:tr w:rsidRPr="007A4BFB" w:rsidR="007D49E4" w:rsidTr="5886C982" w14:paraId="48950E3A" w14:textId="77777777">
        <w:trPr>
          <w:trHeight w:val="70"/>
        </w:trPr>
        <w:tc>
          <w:tcPr>
            <w:tcW w:w="2405" w:type="dxa"/>
            <w:tcMar/>
          </w:tcPr>
          <w:p w:rsidRPr="007A4BFB" w:rsidR="007D49E4" w:rsidP="4AA51CF6" w:rsidRDefault="00603083" w14:paraId="000000BB" w14:textId="77777777">
            <w:pPr>
              <w:spacing w:after="120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lastRenderedPageBreak/>
              <w:t>Spolupráce a zapojení zúčastněných stran</w:t>
            </w:r>
          </w:p>
        </w:tc>
        <w:tc>
          <w:tcPr>
            <w:tcW w:w="7223" w:type="dxa"/>
            <w:tcMar/>
          </w:tcPr>
          <w:p w:rsidRPr="007A4BFB" w:rsidR="007D49E4" w:rsidP="4AA51CF6" w:rsidRDefault="7561C32A" w14:paraId="000000BC" w14:textId="147D429D">
            <w:pPr>
              <w:spacing w:after="120"/>
              <w:jc w:val="both"/>
              <w:rPr>
                <w:i/>
                <w:iCs/>
                <w:color w:val="2196FF"/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Kraje</w:t>
            </w:r>
            <w:r w:rsidRPr="4AA51CF6" w:rsidR="00603083">
              <w:rPr>
                <w:sz w:val="20"/>
                <w:szCs w:val="20"/>
              </w:rPr>
              <w:t xml:space="preserve"> </w:t>
            </w:r>
            <w:r w:rsidRPr="4AA51CF6" w:rsidR="657F9DF1">
              <w:rPr>
                <w:sz w:val="20"/>
                <w:szCs w:val="20"/>
              </w:rPr>
              <w:t>a</w:t>
            </w:r>
            <w:r w:rsidRPr="4AA51CF6" w:rsidR="00603083">
              <w:rPr>
                <w:sz w:val="20"/>
                <w:szCs w:val="20"/>
              </w:rPr>
              <w:t xml:space="preserve"> místní samosprávy, podnikatelský sektor a akademická sféra včetně inovačních center</w:t>
            </w:r>
          </w:p>
        </w:tc>
      </w:tr>
      <w:tr w:rsidRPr="007A4BFB" w:rsidR="007D49E4" w:rsidTr="5886C982" w14:paraId="3743A270" w14:textId="77777777">
        <w:tc>
          <w:tcPr>
            <w:tcW w:w="2405" w:type="dxa"/>
            <w:tcMar/>
          </w:tcPr>
          <w:p w:rsidRPr="007A4BFB" w:rsidR="007D49E4" w:rsidP="4AA51CF6" w:rsidRDefault="00603083" w14:paraId="000000BD" w14:textId="77777777">
            <w:pPr>
              <w:spacing w:after="120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Překážky a rizika</w:t>
            </w:r>
          </w:p>
        </w:tc>
        <w:tc>
          <w:tcPr>
            <w:tcW w:w="7223" w:type="dxa"/>
            <w:tcMar/>
          </w:tcPr>
          <w:p w:rsidRPr="007A4BFB" w:rsidR="007D49E4" w:rsidP="1CFDBBFA" w:rsidRDefault="00603083" w14:paraId="000000BE" w14:textId="0580FFF7">
            <w:pPr>
              <w:spacing w:after="120"/>
              <w:jc w:val="both"/>
              <w:rPr>
                <w:i/>
                <w:iCs/>
                <w:color w:val="2196FF"/>
                <w:sz w:val="20"/>
                <w:szCs w:val="20"/>
              </w:rPr>
            </w:pPr>
            <w:r w:rsidRPr="1CFDBBFA">
              <w:rPr>
                <w:sz w:val="20"/>
                <w:szCs w:val="20"/>
              </w:rPr>
              <w:t xml:space="preserve">Omezené finanční prostředky na vývoj a na následné zavádění aplikací, což se negativně může ovlivnit dobu realizace již vyvinutých aplikací. </w:t>
            </w:r>
            <w:r w:rsidRPr="1CFDBBFA" w:rsidR="56590A47">
              <w:rPr>
                <w:sz w:val="20"/>
                <w:szCs w:val="20"/>
              </w:rPr>
              <w:t>Klíčovým rizikem jsou nedostatečné personální kapacity u implementující</w:t>
            </w:r>
            <w:r w:rsidRPr="1CFDBBFA" w:rsidR="58142D43">
              <w:rPr>
                <w:sz w:val="20"/>
                <w:szCs w:val="20"/>
              </w:rPr>
              <w:t>ch</w:t>
            </w:r>
            <w:r w:rsidRPr="1CFDBBFA" w:rsidR="56590A47">
              <w:rPr>
                <w:sz w:val="20"/>
                <w:szCs w:val="20"/>
              </w:rPr>
              <w:t xml:space="preserve"> instituc</w:t>
            </w:r>
            <w:r w:rsidRPr="1CFDBBFA" w:rsidR="218D82D2">
              <w:rPr>
                <w:sz w:val="20"/>
                <w:szCs w:val="20"/>
              </w:rPr>
              <w:t>í</w:t>
            </w:r>
            <w:r w:rsidRPr="1CFDBBFA" w:rsidR="56590A47">
              <w:rPr>
                <w:sz w:val="20"/>
                <w:szCs w:val="20"/>
              </w:rPr>
              <w:t xml:space="preserve"> (M</w:t>
            </w:r>
            <w:r w:rsidRPr="1CFDBBFA" w:rsidR="2FB72B21">
              <w:rPr>
                <w:sz w:val="20"/>
                <w:szCs w:val="20"/>
              </w:rPr>
              <w:t xml:space="preserve">MR </w:t>
            </w:r>
            <w:r w:rsidRPr="1CFDBBFA" w:rsidR="56590A47">
              <w:rPr>
                <w:sz w:val="20"/>
                <w:szCs w:val="20"/>
              </w:rPr>
              <w:t xml:space="preserve">a </w:t>
            </w:r>
            <w:r w:rsidRPr="1CFDBBFA" w:rsidR="16AD69FF">
              <w:rPr>
                <w:sz w:val="20"/>
                <w:szCs w:val="20"/>
              </w:rPr>
              <w:t>MPO</w:t>
            </w:r>
            <w:r w:rsidRPr="1CFDBBFA" w:rsidR="56590A47">
              <w:rPr>
                <w:sz w:val="20"/>
                <w:szCs w:val="20"/>
              </w:rPr>
              <w:t>).</w:t>
            </w:r>
          </w:p>
        </w:tc>
      </w:tr>
      <w:tr w:rsidRPr="007A4BFB" w:rsidR="007D49E4" w:rsidTr="5886C982" w14:paraId="5EF442FD" w14:textId="77777777">
        <w:tc>
          <w:tcPr>
            <w:tcW w:w="2405" w:type="dxa"/>
            <w:tcMar/>
          </w:tcPr>
          <w:p w:rsidRPr="007A4BFB" w:rsidR="007D49E4" w:rsidP="4AA51CF6" w:rsidRDefault="00603083" w14:paraId="000000BF" w14:textId="77777777">
            <w:pPr>
              <w:spacing w:after="120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Cílové skupiny populace a ekonomické subjekty</w:t>
            </w:r>
          </w:p>
        </w:tc>
        <w:tc>
          <w:tcPr>
            <w:tcW w:w="7223" w:type="dxa"/>
            <w:tcMar/>
          </w:tcPr>
          <w:p w:rsidRPr="007A4BFB" w:rsidR="007D49E4" w:rsidP="7BF7833C" w:rsidRDefault="00603083" w14:paraId="000000C0" w14:textId="24714260">
            <w:pPr>
              <w:tabs>
                <w:tab w:val="left" w:pos="340"/>
              </w:tabs>
              <w:spacing w:after="120"/>
              <w:rPr>
                <w:i/>
                <w:iCs/>
                <w:color w:val="2196FF"/>
                <w:sz w:val="20"/>
                <w:szCs w:val="20"/>
              </w:rPr>
            </w:pPr>
            <w:r w:rsidRPr="7BF7833C">
              <w:rPr>
                <w:sz w:val="20"/>
                <w:szCs w:val="20"/>
              </w:rPr>
              <w:t>i.</w:t>
            </w:r>
            <w:r>
              <w:tab/>
            </w:r>
            <w:r w:rsidRPr="7BF7833C" w:rsidR="7561C32A">
              <w:rPr>
                <w:sz w:val="20"/>
                <w:szCs w:val="20"/>
              </w:rPr>
              <w:t>Kraje</w:t>
            </w:r>
            <w:r w:rsidRPr="7BF7833C">
              <w:rPr>
                <w:sz w:val="20"/>
                <w:szCs w:val="20"/>
              </w:rPr>
              <w:t xml:space="preserve"> a místní samosprávy,</w:t>
            </w:r>
            <w:r>
              <w:br/>
            </w:r>
            <w:proofErr w:type="spellStart"/>
            <w:r w:rsidRPr="7BF7833C">
              <w:rPr>
                <w:sz w:val="20"/>
                <w:szCs w:val="20"/>
              </w:rPr>
              <w:t>ii</w:t>
            </w:r>
            <w:proofErr w:type="spellEnd"/>
            <w:r w:rsidRPr="7BF7833C">
              <w:rPr>
                <w:sz w:val="20"/>
                <w:szCs w:val="20"/>
              </w:rPr>
              <w:t>.</w:t>
            </w:r>
            <w:r>
              <w:tab/>
            </w:r>
            <w:r w:rsidRPr="7BF7833C">
              <w:rPr>
                <w:sz w:val="20"/>
                <w:szCs w:val="20"/>
              </w:rPr>
              <w:t xml:space="preserve">Soukromé firmy včetně MSP zavádějící robotizaci a </w:t>
            </w:r>
            <w:proofErr w:type="spellStart"/>
            <w:r w:rsidRPr="7BF7833C">
              <w:rPr>
                <w:sz w:val="20"/>
                <w:szCs w:val="20"/>
              </w:rPr>
              <w:t>smart</w:t>
            </w:r>
            <w:proofErr w:type="spellEnd"/>
            <w:r w:rsidRPr="7BF7833C">
              <w:rPr>
                <w:sz w:val="20"/>
                <w:szCs w:val="20"/>
              </w:rPr>
              <w:t xml:space="preserve"> </w:t>
            </w:r>
            <w:proofErr w:type="spellStart"/>
            <w:r w:rsidRPr="7BF7833C">
              <w:rPr>
                <w:sz w:val="20"/>
                <w:szCs w:val="20"/>
              </w:rPr>
              <w:t>factory</w:t>
            </w:r>
            <w:proofErr w:type="spellEnd"/>
            <w:r w:rsidRPr="7BF7833C">
              <w:rPr>
                <w:sz w:val="20"/>
                <w:szCs w:val="20"/>
              </w:rPr>
              <w:t>,</w:t>
            </w:r>
            <w:r>
              <w:br/>
            </w:r>
            <w:proofErr w:type="spellStart"/>
            <w:r w:rsidRPr="7BF7833C">
              <w:rPr>
                <w:sz w:val="20"/>
                <w:szCs w:val="20"/>
              </w:rPr>
              <w:t>iii</w:t>
            </w:r>
            <w:proofErr w:type="spellEnd"/>
            <w:r w:rsidRPr="7BF7833C">
              <w:rPr>
                <w:sz w:val="20"/>
                <w:szCs w:val="20"/>
              </w:rPr>
              <w:t>.</w:t>
            </w:r>
            <w:r>
              <w:tab/>
            </w:r>
            <w:r w:rsidRPr="7BF7833C">
              <w:rPr>
                <w:sz w:val="20"/>
                <w:szCs w:val="20"/>
              </w:rPr>
              <w:t xml:space="preserve">Vývojové centra akademické sféry </w:t>
            </w:r>
          </w:p>
        </w:tc>
      </w:tr>
      <w:tr w:rsidRPr="007A4BFB" w:rsidR="007D49E4" w:rsidTr="5886C982" w14:paraId="341A0584" w14:textId="77777777">
        <w:tc>
          <w:tcPr>
            <w:tcW w:w="2405" w:type="dxa"/>
            <w:tcMar/>
          </w:tcPr>
          <w:p w:rsidRPr="007A4BFB" w:rsidR="007D49E4" w:rsidP="4AA51CF6" w:rsidRDefault="00603083" w14:paraId="000000C1" w14:textId="77777777">
            <w:pPr>
              <w:spacing w:after="120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Souhrnné náklady realizace financované z RRF za celé období</w:t>
            </w:r>
          </w:p>
        </w:tc>
        <w:tc>
          <w:tcPr>
            <w:tcW w:w="7223" w:type="dxa"/>
            <w:tcMar/>
          </w:tcPr>
          <w:p w:rsidRPr="007A4BFB" w:rsidR="007D49E4" w:rsidP="4AA51CF6" w:rsidRDefault="00603083" w14:paraId="000000C2" w14:textId="741B0480">
            <w:pPr>
              <w:tabs>
                <w:tab w:val="left" w:pos="1877"/>
              </w:tabs>
              <w:spacing w:after="120"/>
              <w:rPr>
                <w:i/>
                <w:iCs/>
                <w:color w:val="2196FF"/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 xml:space="preserve">Investice potřebná pro naplnění výše uvedeného cíle počítá s náklady </w:t>
            </w:r>
            <w:r w:rsidRPr="4AA51CF6" w:rsidR="526DFAC8">
              <w:rPr>
                <w:sz w:val="20"/>
                <w:szCs w:val="20"/>
              </w:rPr>
              <w:t xml:space="preserve">1100 </w:t>
            </w:r>
            <w:r w:rsidRPr="4AA51CF6">
              <w:rPr>
                <w:sz w:val="20"/>
                <w:szCs w:val="20"/>
              </w:rPr>
              <w:t>mil. Kč v období 2021-2023. K této částce je potřebné přičíst finanční participaci ve výši</w:t>
            </w:r>
            <w:r>
              <w:tab/>
            </w:r>
            <w:r w:rsidRPr="4AA51CF6">
              <w:rPr>
                <w:sz w:val="20"/>
                <w:szCs w:val="20"/>
              </w:rPr>
              <w:t>15 % (územní samosprávy a nepodnikatelský sektor)</w:t>
            </w:r>
            <w:r>
              <w:br/>
            </w:r>
            <w:r>
              <w:tab/>
            </w:r>
            <w:r w:rsidRPr="4AA51CF6">
              <w:rPr>
                <w:sz w:val="20"/>
                <w:szCs w:val="20"/>
              </w:rPr>
              <w:t>30 % (velké podniky)</w:t>
            </w:r>
            <w:r>
              <w:br/>
            </w:r>
            <w:r>
              <w:tab/>
            </w:r>
            <w:r w:rsidRPr="4AA51CF6">
              <w:rPr>
                <w:sz w:val="20"/>
                <w:szCs w:val="20"/>
              </w:rPr>
              <w:t>40 % (malé a středné podniky)</w:t>
            </w:r>
          </w:p>
        </w:tc>
      </w:tr>
      <w:tr w:rsidRPr="007A4BFB" w:rsidR="007D49E4" w:rsidTr="5886C982" w14:paraId="4BB6EBC0" w14:textId="77777777">
        <w:tc>
          <w:tcPr>
            <w:tcW w:w="2405" w:type="dxa"/>
            <w:tcMar/>
          </w:tcPr>
          <w:p w:rsidRPr="007A4BFB" w:rsidR="007D49E4" w:rsidP="4AA51CF6" w:rsidRDefault="00603083" w14:paraId="000000C3" w14:textId="77777777">
            <w:pPr>
              <w:spacing w:after="120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Dodržování pravidel státní podpory</w:t>
            </w:r>
          </w:p>
        </w:tc>
        <w:tc>
          <w:tcPr>
            <w:tcW w:w="7223" w:type="dxa"/>
            <w:tcMar/>
          </w:tcPr>
          <w:p w:rsidRPr="007A4BFB" w:rsidR="007D49E4" w:rsidP="4AA51CF6" w:rsidRDefault="00603083" w14:paraId="000000C4" w14:textId="77777777">
            <w:pPr>
              <w:spacing w:after="120"/>
              <w:jc w:val="both"/>
              <w:rPr>
                <w:i/>
                <w:iCs/>
                <w:color w:val="2196FF"/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Bude nezbytná notifikace pro danou investici. Podle výsledků notifikace budou stanoveny pravidla státní podpory.</w:t>
            </w:r>
            <w:r w:rsidRPr="4AA51CF6">
              <w:rPr>
                <w:i/>
                <w:iCs/>
                <w:color w:val="2196FF"/>
                <w:sz w:val="20"/>
                <w:szCs w:val="20"/>
              </w:rPr>
              <w:t xml:space="preserve"> </w:t>
            </w:r>
          </w:p>
        </w:tc>
      </w:tr>
      <w:tr w:rsidRPr="007A4BFB" w:rsidR="007D49E4" w:rsidTr="5886C982" w14:paraId="77F52F5C" w14:textId="77777777">
        <w:tc>
          <w:tcPr>
            <w:tcW w:w="2405" w:type="dxa"/>
            <w:tcMar/>
          </w:tcPr>
          <w:p w:rsidRPr="007A4BFB" w:rsidR="007D49E4" w:rsidP="4AA51CF6" w:rsidRDefault="00603083" w14:paraId="000000C5" w14:textId="77777777">
            <w:pPr>
              <w:spacing w:after="120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Uveďte dobu implementace</w:t>
            </w:r>
          </w:p>
        </w:tc>
        <w:tc>
          <w:tcPr>
            <w:tcW w:w="7223" w:type="dxa"/>
            <w:tcMar/>
          </w:tcPr>
          <w:p w:rsidRPr="007A4BFB" w:rsidR="007D49E4" w:rsidP="4AA51CF6" w:rsidRDefault="00603083" w14:paraId="000000C6" w14:textId="4B888FAC">
            <w:pPr>
              <w:spacing w:after="120"/>
              <w:jc w:val="both"/>
              <w:rPr>
                <w:i/>
                <w:iCs/>
                <w:color w:val="2196FF"/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 xml:space="preserve">Plánovaná doba realizace je </w:t>
            </w:r>
            <w:r w:rsidRPr="4AA51CF6" w:rsidR="00A67E3E">
              <w:rPr>
                <w:sz w:val="20"/>
                <w:szCs w:val="20"/>
              </w:rPr>
              <w:t>2021–2025</w:t>
            </w:r>
            <w:r w:rsidRPr="4AA51CF6">
              <w:rPr>
                <w:sz w:val="20"/>
                <w:szCs w:val="20"/>
              </w:rPr>
              <w:t>.</w:t>
            </w:r>
          </w:p>
        </w:tc>
      </w:tr>
    </w:tbl>
    <w:p w:rsidRPr="007A4BFB" w:rsidR="007A4BFB" w:rsidP="4AA51CF6" w:rsidRDefault="007A4BFB" w14:paraId="3E91A559" w14:textId="4B7B72A5">
      <w:pPr>
        <w:spacing w:line="240" w:lineRule="auto"/>
        <w:rPr>
          <w:b/>
          <w:bCs/>
          <w:sz w:val="20"/>
          <w:szCs w:val="20"/>
          <w:shd w:val="clear" w:color="auto" w:fill="FFF2CC"/>
        </w:rPr>
      </w:pPr>
    </w:p>
    <w:p w:rsidRPr="00136DD0" w:rsidR="007D49E4" w:rsidP="4AA51CF6" w:rsidRDefault="00136DD0" w14:paraId="00000104" w14:textId="7ED9AAD9">
      <w:pPr>
        <w:spacing w:after="120" w:line="240" w:lineRule="auto"/>
        <w:jc w:val="both"/>
        <w:rPr>
          <w:b/>
          <w:bCs/>
          <w:sz w:val="20"/>
          <w:szCs w:val="20"/>
        </w:rPr>
      </w:pPr>
      <w:r w:rsidRPr="4AA51CF6">
        <w:rPr>
          <w:b/>
          <w:bCs/>
          <w:sz w:val="20"/>
          <w:szCs w:val="20"/>
        </w:rPr>
        <w:t xml:space="preserve">2.1 Programy Czech </w:t>
      </w:r>
      <w:proofErr w:type="spellStart"/>
      <w:r w:rsidRPr="4AA51CF6">
        <w:rPr>
          <w:b/>
          <w:bCs/>
          <w:sz w:val="20"/>
          <w:szCs w:val="20"/>
        </w:rPr>
        <w:t>Rise</w:t>
      </w:r>
      <w:proofErr w:type="spellEnd"/>
      <w:r w:rsidRPr="4AA51CF6">
        <w:rPr>
          <w:b/>
          <w:bCs/>
          <w:sz w:val="20"/>
          <w:szCs w:val="20"/>
        </w:rPr>
        <w:t>-Up</w:t>
      </w:r>
    </w:p>
    <w:tbl>
      <w:tblPr>
        <w:tblStyle w:val="ab"/>
        <w:tblW w:w="96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7223"/>
      </w:tblGrid>
      <w:tr w:rsidRPr="007A4BFB" w:rsidR="007E27EE" w:rsidTr="4EAC0756" w14:paraId="75BE33A8" w14:textId="77777777">
        <w:tc>
          <w:tcPr>
            <w:tcW w:w="2405" w:type="dxa"/>
          </w:tcPr>
          <w:p w:rsidRPr="007A4BFB" w:rsidR="007E27EE" w:rsidP="4AA51CF6" w:rsidRDefault="007E27EE" w14:paraId="68A8F033" w14:textId="77777777">
            <w:pPr>
              <w:spacing w:after="120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Výzva</w:t>
            </w:r>
          </w:p>
        </w:tc>
        <w:tc>
          <w:tcPr>
            <w:tcW w:w="7223" w:type="dxa"/>
          </w:tcPr>
          <w:p w:rsidRPr="007A4BFB" w:rsidR="007E27EE" w:rsidP="4AA51CF6" w:rsidRDefault="007E27EE" w14:paraId="3413C6CB" w14:textId="5C9A177F">
            <w:pPr>
              <w:spacing w:after="120"/>
              <w:jc w:val="both"/>
              <w:rPr>
                <w:i/>
                <w:iCs/>
                <w:color w:val="2196FF"/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 xml:space="preserve">Program Czech </w:t>
            </w:r>
            <w:proofErr w:type="spellStart"/>
            <w:r w:rsidRPr="4AA51CF6">
              <w:rPr>
                <w:sz w:val="20"/>
                <w:szCs w:val="20"/>
              </w:rPr>
              <w:t>Rise</w:t>
            </w:r>
            <w:proofErr w:type="spellEnd"/>
            <w:r w:rsidRPr="4AA51CF6">
              <w:rPr>
                <w:sz w:val="20"/>
                <w:szCs w:val="20"/>
              </w:rPr>
              <w:t xml:space="preserve"> Up – Chytrá opatření proti COVID-19 v rekordním čase podpořil projekty pro medicínské i nemedicínské využití technologií v boji s pandemií a poskytl tak i podporu projektu </w:t>
            </w:r>
            <w:proofErr w:type="spellStart"/>
            <w:r w:rsidRPr="4AA51CF6">
              <w:rPr>
                <w:sz w:val="20"/>
                <w:szCs w:val="20"/>
              </w:rPr>
              <w:t>hackathonu</w:t>
            </w:r>
            <w:proofErr w:type="spellEnd"/>
            <w:r w:rsidRPr="4AA51CF6">
              <w:rPr>
                <w:sz w:val="20"/>
                <w:szCs w:val="20"/>
              </w:rPr>
              <w:t xml:space="preserve"> </w:t>
            </w:r>
            <w:proofErr w:type="spellStart"/>
            <w:r w:rsidRPr="4AA51CF6">
              <w:rPr>
                <w:sz w:val="20"/>
                <w:szCs w:val="20"/>
              </w:rPr>
              <w:t>Hack</w:t>
            </w:r>
            <w:proofErr w:type="spellEnd"/>
            <w:r w:rsidRPr="4AA51CF6">
              <w:rPr>
                <w:sz w:val="20"/>
                <w:szCs w:val="20"/>
              </w:rPr>
              <w:t xml:space="preserve"> </w:t>
            </w:r>
            <w:proofErr w:type="spellStart"/>
            <w:r w:rsidRPr="4AA51CF6">
              <w:rPr>
                <w:sz w:val="20"/>
                <w:szCs w:val="20"/>
              </w:rPr>
              <w:t>the</w:t>
            </w:r>
            <w:proofErr w:type="spellEnd"/>
            <w:r w:rsidRPr="4AA51CF6">
              <w:rPr>
                <w:sz w:val="20"/>
                <w:szCs w:val="20"/>
              </w:rPr>
              <w:t xml:space="preserve"> </w:t>
            </w:r>
            <w:proofErr w:type="spellStart"/>
            <w:r w:rsidRPr="4AA51CF6">
              <w:rPr>
                <w:sz w:val="20"/>
                <w:szCs w:val="20"/>
              </w:rPr>
              <w:t>Crisis</w:t>
            </w:r>
            <w:proofErr w:type="spellEnd"/>
            <w:r w:rsidRPr="4AA51CF6">
              <w:rPr>
                <w:sz w:val="20"/>
                <w:szCs w:val="20"/>
              </w:rPr>
              <w:t xml:space="preserve"> CZ organizovaném M</w:t>
            </w:r>
            <w:r w:rsidRPr="4AA51CF6" w:rsidR="00FB1BDD">
              <w:rPr>
                <w:sz w:val="20"/>
                <w:szCs w:val="20"/>
              </w:rPr>
              <w:t>inisterstvem průmyslu a obchodu ČR</w:t>
            </w:r>
            <w:r w:rsidRPr="4AA51CF6">
              <w:rPr>
                <w:sz w:val="20"/>
                <w:szCs w:val="20"/>
              </w:rPr>
              <w:t xml:space="preserve"> a agenturou </w:t>
            </w:r>
            <w:proofErr w:type="spellStart"/>
            <w:r w:rsidRPr="4AA51CF6">
              <w:rPr>
                <w:sz w:val="20"/>
                <w:szCs w:val="20"/>
              </w:rPr>
              <w:t>CzechInvest</w:t>
            </w:r>
            <w:proofErr w:type="spellEnd"/>
            <w:r w:rsidRPr="4AA51CF6">
              <w:rPr>
                <w:sz w:val="20"/>
                <w:szCs w:val="20"/>
              </w:rPr>
              <w:t xml:space="preserve">, na který naváže </w:t>
            </w:r>
            <w:proofErr w:type="spellStart"/>
            <w:r w:rsidRPr="4AA51CF6">
              <w:rPr>
                <w:sz w:val="20"/>
                <w:szCs w:val="20"/>
              </w:rPr>
              <w:t>Crisis</w:t>
            </w:r>
            <w:proofErr w:type="spellEnd"/>
            <w:r w:rsidRPr="4AA51CF6">
              <w:rPr>
                <w:sz w:val="20"/>
                <w:szCs w:val="20"/>
              </w:rPr>
              <w:t xml:space="preserve"> Response Hub</w:t>
            </w:r>
            <w:r w:rsidRPr="4AA51CF6" w:rsidR="00FB1BDD">
              <w:rPr>
                <w:sz w:val="20"/>
                <w:szCs w:val="20"/>
              </w:rPr>
              <w:t xml:space="preserve"> v rámci projektu Technologické inkubace (reforma komponenty 5.2)</w:t>
            </w:r>
            <w:r w:rsidRPr="4AA51CF6">
              <w:rPr>
                <w:sz w:val="20"/>
                <w:szCs w:val="20"/>
              </w:rPr>
              <w:t>.</w:t>
            </w:r>
          </w:p>
        </w:tc>
      </w:tr>
      <w:tr w:rsidRPr="007A4BFB" w:rsidR="007E27EE" w:rsidTr="4EAC0756" w14:paraId="4B229D9A" w14:textId="77777777">
        <w:tc>
          <w:tcPr>
            <w:tcW w:w="2405" w:type="dxa"/>
          </w:tcPr>
          <w:p w:rsidRPr="007A4BFB" w:rsidR="007E27EE" w:rsidP="4AA51CF6" w:rsidRDefault="007E27EE" w14:paraId="1CD0B30A" w14:textId="77777777">
            <w:pPr>
              <w:spacing w:after="120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Cíl</w:t>
            </w:r>
          </w:p>
        </w:tc>
        <w:tc>
          <w:tcPr>
            <w:tcW w:w="7223" w:type="dxa"/>
          </w:tcPr>
          <w:p w:rsidRPr="007A4BFB" w:rsidR="007E27EE" w:rsidP="4AA51CF6" w:rsidRDefault="00FB1BDD" w14:paraId="0D71359E" w14:textId="50FBEB1D">
            <w:pPr>
              <w:spacing w:after="120"/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 xml:space="preserve">Navazující program Czech </w:t>
            </w:r>
            <w:proofErr w:type="spellStart"/>
            <w:r w:rsidRPr="4AA51CF6">
              <w:rPr>
                <w:sz w:val="20"/>
                <w:szCs w:val="20"/>
              </w:rPr>
              <w:t>Rise</w:t>
            </w:r>
            <w:proofErr w:type="spellEnd"/>
            <w:r w:rsidRPr="4AA51CF6">
              <w:rPr>
                <w:sz w:val="20"/>
                <w:szCs w:val="20"/>
              </w:rPr>
              <w:t xml:space="preserve"> Up 2.0 se v nových výzvách zaměří na boj s ekonomickými a společenskými dopady pandemie a způsobenou hospodářskou krizí. Podpoří tak technologickou proměnu zasažených odvětví, konkrétní technologické nástroje i rozvoj strategických technologií pro boj s případnou druhou vlnou, či další krizí. Program se také v souladu se strategií Digitální Česko a inovační strategií ČR zaměří na podporu technologií k digitální transformaci a automatizaci české ekonomiky, které budou využity zejména prostřednictvím sítě EDIH v českých SME.</w:t>
            </w:r>
            <w:r w:rsidRPr="4AA51CF6" w:rsidR="32F67264">
              <w:rPr>
                <w:sz w:val="20"/>
                <w:szCs w:val="20"/>
              </w:rPr>
              <w:t xml:space="preserve"> Podpořeny také budou projekty podporující rovné příležitosti žen a mužů.</w:t>
            </w:r>
          </w:p>
        </w:tc>
      </w:tr>
      <w:tr w:rsidRPr="007A4BFB" w:rsidR="007E27EE" w:rsidTr="4EAC0756" w14:paraId="0BF3896C" w14:textId="77777777">
        <w:tc>
          <w:tcPr>
            <w:tcW w:w="2405" w:type="dxa"/>
          </w:tcPr>
          <w:p w:rsidRPr="007A4BFB" w:rsidR="007E27EE" w:rsidP="4AA51CF6" w:rsidRDefault="007E27EE" w14:paraId="0A05076C" w14:textId="77777777">
            <w:pPr>
              <w:spacing w:after="120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Implementace</w:t>
            </w:r>
          </w:p>
        </w:tc>
        <w:tc>
          <w:tcPr>
            <w:tcW w:w="7223" w:type="dxa"/>
          </w:tcPr>
          <w:p w:rsidRPr="007A4BFB" w:rsidR="007E27EE" w:rsidP="4AA51CF6" w:rsidRDefault="00FB1BDD" w14:paraId="7DFA71FA" w14:textId="54407C2E">
            <w:pPr>
              <w:spacing w:after="120"/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 xml:space="preserve">Program Czech </w:t>
            </w:r>
            <w:proofErr w:type="spellStart"/>
            <w:r w:rsidRPr="4AA51CF6">
              <w:rPr>
                <w:sz w:val="20"/>
                <w:szCs w:val="20"/>
              </w:rPr>
              <w:t>Rise</w:t>
            </w:r>
            <w:proofErr w:type="spellEnd"/>
            <w:r w:rsidRPr="4AA51CF6">
              <w:rPr>
                <w:sz w:val="20"/>
                <w:szCs w:val="20"/>
              </w:rPr>
              <w:t xml:space="preserve"> Up 2.0 bude obsahovat dvě části vyhlašované v samostatných výzvách s odlišnými podmínkami. První výzva Programu Czech </w:t>
            </w:r>
            <w:proofErr w:type="spellStart"/>
            <w:r w:rsidRPr="4AA51CF6">
              <w:rPr>
                <w:sz w:val="20"/>
                <w:szCs w:val="20"/>
              </w:rPr>
              <w:t>Rise</w:t>
            </w:r>
            <w:proofErr w:type="spellEnd"/>
            <w:r w:rsidRPr="4AA51CF6">
              <w:rPr>
                <w:sz w:val="20"/>
                <w:szCs w:val="20"/>
              </w:rPr>
              <w:t xml:space="preserve"> Up 2.0 – VÝZKUM proti COVID se již úzce zaměřuje na finální fáze dokončení výzkumu a vývoje, popř. certifikace a ochrany práv medicínských řešení v souladu se schválenou notifikaci EK ze dne 7. května 2020 C (2020) 3098. Druhá výzva Programu Czech </w:t>
            </w:r>
            <w:proofErr w:type="spellStart"/>
            <w:r w:rsidRPr="4AA51CF6">
              <w:rPr>
                <w:sz w:val="20"/>
                <w:szCs w:val="20"/>
              </w:rPr>
              <w:t>Rise</w:t>
            </w:r>
            <w:proofErr w:type="spellEnd"/>
            <w:r w:rsidRPr="4AA51CF6">
              <w:rPr>
                <w:sz w:val="20"/>
                <w:szCs w:val="20"/>
              </w:rPr>
              <w:t xml:space="preserve"> Up 2.0 – CHYTRÁ ŘEŠENÍ PROTI DOPADŮM COVID-19 bude zaměřena na pokračování podpory formou de </w:t>
            </w:r>
            <w:proofErr w:type="spellStart"/>
            <w:r w:rsidRPr="4AA51CF6">
              <w:rPr>
                <w:sz w:val="20"/>
                <w:szCs w:val="20"/>
              </w:rPr>
              <w:t>minimis</w:t>
            </w:r>
            <w:proofErr w:type="spellEnd"/>
            <w:r w:rsidRPr="4AA51CF6">
              <w:rPr>
                <w:sz w:val="20"/>
                <w:szCs w:val="20"/>
              </w:rPr>
              <w:t xml:space="preserve"> pro projekty medicínských i nemedicínských technologických řešení pro </w:t>
            </w:r>
            <w:r w:rsidRPr="4AA51CF6">
              <w:rPr>
                <w:sz w:val="20"/>
                <w:szCs w:val="20"/>
              </w:rPr>
              <w:lastRenderedPageBreak/>
              <w:t>zvládnutí ekonomických a společenských následků krize, přípravu na případnou druhou vlnu pandemie a podporu strategických technologií, a to ve střednědobém horizontu. Podpořeny budou zejména projekty s neziskovým a obecně prospěšným zaměřením z oblastí klíčových/strategických technologií a odvětví zdravotnictví, školství, vzdělávání, digitální transformace ekonomiky s důrazem na podporu malých a středních podniků a technologické proměny obchodních modelů tradičních odvětví (například média v návaznosti na cíle Evropské komise stanovené v Akčním plánu na podporu oživení a transformace mediálního a audiovizuálního odvětví).</w:t>
            </w:r>
          </w:p>
        </w:tc>
      </w:tr>
      <w:tr w:rsidRPr="007A4BFB" w:rsidR="007E27EE" w:rsidTr="4EAC0756" w14:paraId="45C27835" w14:textId="77777777">
        <w:trPr>
          <w:trHeight w:val="70"/>
        </w:trPr>
        <w:tc>
          <w:tcPr>
            <w:tcW w:w="2405" w:type="dxa"/>
          </w:tcPr>
          <w:p w:rsidRPr="007A4BFB" w:rsidR="007E27EE" w:rsidP="4AA51CF6" w:rsidRDefault="007E27EE" w14:paraId="18EBA29E" w14:textId="77777777">
            <w:pPr>
              <w:spacing w:after="120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lastRenderedPageBreak/>
              <w:t>Spolupráce a zapojení zúčastněných stran</w:t>
            </w:r>
          </w:p>
        </w:tc>
        <w:tc>
          <w:tcPr>
            <w:tcW w:w="7223" w:type="dxa"/>
          </w:tcPr>
          <w:p w:rsidRPr="007A4BFB" w:rsidR="007E27EE" w:rsidP="4AA51CF6" w:rsidRDefault="007E27EE" w14:paraId="22CA4B96" w14:textId="77777777">
            <w:pPr>
              <w:spacing w:after="120"/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K evaluaci žádostí bude využita odborná kapacita externích hodnotitelů.</w:t>
            </w:r>
          </w:p>
        </w:tc>
      </w:tr>
      <w:tr w:rsidRPr="007A4BFB" w:rsidR="007E27EE" w:rsidTr="4EAC0756" w14:paraId="773A1ADB" w14:textId="77777777">
        <w:tc>
          <w:tcPr>
            <w:tcW w:w="2405" w:type="dxa"/>
          </w:tcPr>
          <w:p w:rsidRPr="007A4BFB" w:rsidR="007E27EE" w:rsidP="4AA51CF6" w:rsidRDefault="007E27EE" w14:paraId="508A645E" w14:textId="77777777">
            <w:pPr>
              <w:spacing w:after="120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Překážky a rizika</w:t>
            </w:r>
          </w:p>
        </w:tc>
        <w:tc>
          <w:tcPr>
            <w:tcW w:w="7223" w:type="dxa"/>
          </w:tcPr>
          <w:p w:rsidRPr="007A4BFB" w:rsidR="007E27EE" w:rsidP="4AA51CF6" w:rsidRDefault="007E27EE" w14:paraId="68393F31" w14:textId="1243F643">
            <w:pPr>
              <w:spacing w:after="120"/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 xml:space="preserve">Nedostatečný počet projektů. </w:t>
            </w:r>
            <w:r w:rsidRPr="4AA51CF6" w:rsidR="56590A47">
              <w:rPr>
                <w:sz w:val="20"/>
                <w:szCs w:val="20"/>
              </w:rPr>
              <w:t>Klíčovým rizikem jsou nedostatečné personální kapacity u implementující instituce (Ministerstvo průmyslu a obchodu ČR).</w:t>
            </w:r>
          </w:p>
        </w:tc>
      </w:tr>
      <w:tr w:rsidRPr="007A4BFB" w:rsidR="007E27EE" w:rsidTr="4EAC0756" w14:paraId="4F5CA381" w14:textId="77777777">
        <w:tc>
          <w:tcPr>
            <w:tcW w:w="2405" w:type="dxa"/>
          </w:tcPr>
          <w:p w:rsidRPr="007A4BFB" w:rsidR="007E27EE" w:rsidP="4AA51CF6" w:rsidRDefault="007E27EE" w14:paraId="0B253E85" w14:textId="77777777">
            <w:pPr>
              <w:spacing w:after="120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Cílové skupiny populace a ekonomické subjekty</w:t>
            </w:r>
          </w:p>
        </w:tc>
        <w:tc>
          <w:tcPr>
            <w:tcW w:w="7223" w:type="dxa"/>
          </w:tcPr>
          <w:p w:rsidRPr="007A4BFB" w:rsidR="007E27EE" w:rsidP="4AA51CF6" w:rsidRDefault="007E27EE" w14:paraId="2EDC2AA4" w14:textId="77777777">
            <w:pPr>
              <w:spacing w:after="120"/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Malé a střední podniky a výzkumné organizace.</w:t>
            </w:r>
          </w:p>
        </w:tc>
      </w:tr>
      <w:tr w:rsidRPr="007A4BFB" w:rsidR="007E27EE" w:rsidTr="4EAC0756" w14:paraId="58D37073" w14:textId="77777777">
        <w:tc>
          <w:tcPr>
            <w:tcW w:w="2405" w:type="dxa"/>
          </w:tcPr>
          <w:p w:rsidRPr="007A4BFB" w:rsidR="007E27EE" w:rsidP="4AA51CF6" w:rsidRDefault="007E27EE" w14:paraId="2FF9621B" w14:textId="77777777">
            <w:pPr>
              <w:spacing w:after="120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Souhrnné náklady realizace financované z RRF za celé období</w:t>
            </w:r>
          </w:p>
        </w:tc>
        <w:tc>
          <w:tcPr>
            <w:tcW w:w="7223" w:type="dxa"/>
          </w:tcPr>
          <w:p w:rsidRPr="007A4BFB" w:rsidR="007E27EE" w:rsidP="4AA51CF6" w:rsidRDefault="007E27EE" w14:paraId="0D358246" w14:textId="3A0F591B">
            <w:pPr>
              <w:spacing w:after="120"/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 xml:space="preserve">Investice potřebná pro naplnění výše uvedeného cíle počítá s náklady </w:t>
            </w:r>
            <w:r w:rsidRPr="4AA51CF6" w:rsidR="0097007C">
              <w:rPr>
                <w:sz w:val="20"/>
                <w:szCs w:val="20"/>
              </w:rPr>
              <w:t>6</w:t>
            </w:r>
            <w:r w:rsidRPr="4AA51CF6">
              <w:rPr>
                <w:sz w:val="20"/>
                <w:szCs w:val="20"/>
              </w:rPr>
              <w:t>00 mil. Kč v období 2021-202</w:t>
            </w:r>
            <w:r w:rsidRPr="4AA51CF6" w:rsidR="00FB1BDD">
              <w:rPr>
                <w:sz w:val="20"/>
                <w:szCs w:val="20"/>
              </w:rPr>
              <w:t>4</w:t>
            </w:r>
            <w:r w:rsidRPr="4AA51CF6">
              <w:rPr>
                <w:sz w:val="20"/>
                <w:szCs w:val="20"/>
              </w:rPr>
              <w:t>.</w:t>
            </w:r>
          </w:p>
        </w:tc>
      </w:tr>
      <w:tr w:rsidRPr="007A4BFB" w:rsidR="007E27EE" w:rsidTr="4EAC0756" w14:paraId="2F1AC123" w14:textId="77777777">
        <w:tc>
          <w:tcPr>
            <w:tcW w:w="2405" w:type="dxa"/>
          </w:tcPr>
          <w:p w:rsidRPr="007A4BFB" w:rsidR="007E27EE" w:rsidP="4AA51CF6" w:rsidRDefault="007E27EE" w14:paraId="428DCE62" w14:textId="77777777">
            <w:pPr>
              <w:spacing w:after="120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Dodržování pravidel státní podpory</w:t>
            </w:r>
          </w:p>
        </w:tc>
        <w:tc>
          <w:tcPr>
            <w:tcW w:w="7223" w:type="dxa"/>
          </w:tcPr>
          <w:p w:rsidRPr="007A4BFB" w:rsidR="007E27EE" w:rsidP="4AA51CF6" w:rsidRDefault="007E27EE" w14:paraId="553360F0" w14:textId="45B31F7D">
            <w:pPr>
              <w:spacing w:after="120"/>
              <w:jc w:val="both"/>
              <w:rPr>
                <w:i/>
                <w:iCs/>
                <w:color w:val="2196FF"/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 xml:space="preserve">Veškerá veřejná podpora bude </w:t>
            </w:r>
            <w:r w:rsidRPr="4AA51CF6" w:rsidR="00FB1BDD">
              <w:rPr>
                <w:sz w:val="20"/>
                <w:szCs w:val="20"/>
              </w:rPr>
              <w:t xml:space="preserve">poskytnuta v rámci de </w:t>
            </w:r>
            <w:proofErr w:type="spellStart"/>
            <w:r w:rsidRPr="4AA51CF6" w:rsidR="00FB1BDD">
              <w:rPr>
                <w:sz w:val="20"/>
                <w:szCs w:val="20"/>
              </w:rPr>
              <w:t>minimis</w:t>
            </w:r>
            <w:proofErr w:type="spellEnd"/>
            <w:r w:rsidRPr="4AA51CF6" w:rsidR="00FB1BDD">
              <w:rPr>
                <w:sz w:val="20"/>
                <w:szCs w:val="20"/>
              </w:rPr>
              <w:t xml:space="preserve">, nebo provedené notifikace </w:t>
            </w:r>
            <w:r w:rsidRPr="4AA51CF6">
              <w:rPr>
                <w:sz w:val="20"/>
                <w:szCs w:val="20"/>
              </w:rPr>
              <w:t xml:space="preserve">v závislosti </w:t>
            </w:r>
            <w:r w:rsidRPr="4AA51CF6" w:rsidR="00FB1BDD">
              <w:rPr>
                <w:sz w:val="20"/>
                <w:szCs w:val="20"/>
              </w:rPr>
              <w:t xml:space="preserve">na </w:t>
            </w:r>
            <w:r w:rsidRPr="4AA51CF6">
              <w:rPr>
                <w:sz w:val="20"/>
                <w:szCs w:val="20"/>
              </w:rPr>
              <w:t>změnách dočasného rámce a dalších pravidel v souvislosti s implementací RRF/NPO.</w:t>
            </w:r>
            <w:r w:rsidRPr="4AA51CF6" w:rsidR="44B084D2">
              <w:rPr>
                <w:sz w:val="20"/>
                <w:szCs w:val="20"/>
              </w:rPr>
              <w:t xml:space="preserve"> Nejedná se o plošnou podporu sektorů ekonomiky, ale vybrané projekty v uvedením rámci.</w:t>
            </w:r>
          </w:p>
        </w:tc>
      </w:tr>
      <w:tr w:rsidRPr="007A4BFB" w:rsidR="007E27EE" w:rsidTr="4EAC0756" w14:paraId="1DDC8456" w14:textId="77777777">
        <w:tc>
          <w:tcPr>
            <w:tcW w:w="2405" w:type="dxa"/>
          </w:tcPr>
          <w:p w:rsidRPr="007A4BFB" w:rsidR="007E27EE" w:rsidP="4AA51CF6" w:rsidRDefault="007E27EE" w14:paraId="30702F69" w14:textId="77777777">
            <w:pPr>
              <w:spacing w:after="120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Uveďte dobu implementace</w:t>
            </w:r>
          </w:p>
        </w:tc>
        <w:tc>
          <w:tcPr>
            <w:tcW w:w="7223" w:type="dxa"/>
          </w:tcPr>
          <w:p w:rsidRPr="007A4BFB" w:rsidR="007E27EE" w:rsidP="4EAC0756" w:rsidRDefault="007E27EE" w14:paraId="5AD7A4DC" w14:textId="63176257">
            <w:pPr>
              <w:spacing w:after="120"/>
              <w:jc w:val="both"/>
              <w:rPr>
                <w:i/>
                <w:iCs/>
                <w:color w:val="2196FF"/>
                <w:sz w:val="20"/>
                <w:szCs w:val="20"/>
              </w:rPr>
            </w:pPr>
            <w:r w:rsidRPr="4EAC0756">
              <w:rPr>
                <w:sz w:val="20"/>
                <w:szCs w:val="20"/>
              </w:rPr>
              <w:t xml:space="preserve">Plánovaná doba realizace je </w:t>
            </w:r>
            <w:r w:rsidRPr="4EAC0756" w:rsidR="00FB1BDD">
              <w:rPr>
                <w:sz w:val="20"/>
                <w:szCs w:val="20"/>
              </w:rPr>
              <w:t>2021-202</w:t>
            </w:r>
            <w:r w:rsidRPr="4EAC0756" w:rsidR="6A69DB16">
              <w:rPr>
                <w:sz w:val="20"/>
                <w:szCs w:val="20"/>
              </w:rPr>
              <w:t>3</w:t>
            </w:r>
            <w:r w:rsidRPr="4EAC0756">
              <w:rPr>
                <w:sz w:val="20"/>
                <w:szCs w:val="20"/>
              </w:rPr>
              <w:t>.</w:t>
            </w:r>
          </w:p>
        </w:tc>
      </w:tr>
    </w:tbl>
    <w:p w:rsidRPr="007A4BFB" w:rsidR="007D49E4" w:rsidP="4AA51CF6" w:rsidRDefault="007D49E4" w14:paraId="00000119" w14:textId="77777777">
      <w:pPr>
        <w:spacing w:after="120" w:line="240" w:lineRule="auto"/>
        <w:jc w:val="both"/>
        <w:rPr>
          <w:b/>
          <w:bCs/>
          <w:sz w:val="20"/>
          <w:szCs w:val="20"/>
        </w:rPr>
      </w:pPr>
    </w:p>
    <w:p w:rsidRPr="007022F7" w:rsidR="0097007C" w:rsidP="4AA51CF6" w:rsidRDefault="00136DD0" w14:paraId="0000015A" w14:textId="1324870A">
      <w:pPr>
        <w:spacing w:after="120" w:line="240" w:lineRule="auto"/>
        <w:jc w:val="both"/>
        <w:rPr>
          <w:b/>
          <w:bCs/>
          <w:color w:val="000000" w:themeColor="text1"/>
          <w:sz w:val="20"/>
          <w:szCs w:val="20"/>
        </w:rPr>
      </w:pPr>
      <w:r w:rsidRPr="4EAC0756">
        <w:rPr>
          <w:b/>
          <w:bCs/>
          <w:color w:val="000000" w:themeColor="text1"/>
          <w:sz w:val="20"/>
          <w:szCs w:val="20"/>
        </w:rPr>
        <w:t xml:space="preserve">2.2 Podpora podnikavosti, podnikání a inovativních firem </w:t>
      </w:r>
    </w:p>
    <w:tbl>
      <w:tblPr>
        <w:tblW w:w="96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7223"/>
      </w:tblGrid>
      <w:tr w:rsidRPr="0097007C" w:rsidR="0097007C" w:rsidTr="4EAC0756" w14:paraId="72522114" w14:textId="77777777">
        <w:tc>
          <w:tcPr>
            <w:tcW w:w="2405" w:type="dxa"/>
          </w:tcPr>
          <w:p w:rsidRPr="0097007C" w:rsidR="0097007C" w:rsidP="4AA51CF6" w:rsidRDefault="0097007C" w14:paraId="57337769" w14:textId="77777777">
            <w:pPr>
              <w:spacing w:after="120" w:line="240" w:lineRule="auto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Výzva</w:t>
            </w:r>
          </w:p>
        </w:tc>
        <w:tc>
          <w:tcPr>
            <w:tcW w:w="7223" w:type="dxa"/>
          </w:tcPr>
          <w:p w:rsidRPr="0097007C" w:rsidR="0097007C" w:rsidP="4AA51CF6" w:rsidRDefault="0097007C" w14:paraId="6C78D361" w14:textId="50384BF9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Dle studií a průzkumů na středních a vysokých školách uvažuje o podnikání pouze něco mezi 2-8 %</w:t>
            </w:r>
            <w:r w:rsidRPr="4AA51CF6">
              <w:rPr>
                <w:rStyle w:val="Znakapoznpodarou"/>
                <w:sz w:val="20"/>
                <w:szCs w:val="20"/>
              </w:rPr>
              <w:footnoteReference w:id="2"/>
            </w:r>
            <w:r w:rsidRPr="4AA51CF6">
              <w:rPr>
                <w:sz w:val="20"/>
                <w:szCs w:val="20"/>
              </w:rPr>
              <w:t xml:space="preserve"> studentů. V ČR není dostatečně rozvinutá síť tzv. </w:t>
            </w:r>
            <w:proofErr w:type="spellStart"/>
            <w:r w:rsidRPr="4AA51CF6">
              <w:rPr>
                <w:sz w:val="20"/>
                <w:szCs w:val="20"/>
              </w:rPr>
              <w:t>pre</w:t>
            </w:r>
            <w:proofErr w:type="spellEnd"/>
            <w:r w:rsidRPr="4AA51CF6">
              <w:rPr>
                <w:sz w:val="20"/>
                <w:szCs w:val="20"/>
              </w:rPr>
              <w:t xml:space="preserve">-inkubačních aktivit, chybí dostatečná motivace k podnikání a podpora k zahájení podnikání. V současných programech podpory ani plánovaných není počítáno s podporou této fáze, tedy tzv. IDEA STAGE. Programy na podpory vědy, výzkumu a inovací se zaměřují na buď na vysoce </w:t>
            </w:r>
            <w:proofErr w:type="spellStart"/>
            <w:r w:rsidRPr="4AA51CF6">
              <w:rPr>
                <w:sz w:val="20"/>
                <w:szCs w:val="20"/>
              </w:rPr>
              <w:t>hi-tech</w:t>
            </w:r>
            <w:proofErr w:type="spellEnd"/>
            <w:r w:rsidRPr="4AA51CF6">
              <w:rPr>
                <w:sz w:val="20"/>
                <w:szCs w:val="20"/>
              </w:rPr>
              <w:t xml:space="preserve"> oblasti již existujících firem, případně míří na podporu výzkumných pracovišť nebo minimálně spoluřešitelští projektu s některou z výzkumných organizací. Podpora podnikavosti je dlouhodobě v ČR podceňována a v rámci krize COVID-19 dojde ještě k většímu prohloubení v této oblasti. Krize COVID-19 také negativně ovlivnila uvažování lidí pustit se do vlastního podnikání z důvodů možných rizik, zavření podnikání z důvodu vládních nařízení a dalších nejistot v post-</w:t>
            </w:r>
            <w:proofErr w:type="spellStart"/>
            <w:r w:rsidRPr="4AA51CF6">
              <w:rPr>
                <w:sz w:val="20"/>
                <w:szCs w:val="20"/>
              </w:rPr>
              <w:t>covid</w:t>
            </w:r>
            <w:proofErr w:type="spellEnd"/>
            <w:r w:rsidRPr="4AA51CF6">
              <w:rPr>
                <w:sz w:val="20"/>
                <w:szCs w:val="20"/>
              </w:rPr>
              <w:t xml:space="preserve"> době. </w:t>
            </w:r>
          </w:p>
        </w:tc>
      </w:tr>
      <w:tr w:rsidRPr="0097007C" w:rsidR="0097007C" w:rsidTr="4EAC0756" w14:paraId="3936EFE5" w14:textId="77777777">
        <w:tc>
          <w:tcPr>
            <w:tcW w:w="2405" w:type="dxa"/>
          </w:tcPr>
          <w:p w:rsidRPr="0097007C" w:rsidR="0097007C" w:rsidP="4AA51CF6" w:rsidRDefault="0097007C" w14:paraId="53CBEB62" w14:textId="77777777">
            <w:pPr>
              <w:spacing w:after="120" w:line="240" w:lineRule="auto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Cíl</w:t>
            </w:r>
          </w:p>
        </w:tc>
        <w:tc>
          <w:tcPr>
            <w:tcW w:w="7223" w:type="dxa"/>
          </w:tcPr>
          <w:p w:rsidRPr="0097007C" w:rsidR="0097007C" w:rsidP="4AA51CF6" w:rsidRDefault="0097007C" w14:paraId="5111F6D3" w14:textId="60E8231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Cílem investice je poskytnout všem zájemcům o podnikání a začínajícím podnikům kvalitní „on-</w:t>
            </w:r>
            <w:proofErr w:type="spellStart"/>
            <w:r w:rsidRPr="4AA51CF6">
              <w:rPr>
                <w:sz w:val="20"/>
                <w:szCs w:val="20"/>
              </w:rPr>
              <w:t>boarding</w:t>
            </w:r>
            <w:proofErr w:type="spellEnd"/>
            <w:r w:rsidRPr="4AA51CF6">
              <w:rPr>
                <w:sz w:val="20"/>
                <w:szCs w:val="20"/>
              </w:rPr>
              <w:t xml:space="preserve">“ podporu bez ohledu na jejich umístění v zemi, maximalizovat jejich šance na úspěšné spuštění a expanzi na lokálním trhu. Měl by tedy vzniknout dostatečně flexibilní a univerzální nástroj, který umožní validovat podnikatelský záměr, a to s </w:t>
            </w:r>
            <w:proofErr w:type="spellStart"/>
            <w:r w:rsidRPr="4AA51CF6">
              <w:rPr>
                <w:sz w:val="20"/>
                <w:szCs w:val="20"/>
              </w:rPr>
              <w:t>koučovací</w:t>
            </w:r>
            <w:proofErr w:type="spellEnd"/>
            <w:r w:rsidRPr="4AA51CF6">
              <w:rPr>
                <w:sz w:val="20"/>
                <w:szCs w:val="20"/>
              </w:rPr>
              <w:t xml:space="preserve"> podporou odborníků – tzv. projekt regionálních koordinátorů s celorepublikovým pokrytím.</w:t>
            </w:r>
            <w:r w:rsidRPr="4AA51CF6" w:rsidR="32F67264">
              <w:rPr>
                <w:sz w:val="20"/>
                <w:szCs w:val="20"/>
              </w:rPr>
              <w:t xml:space="preserve"> Zvláštní důraz bude kladen na podporu rovných příležitostí žen a mužů.</w:t>
            </w:r>
          </w:p>
        </w:tc>
      </w:tr>
      <w:tr w:rsidRPr="0097007C" w:rsidR="0097007C" w:rsidTr="4EAC0756" w14:paraId="0C234FA8" w14:textId="77777777">
        <w:tc>
          <w:tcPr>
            <w:tcW w:w="2405" w:type="dxa"/>
          </w:tcPr>
          <w:p w:rsidRPr="0097007C" w:rsidR="0097007C" w:rsidP="4AA51CF6" w:rsidRDefault="0097007C" w14:paraId="0B9DE59B" w14:textId="77777777">
            <w:pPr>
              <w:spacing w:after="120" w:line="240" w:lineRule="auto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Implementace</w:t>
            </w:r>
          </w:p>
        </w:tc>
        <w:tc>
          <w:tcPr>
            <w:tcW w:w="7223" w:type="dxa"/>
          </w:tcPr>
          <w:p w:rsidR="0004176C" w:rsidP="4AA51CF6" w:rsidRDefault="0004176C" w14:paraId="6ECC27F2" w14:textId="517B07B5">
            <w:pPr>
              <w:spacing w:line="240" w:lineRule="auto"/>
              <w:jc w:val="both"/>
              <w:rPr>
                <w:color w:val="000000"/>
                <w:spacing w:val="6"/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 xml:space="preserve">Navržené aktivity vycházejí ze zkušeností projektu </w:t>
            </w:r>
            <w:proofErr w:type="spellStart"/>
            <w:r w:rsidRPr="4AA51CF6">
              <w:rPr>
                <w:sz w:val="20"/>
                <w:szCs w:val="20"/>
              </w:rPr>
              <w:t>CzechEkosystem</w:t>
            </w:r>
            <w:proofErr w:type="spellEnd"/>
            <w:r w:rsidRPr="4AA51CF6">
              <w:rPr>
                <w:sz w:val="20"/>
                <w:szCs w:val="20"/>
              </w:rPr>
              <w:t xml:space="preserve"> realizovaný Agenturou </w:t>
            </w:r>
            <w:proofErr w:type="spellStart"/>
            <w:r w:rsidRPr="4AA51CF6">
              <w:rPr>
                <w:sz w:val="20"/>
                <w:szCs w:val="20"/>
              </w:rPr>
              <w:t>CzechInvest</w:t>
            </w:r>
            <w:proofErr w:type="spellEnd"/>
            <w:r w:rsidRPr="4AA51CF6">
              <w:rPr>
                <w:sz w:val="20"/>
                <w:szCs w:val="20"/>
              </w:rPr>
              <w:t xml:space="preserve"> v letech 2011-2015. </w:t>
            </w:r>
            <w:r w:rsidRPr="4AA51CF6">
              <w:rPr>
                <w:color w:val="000000"/>
                <w:spacing w:val="6"/>
                <w:sz w:val="20"/>
                <w:szCs w:val="20"/>
              </w:rPr>
              <w:t xml:space="preserve">Projekt nabízel začínajícím MSP specializované poradenství v oblasti inovačního podnikání, rozvoje byznysu a </w:t>
            </w:r>
            <w:r w:rsidRPr="4AA51CF6">
              <w:rPr>
                <w:color w:val="000000"/>
                <w:spacing w:val="6"/>
                <w:sz w:val="20"/>
                <w:szCs w:val="20"/>
              </w:rPr>
              <w:lastRenderedPageBreak/>
              <w:t>předávání praktických zkušenosti se zahájením podnikání a jeho rozjezdem. Podpořeno bylo 111 firem.</w:t>
            </w:r>
          </w:p>
          <w:p w:rsidR="0004176C" w:rsidP="4AA51CF6" w:rsidRDefault="0004176C" w14:paraId="77E38B55" w14:textId="1AC77F0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 xml:space="preserve">Cílová skupina u většiny projektů musí mít podmínku založení firmy (tedy IČ) a je zohledňováno finančního zdraví žadatelů. V rámci první validace v rozsahu cca 2-30 hodin bude posouzeno, zda má podnikatelský záměr </w:t>
            </w:r>
            <w:proofErr w:type="spellStart"/>
            <w:r w:rsidRPr="4AA51CF6">
              <w:rPr>
                <w:sz w:val="20"/>
                <w:szCs w:val="20"/>
              </w:rPr>
              <w:t>byznysový</w:t>
            </w:r>
            <w:proofErr w:type="spellEnd"/>
            <w:r w:rsidRPr="4AA51CF6">
              <w:rPr>
                <w:sz w:val="20"/>
                <w:szCs w:val="20"/>
              </w:rPr>
              <w:t xml:space="preserve"> potenciál a je vhodné např. doporučit služby mentora s odpovídající odborností/zkušeností a vstup do dalších programů podpory. Validace a konzultační služby by byly poskytovány prostřednictvím již existujících regionálních inovačních / obchodních center (spolufinancovaných regionálními vládami), kteří budou příjemci dotace a podporu budou dále poskytovat zájemcům o podnikání. Služby budou poskytovat jak interní zaměstnanci centra/inkubátoru, tak mentoři a experti z databáze daného centra, čím bude zabezpečena kvalita poskytovaných služeb), případně budou tyto osoby najímány až na základě specifických potřeb klientů identifikovaných při prvotní validaci. V praxi tedy dojde k založení firmy až po prvních konzultacích nebo bude podpory poskytováno nedávno založeným firmám, které ještě nemají zcela zhodnocený byznys potenciál svého podnikání. Dotace by tedy měla zahrnovat i režijní náklady inovačních center / inkubátorů, bez které není možné takovou podporu poskytovat dále zájemcům/firmám. Tato strategie odráží přesvědčení, že dobře fungující národní inovační ekosystém musí být založen na místním poskytování služeb (zásada subsidiarity, snadný přístup k začínajícím podnikatelům a vytvořená odpovídající kapacita po celé zemi).</w:t>
            </w:r>
          </w:p>
          <w:p w:rsidRPr="0097007C" w:rsidR="0097007C" w:rsidP="4AA51CF6" w:rsidRDefault="0004176C" w14:paraId="5BBA10CC" w14:textId="1EE8DE2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Podpora bude poskytnuta prostřednictvím d</w:t>
            </w:r>
            <w:r w:rsidRPr="4AA51CF6" w:rsidR="0097007C">
              <w:rPr>
                <w:sz w:val="20"/>
                <w:szCs w:val="20"/>
              </w:rPr>
              <w:t>otační</w:t>
            </w:r>
            <w:r w:rsidRPr="4AA51CF6">
              <w:rPr>
                <w:sz w:val="20"/>
                <w:szCs w:val="20"/>
              </w:rPr>
              <w:t>ho</w:t>
            </w:r>
            <w:r w:rsidRPr="4AA51CF6" w:rsidR="0097007C">
              <w:rPr>
                <w:sz w:val="20"/>
                <w:szCs w:val="20"/>
              </w:rPr>
              <w:t xml:space="preserve"> program</w:t>
            </w:r>
            <w:r w:rsidRPr="4AA51CF6">
              <w:rPr>
                <w:sz w:val="20"/>
                <w:szCs w:val="20"/>
              </w:rPr>
              <w:t>u</w:t>
            </w:r>
            <w:r w:rsidRPr="4AA51CF6" w:rsidR="0097007C">
              <w:rPr>
                <w:sz w:val="20"/>
                <w:szCs w:val="20"/>
              </w:rPr>
              <w:t xml:space="preserve"> pro subjekty, které chtějí provádět osvětu s podmínkou </w:t>
            </w:r>
            <w:r w:rsidRPr="4AA51CF6">
              <w:rPr>
                <w:sz w:val="20"/>
                <w:szCs w:val="20"/>
              </w:rPr>
              <w:t xml:space="preserve">jednoho </w:t>
            </w:r>
            <w:r w:rsidRPr="4AA51CF6" w:rsidR="0097007C">
              <w:rPr>
                <w:sz w:val="20"/>
                <w:szCs w:val="20"/>
              </w:rPr>
              <w:t>projekt</w:t>
            </w:r>
            <w:r w:rsidRPr="4AA51CF6">
              <w:rPr>
                <w:sz w:val="20"/>
                <w:szCs w:val="20"/>
              </w:rPr>
              <w:t>u</w:t>
            </w:r>
            <w:r w:rsidRPr="4AA51CF6" w:rsidR="0097007C">
              <w:rPr>
                <w:sz w:val="20"/>
                <w:szCs w:val="20"/>
              </w:rPr>
              <w:t xml:space="preserve"> na kraj, tedy </w:t>
            </w:r>
            <w:r w:rsidRPr="4AA51CF6" w:rsidR="7561C32A">
              <w:rPr>
                <w:sz w:val="20"/>
                <w:szCs w:val="20"/>
              </w:rPr>
              <w:t>r</w:t>
            </w:r>
            <w:r w:rsidRPr="4AA51CF6" w:rsidR="0097007C">
              <w:rPr>
                <w:sz w:val="20"/>
                <w:szCs w:val="20"/>
              </w:rPr>
              <w:t>egionální inovační centra a inkubátory.</w:t>
            </w:r>
          </w:p>
        </w:tc>
      </w:tr>
      <w:tr w:rsidRPr="0097007C" w:rsidR="0097007C" w:rsidTr="4EAC0756" w14:paraId="4A62A4AC" w14:textId="77777777">
        <w:trPr>
          <w:trHeight w:val="70"/>
        </w:trPr>
        <w:tc>
          <w:tcPr>
            <w:tcW w:w="2405" w:type="dxa"/>
          </w:tcPr>
          <w:p w:rsidRPr="0097007C" w:rsidR="0097007C" w:rsidP="4AA51CF6" w:rsidRDefault="0097007C" w14:paraId="41B3A8F0" w14:textId="77777777">
            <w:pPr>
              <w:spacing w:after="120" w:line="240" w:lineRule="auto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lastRenderedPageBreak/>
              <w:t>Spolupráce a zapojení zúčastněných stran</w:t>
            </w:r>
          </w:p>
        </w:tc>
        <w:tc>
          <w:tcPr>
            <w:tcW w:w="7223" w:type="dxa"/>
          </w:tcPr>
          <w:p w:rsidRPr="0097007C" w:rsidR="0097007C" w:rsidP="4AA51CF6" w:rsidRDefault="0097007C" w14:paraId="2464CEEA" w14:textId="7777777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 xml:space="preserve">V kraji se vytvoří buď konsorcium subjektů inovačního ekosystému (nebo jeden žadatel, kde nebude možné konsorcium vytvořit), které podá žádost o víceletý grant na provozní financování. V rámci své žádosti si určí, jakých hodnot v jednotlivých kategoriích výsledků chce dosahovat. Od toho se bude dále odvíjet počet FTE a výše financování, které bude možné získat. Kontrolu poskytovaných služeb a přenos </w:t>
            </w:r>
            <w:proofErr w:type="spellStart"/>
            <w:r w:rsidRPr="4AA51CF6">
              <w:rPr>
                <w:sz w:val="20"/>
                <w:szCs w:val="20"/>
              </w:rPr>
              <w:t>best</w:t>
            </w:r>
            <w:proofErr w:type="spellEnd"/>
            <w:r w:rsidRPr="4AA51CF6">
              <w:rPr>
                <w:sz w:val="20"/>
                <w:szCs w:val="20"/>
              </w:rPr>
              <w:t xml:space="preserve"> </w:t>
            </w:r>
            <w:proofErr w:type="spellStart"/>
            <w:r w:rsidRPr="4AA51CF6">
              <w:rPr>
                <w:sz w:val="20"/>
                <w:szCs w:val="20"/>
              </w:rPr>
              <w:t>practise</w:t>
            </w:r>
            <w:proofErr w:type="spellEnd"/>
            <w:r w:rsidRPr="4AA51CF6">
              <w:rPr>
                <w:sz w:val="20"/>
                <w:szCs w:val="20"/>
              </w:rPr>
              <w:t xml:space="preserve"> mezi subjekty bude zajišťovat Agentura </w:t>
            </w:r>
            <w:proofErr w:type="spellStart"/>
            <w:r w:rsidRPr="4AA51CF6">
              <w:rPr>
                <w:sz w:val="20"/>
                <w:szCs w:val="20"/>
              </w:rPr>
              <w:t>CzechInvest</w:t>
            </w:r>
            <w:proofErr w:type="spellEnd"/>
            <w:r w:rsidRPr="4AA51CF6">
              <w:rPr>
                <w:sz w:val="20"/>
                <w:szCs w:val="20"/>
              </w:rPr>
              <w:t xml:space="preserve"> na základě </w:t>
            </w:r>
            <w:proofErr w:type="spellStart"/>
            <w:r w:rsidRPr="4AA51CF6">
              <w:rPr>
                <w:sz w:val="20"/>
                <w:szCs w:val="20"/>
              </w:rPr>
              <w:t>Benchmarku</w:t>
            </w:r>
            <w:proofErr w:type="spellEnd"/>
            <w:r w:rsidRPr="4AA51CF6">
              <w:rPr>
                <w:sz w:val="20"/>
                <w:szCs w:val="20"/>
              </w:rPr>
              <w:t xml:space="preserve"> inovačních infrastruktur, na kterém se nyní pracuje a bude spuštěn v roce 2021.</w:t>
            </w:r>
          </w:p>
        </w:tc>
      </w:tr>
      <w:tr w:rsidRPr="0097007C" w:rsidR="0097007C" w:rsidTr="4EAC0756" w14:paraId="3789BB99" w14:textId="77777777">
        <w:tc>
          <w:tcPr>
            <w:tcW w:w="2405" w:type="dxa"/>
          </w:tcPr>
          <w:p w:rsidRPr="0097007C" w:rsidR="0097007C" w:rsidP="4AA51CF6" w:rsidRDefault="0097007C" w14:paraId="45544721" w14:textId="77777777">
            <w:pPr>
              <w:spacing w:after="120" w:line="240" w:lineRule="auto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Překážky a rizika</w:t>
            </w:r>
          </w:p>
        </w:tc>
        <w:tc>
          <w:tcPr>
            <w:tcW w:w="7223" w:type="dxa"/>
          </w:tcPr>
          <w:p w:rsidRPr="0097007C" w:rsidR="0097007C" w:rsidP="4AA51CF6" w:rsidRDefault="0097007C" w14:paraId="4D39A55D" w14:textId="5FECF8C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 xml:space="preserve">Nedostatečně rozvinutá síť </w:t>
            </w:r>
            <w:proofErr w:type="spellStart"/>
            <w:r w:rsidRPr="4AA51CF6">
              <w:rPr>
                <w:sz w:val="20"/>
                <w:szCs w:val="20"/>
              </w:rPr>
              <w:t>pre</w:t>
            </w:r>
            <w:proofErr w:type="spellEnd"/>
            <w:r w:rsidRPr="4AA51CF6">
              <w:rPr>
                <w:sz w:val="20"/>
                <w:szCs w:val="20"/>
              </w:rPr>
              <w:t>-inkubačních aktivit; Nedostatek kvalifikovaných konzultantů, odborníků, nedostatek vhodných partnerů v regionech, nedostatečná vůle ze strany místních samospráv a škol o spolupráci, Nepřehlednost systému podpory, kam se mohou začínající inovativní projekty obracet. Rozdrobenost know-how a jeho velmi různorodá kvalita napříč ČR.</w:t>
            </w:r>
          </w:p>
        </w:tc>
      </w:tr>
      <w:tr w:rsidRPr="0097007C" w:rsidR="0097007C" w:rsidTr="4EAC0756" w14:paraId="026AF35D" w14:textId="77777777">
        <w:tc>
          <w:tcPr>
            <w:tcW w:w="2405" w:type="dxa"/>
          </w:tcPr>
          <w:p w:rsidRPr="0097007C" w:rsidR="0097007C" w:rsidP="4AA51CF6" w:rsidRDefault="0097007C" w14:paraId="39EEBC1E" w14:textId="77777777">
            <w:pPr>
              <w:spacing w:after="120" w:line="240" w:lineRule="auto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Cílové skupiny populace a ekonomické subjekty</w:t>
            </w:r>
          </w:p>
        </w:tc>
        <w:tc>
          <w:tcPr>
            <w:tcW w:w="7223" w:type="dxa"/>
          </w:tcPr>
          <w:p w:rsidRPr="0097007C" w:rsidR="0097007C" w:rsidP="4AA51CF6" w:rsidRDefault="0097007C" w14:paraId="16B39515" w14:textId="50FC85F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 xml:space="preserve">Začínající podnikatelé </w:t>
            </w:r>
            <w:r w:rsidRPr="4AA51CF6" w:rsidR="00A67E3E">
              <w:rPr>
                <w:sz w:val="20"/>
                <w:szCs w:val="20"/>
              </w:rPr>
              <w:t>tedy – lidé</w:t>
            </w:r>
            <w:r w:rsidRPr="4AA51CF6">
              <w:rPr>
                <w:sz w:val="20"/>
                <w:szCs w:val="20"/>
              </w:rPr>
              <w:t xml:space="preserve"> s potenciálem (studenti, zaměstnanci, manažeři, akademici apod.), kteří se mohou zajímat o podnikání (bez rozdílu). Cílem investice je podpora + 1500 podnikatelských nápadů ročně v rámci </w:t>
            </w:r>
            <w:proofErr w:type="spellStart"/>
            <w:r w:rsidRPr="4AA51CF6">
              <w:rPr>
                <w:sz w:val="20"/>
                <w:szCs w:val="20"/>
              </w:rPr>
              <w:t>preinkubačních</w:t>
            </w:r>
            <w:proofErr w:type="spellEnd"/>
            <w:r w:rsidRPr="4AA51CF6">
              <w:rPr>
                <w:sz w:val="20"/>
                <w:szCs w:val="20"/>
              </w:rPr>
              <w:t xml:space="preserve"> aktivit (max. 30 hodin konzultací/firmu/tým) a podpora 150 firem v rámci inkubačních aktivit (max. 0,5 mil. Kč na firmu).</w:t>
            </w:r>
          </w:p>
        </w:tc>
      </w:tr>
      <w:tr w:rsidRPr="0097007C" w:rsidR="0097007C" w:rsidTr="4EAC0756" w14:paraId="35161AE2" w14:textId="77777777">
        <w:tc>
          <w:tcPr>
            <w:tcW w:w="2405" w:type="dxa"/>
          </w:tcPr>
          <w:p w:rsidRPr="0097007C" w:rsidR="0097007C" w:rsidP="4AA51CF6" w:rsidRDefault="0097007C" w14:paraId="5C06FB1E" w14:textId="77777777">
            <w:pPr>
              <w:spacing w:after="120" w:line="240" w:lineRule="auto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Souhrnné náklady realizace financované z RRF za celé období</w:t>
            </w:r>
          </w:p>
        </w:tc>
        <w:tc>
          <w:tcPr>
            <w:tcW w:w="7223" w:type="dxa"/>
          </w:tcPr>
          <w:p w:rsidRPr="0097007C" w:rsidR="0097007C" w:rsidP="4AA51CF6" w:rsidRDefault="0097007C" w14:paraId="12DCA0EB" w14:textId="7B5D3F8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4EAC0756">
              <w:rPr>
                <w:sz w:val="20"/>
                <w:szCs w:val="20"/>
              </w:rPr>
              <w:t>Investice potřebná pro naplnění výše uvedeného cíle počítá s náklady 150 mil. Kč v období 2021-202</w:t>
            </w:r>
            <w:r w:rsidRPr="4EAC0756" w:rsidR="648776D4">
              <w:rPr>
                <w:sz w:val="20"/>
                <w:szCs w:val="20"/>
              </w:rPr>
              <w:t>4</w:t>
            </w:r>
            <w:r w:rsidRPr="4EAC0756">
              <w:rPr>
                <w:sz w:val="20"/>
                <w:szCs w:val="20"/>
              </w:rPr>
              <w:t>.</w:t>
            </w:r>
          </w:p>
        </w:tc>
      </w:tr>
      <w:tr w:rsidRPr="0097007C" w:rsidR="0097007C" w:rsidTr="4EAC0756" w14:paraId="76BB053A" w14:textId="77777777">
        <w:tc>
          <w:tcPr>
            <w:tcW w:w="2405" w:type="dxa"/>
          </w:tcPr>
          <w:p w:rsidRPr="0097007C" w:rsidR="0097007C" w:rsidP="4AA51CF6" w:rsidRDefault="0097007C" w14:paraId="2C121CD4" w14:textId="77777777">
            <w:pPr>
              <w:spacing w:after="120" w:line="240" w:lineRule="auto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Dodržování pravidel státní podpory</w:t>
            </w:r>
          </w:p>
        </w:tc>
        <w:tc>
          <w:tcPr>
            <w:tcW w:w="7223" w:type="dxa"/>
          </w:tcPr>
          <w:p w:rsidRPr="0097007C" w:rsidR="0097007C" w:rsidP="4AA51CF6" w:rsidRDefault="0097007C" w14:paraId="4DE8CADB" w14:textId="41DFDF81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Veškerá veřejná podpora bude</w:t>
            </w:r>
            <w:r w:rsidRPr="4AA51CF6" w:rsidR="0004176C">
              <w:rPr>
                <w:sz w:val="20"/>
                <w:szCs w:val="20"/>
              </w:rPr>
              <w:t xml:space="preserve"> poskytnuta v rámci de </w:t>
            </w:r>
            <w:proofErr w:type="spellStart"/>
            <w:r w:rsidRPr="4AA51CF6" w:rsidR="00A67E3E">
              <w:rPr>
                <w:sz w:val="20"/>
                <w:szCs w:val="20"/>
              </w:rPr>
              <w:t>minimis</w:t>
            </w:r>
            <w:proofErr w:type="spellEnd"/>
            <w:r w:rsidRPr="4AA51CF6" w:rsidR="00A67E3E">
              <w:rPr>
                <w:sz w:val="20"/>
                <w:szCs w:val="20"/>
              </w:rPr>
              <w:t>.</w:t>
            </w:r>
          </w:p>
        </w:tc>
      </w:tr>
      <w:tr w:rsidRPr="0097007C" w:rsidR="0097007C" w:rsidTr="4EAC0756" w14:paraId="35E2E870" w14:textId="77777777">
        <w:tc>
          <w:tcPr>
            <w:tcW w:w="2405" w:type="dxa"/>
          </w:tcPr>
          <w:p w:rsidRPr="0097007C" w:rsidR="0097007C" w:rsidP="4AA51CF6" w:rsidRDefault="0097007C" w14:paraId="7FC481D2" w14:textId="77777777">
            <w:pPr>
              <w:spacing w:after="120" w:line="240" w:lineRule="auto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Uveďte dobu implementace</w:t>
            </w:r>
          </w:p>
        </w:tc>
        <w:tc>
          <w:tcPr>
            <w:tcW w:w="7223" w:type="dxa"/>
          </w:tcPr>
          <w:p w:rsidRPr="0097007C" w:rsidR="0097007C" w:rsidP="4AA51CF6" w:rsidRDefault="0097007C" w14:paraId="30B549F4" w14:textId="1109823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Plánovaná doba realizace je 30 měsíců.</w:t>
            </w:r>
            <w:r w:rsidR="001222D7">
              <w:rPr>
                <w:sz w:val="20"/>
                <w:szCs w:val="20"/>
              </w:rPr>
              <w:t xml:space="preserve"> </w:t>
            </w:r>
            <w:r w:rsidRPr="001222D7" w:rsidR="001222D7">
              <w:rPr>
                <w:sz w:val="20"/>
                <w:szCs w:val="20"/>
              </w:rPr>
              <w:t>Investice bude dokončena do 31. prosince 2024.</w:t>
            </w:r>
          </w:p>
        </w:tc>
      </w:tr>
    </w:tbl>
    <w:p w:rsidR="000A579A" w:rsidP="000A579A" w:rsidRDefault="000A579A" w14:paraId="047EA7CC" w14:textId="77777777">
      <w:pPr>
        <w:spacing w:line="240" w:lineRule="auto"/>
        <w:rPr>
          <w:b/>
          <w:bCs/>
          <w:sz w:val="20"/>
          <w:szCs w:val="20"/>
        </w:rPr>
      </w:pPr>
    </w:p>
    <w:p w:rsidRPr="0097007C" w:rsidR="007D49E4" w:rsidP="000A579A" w:rsidRDefault="0097007C" w14:paraId="1B24D5B6" w14:textId="1B02D8DC">
      <w:pPr>
        <w:spacing w:line="240" w:lineRule="auto"/>
        <w:rPr>
          <w:b/>
          <w:bCs/>
          <w:sz w:val="20"/>
          <w:szCs w:val="20"/>
        </w:rPr>
      </w:pPr>
      <w:r w:rsidRPr="4EAC0756">
        <w:rPr>
          <w:b/>
          <w:bCs/>
          <w:sz w:val="20"/>
          <w:szCs w:val="20"/>
        </w:rPr>
        <w:lastRenderedPageBreak/>
        <w:t xml:space="preserve">2.3 </w:t>
      </w:r>
      <w:r w:rsidRPr="4EAC0756" w:rsidR="6A4AE3E1">
        <w:rPr>
          <w:b/>
          <w:bCs/>
          <w:sz w:val="20"/>
          <w:szCs w:val="20"/>
        </w:rPr>
        <w:t xml:space="preserve">Pilotní </w:t>
      </w:r>
      <w:proofErr w:type="spellStart"/>
      <w:r w:rsidRPr="4EAC0756" w:rsidR="4E48DA46">
        <w:rPr>
          <w:b/>
          <w:bCs/>
          <w:sz w:val="20"/>
          <w:szCs w:val="20"/>
        </w:rPr>
        <w:t>koinvestiční</w:t>
      </w:r>
      <w:proofErr w:type="spellEnd"/>
      <w:r w:rsidRPr="4EAC0756" w:rsidR="4E48DA46">
        <w:rPr>
          <w:b/>
          <w:bCs/>
          <w:sz w:val="20"/>
          <w:szCs w:val="20"/>
        </w:rPr>
        <w:t xml:space="preserve"> </w:t>
      </w:r>
      <w:r w:rsidRPr="4EAC0756" w:rsidR="6A4AE3E1">
        <w:rPr>
          <w:b/>
          <w:bCs/>
          <w:sz w:val="20"/>
          <w:szCs w:val="20"/>
        </w:rPr>
        <w:t>f</w:t>
      </w:r>
      <w:r w:rsidRPr="4EAC0756">
        <w:rPr>
          <w:b/>
          <w:bCs/>
          <w:sz w:val="20"/>
          <w:szCs w:val="20"/>
        </w:rPr>
        <w:t xml:space="preserve">ondy pro rozvoj </w:t>
      </w:r>
      <w:proofErr w:type="spellStart"/>
      <w:r w:rsidRPr="4EAC0756">
        <w:rPr>
          <w:b/>
          <w:bCs/>
          <w:sz w:val="20"/>
          <w:szCs w:val="20"/>
        </w:rPr>
        <w:t>pre</w:t>
      </w:r>
      <w:r w:rsidRPr="4EAC0756" w:rsidR="27953BDC">
        <w:rPr>
          <w:b/>
          <w:bCs/>
          <w:sz w:val="20"/>
          <w:szCs w:val="20"/>
        </w:rPr>
        <w:t>-</w:t>
      </w:r>
      <w:r w:rsidRPr="4EAC0756">
        <w:rPr>
          <w:b/>
          <w:bCs/>
          <w:sz w:val="20"/>
          <w:szCs w:val="20"/>
        </w:rPr>
        <w:t>seedových</w:t>
      </w:r>
      <w:proofErr w:type="spellEnd"/>
      <w:r w:rsidRPr="4EAC0756">
        <w:rPr>
          <w:b/>
          <w:bCs/>
          <w:sz w:val="20"/>
          <w:szCs w:val="20"/>
        </w:rPr>
        <w:t xml:space="preserve"> investic, strategických technologií a univerzitních spin-</w:t>
      </w:r>
      <w:proofErr w:type="spellStart"/>
      <w:r w:rsidRPr="4EAC0756">
        <w:rPr>
          <w:b/>
          <w:bCs/>
          <w:sz w:val="20"/>
          <w:szCs w:val="20"/>
        </w:rPr>
        <w:t>offů</w:t>
      </w:r>
      <w:proofErr w:type="spellEnd"/>
      <w:r w:rsidRPr="4EAC0756">
        <w:rPr>
          <w:b/>
          <w:bCs/>
          <w:sz w:val="20"/>
          <w:szCs w:val="20"/>
        </w:rPr>
        <w:t xml:space="preserve"> v rámci Evropských center excelence</w:t>
      </w:r>
    </w:p>
    <w:tbl>
      <w:tblPr>
        <w:tblStyle w:val="aa"/>
        <w:tblW w:w="96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7223"/>
      </w:tblGrid>
      <w:tr w:rsidRPr="007A4BFB" w:rsidR="007D49E4" w:rsidTr="4AA51CF6" w14:paraId="7EDF9540" w14:textId="77777777">
        <w:tc>
          <w:tcPr>
            <w:tcW w:w="2405" w:type="dxa"/>
          </w:tcPr>
          <w:p w:rsidRPr="007A4BFB" w:rsidR="007D49E4" w:rsidP="4AA51CF6" w:rsidRDefault="00603083" w14:paraId="0000015B" w14:textId="77777777">
            <w:pPr>
              <w:spacing w:after="120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Výzva</w:t>
            </w:r>
          </w:p>
        </w:tc>
        <w:tc>
          <w:tcPr>
            <w:tcW w:w="7223" w:type="dxa"/>
          </w:tcPr>
          <w:p w:rsidRPr="007A4BFB" w:rsidR="007D49E4" w:rsidP="4AA51CF6" w:rsidRDefault="00603083" w14:paraId="0000015D" w14:textId="35AF69A4">
            <w:pPr>
              <w:spacing w:after="120"/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 xml:space="preserve">V ČR </w:t>
            </w:r>
            <w:r w:rsidRPr="4AA51CF6" w:rsidR="7EDE5C64">
              <w:rPr>
                <w:sz w:val="20"/>
                <w:szCs w:val="20"/>
              </w:rPr>
              <w:t xml:space="preserve">dochází k tržnímu selhání v důležité </w:t>
            </w:r>
            <w:r w:rsidRPr="4AA51CF6">
              <w:rPr>
                <w:sz w:val="20"/>
                <w:szCs w:val="20"/>
              </w:rPr>
              <w:t>oblast</w:t>
            </w:r>
            <w:r w:rsidRPr="4AA51CF6" w:rsidR="7EDE5C64">
              <w:rPr>
                <w:sz w:val="20"/>
                <w:szCs w:val="20"/>
              </w:rPr>
              <w:t>i</w:t>
            </w:r>
            <w:r w:rsidRPr="4AA51CF6">
              <w:rPr>
                <w:sz w:val="20"/>
                <w:szCs w:val="20"/>
              </w:rPr>
              <w:t xml:space="preserve"> </w:t>
            </w:r>
            <w:proofErr w:type="spellStart"/>
            <w:r w:rsidRPr="4AA51CF6">
              <w:rPr>
                <w:sz w:val="20"/>
                <w:szCs w:val="20"/>
              </w:rPr>
              <w:t>pre</w:t>
            </w:r>
            <w:proofErr w:type="spellEnd"/>
            <w:r w:rsidRPr="4AA51CF6">
              <w:rPr>
                <w:sz w:val="20"/>
                <w:szCs w:val="20"/>
              </w:rPr>
              <w:t>/</w:t>
            </w:r>
            <w:proofErr w:type="spellStart"/>
            <w:r w:rsidRPr="4AA51CF6">
              <w:rPr>
                <w:sz w:val="20"/>
                <w:szCs w:val="20"/>
              </w:rPr>
              <w:t>seedových</w:t>
            </w:r>
            <w:proofErr w:type="spellEnd"/>
            <w:r w:rsidRPr="4AA51CF6">
              <w:rPr>
                <w:sz w:val="20"/>
                <w:szCs w:val="20"/>
              </w:rPr>
              <w:t xml:space="preserve"> investic, které jsou pro stávající investory příliš rizikové a poskytují nízkou návratnost. </w:t>
            </w:r>
            <w:r w:rsidRPr="4AA51CF6" w:rsidR="3F4FE127">
              <w:rPr>
                <w:sz w:val="20"/>
                <w:szCs w:val="20"/>
              </w:rPr>
              <w:t>Jeho p</w:t>
            </w:r>
            <w:r w:rsidRPr="4AA51CF6">
              <w:rPr>
                <w:sz w:val="20"/>
                <w:szCs w:val="20"/>
              </w:rPr>
              <w:t xml:space="preserve">odpora výrazně kultivuje ekosystém </w:t>
            </w:r>
            <w:r w:rsidRPr="4AA51CF6" w:rsidR="3F4FE127">
              <w:rPr>
                <w:sz w:val="20"/>
                <w:szCs w:val="20"/>
              </w:rPr>
              <w:t xml:space="preserve">rizikového kapitálu (venture </w:t>
            </w:r>
            <w:proofErr w:type="spellStart"/>
            <w:r w:rsidRPr="4AA51CF6" w:rsidR="3F4FE127">
              <w:rPr>
                <w:sz w:val="20"/>
                <w:szCs w:val="20"/>
              </w:rPr>
              <w:t>capital</w:t>
            </w:r>
            <w:proofErr w:type="spellEnd"/>
            <w:r w:rsidRPr="4AA51CF6" w:rsidR="3F4FE127">
              <w:rPr>
                <w:sz w:val="20"/>
                <w:szCs w:val="20"/>
              </w:rPr>
              <w:t xml:space="preserve"> – </w:t>
            </w:r>
            <w:r w:rsidRPr="4AA51CF6">
              <w:rPr>
                <w:sz w:val="20"/>
                <w:szCs w:val="20"/>
              </w:rPr>
              <w:t>VC</w:t>
            </w:r>
            <w:r w:rsidRPr="4AA51CF6" w:rsidR="3F4FE127">
              <w:rPr>
                <w:sz w:val="20"/>
                <w:szCs w:val="20"/>
              </w:rPr>
              <w:t>)</w:t>
            </w:r>
            <w:r w:rsidRPr="4AA51CF6">
              <w:rPr>
                <w:sz w:val="20"/>
                <w:szCs w:val="20"/>
              </w:rPr>
              <w:t xml:space="preserve"> v této oblasti, umožní vznik nových subjektů a podpoří nové projekty pro budoucí prosperitu ČR. </w:t>
            </w:r>
            <w:r w:rsidRPr="4AA51CF6" w:rsidR="7EDE5C64">
              <w:rPr>
                <w:sz w:val="20"/>
                <w:szCs w:val="20"/>
              </w:rPr>
              <w:t>Ve vybraných klíčových technologiích a technologiích strategické důležitosti je třeba podpořit projekty v prvotní fázi se zvýhodněnými podmínkami s cílem rozvoje a udržení těchto technologických firem v ČR/EU a podpořit cíle soběstačnosti, bezpečnosti a odolnosti (</w:t>
            </w:r>
            <w:proofErr w:type="spellStart"/>
            <w:r w:rsidRPr="4AA51CF6" w:rsidR="7EDE5C64">
              <w:rPr>
                <w:sz w:val="20"/>
                <w:szCs w:val="20"/>
              </w:rPr>
              <w:t>resilience</w:t>
            </w:r>
            <w:proofErr w:type="spellEnd"/>
            <w:r w:rsidRPr="4AA51CF6" w:rsidR="7EDE5C64">
              <w:rPr>
                <w:sz w:val="20"/>
                <w:szCs w:val="20"/>
              </w:rPr>
              <w:t xml:space="preserve">). </w:t>
            </w:r>
            <w:r w:rsidRPr="4AA51CF6" w:rsidR="014D5E14">
              <w:rPr>
                <w:sz w:val="20"/>
                <w:szCs w:val="20"/>
              </w:rPr>
              <w:t xml:space="preserve">Evropská komise sama v revizi Koordinovaného plánu pro AI navrhuje </w:t>
            </w:r>
            <w:r w:rsidRPr="4AA51CF6" w:rsidR="00A67E3E">
              <w:rPr>
                <w:sz w:val="20"/>
                <w:szCs w:val="20"/>
              </w:rPr>
              <w:t xml:space="preserve">navíc </w:t>
            </w:r>
            <w:r w:rsidRPr="4AA51CF6" w:rsidR="014D5E14">
              <w:rPr>
                <w:sz w:val="20"/>
                <w:szCs w:val="20"/>
              </w:rPr>
              <w:t xml:space="preserve">posílit podporu a financování investičních fondů do AI a </w:t>
            </w:r>
            <w:proofErr w:type="spellStart"/>
            <w:r w:rsidRPr="4AA51CF6" w:rsidR="014D5E14">
              <w:rPr>
                <w:sz w:val="20"/>
                <w:szCs w:val="20"/>
              </w:rPr>
              <w:t>blockchainu</w:t>
            </w:r>
            <w:proofErr w:type="spellEnd"/>
            <w:r w:rsidRPr="4AA51CF6" w:rsidR="014D5E14">
              <w:rPr>
                <w:sz w:val="20"/>
                <w:szCs w:val="20"/>
              </w:rPr>
              <w:t xml:space="preserve">. Druhá fáze od roku 2021-2027, se zaměří na rozvoj investiční platformy prostřednictvím programu </w:t>
            </w:r>
            <w:proofErr w:type="spellStart"/>
            <w:r w:rsidRPr="4AA51CF6" w:rsidR="014D5E14">
              <w:rPr>
                <w:sz w:val="20"/>
                <w:szCs w:val="20"/>
              </w:rPr>
              <w:t>InvestEU</w:t>
            </w:r>
            <w:proofErr w:type="spellEnd"/>
            <w:r w:rsidRPr="4AA51CF6" w:rsidR="014D5E14">
              <w:rPr>
                <w:sz w:val="20"/>
                <w:szCs w:val="20"/>
              </w:rPr>
              <w:t xml:space="preserve"> a většího partnerství s EK, členskými státy a případně dalšími veřejnými a soukromými finančními institucemi. Během druhé fáze se plánuje rozšířit investiční fond na plně rozvinutou investiční platformu s financováním 1–2 miliardy </w:t>
            </w:r>
            <w:r w:rsidRPr="4AA51CF6" w:rsidR="7EDE5C64">
              <w:rPr>
                <w:sz w:val="20"/>
                <w:szCs w:val="20"/>
              </w:rPr>
              <w:t>euro</w:t>
            </w:r>
            <w:r w:rsidRPr="4AA51CF6" w:rsidR="014D5E14">
              <w:rPr>
                <w:sz w:val="20"/>
                <w:szCs w:val="20"/>
              </w:rPr>
              <w:t xml:space="preserve">. Členské státy se </w:t>
            </w:r>
            <w:r w:rsidRPr="4AA51CF6" w:rsidR="3467C446">
              <w:rPr>
                <w:sz w:val="20"/>
                <w:szCs w:val="20"/>
              </w:rPr>
              <w:t xml:space="preserve">pak </w:t>
            </w:r>
            <w:r w:rsidRPr="4AA51CF6" w:rsidR="014D5E14">
              <w:rPr>
                <w:sz w:val="20"/>
                <w:szCs w:val="20"/>
              </w:rPr>
              <w:t>mají zaměřit n</w:t>
            </w:r>
            <w:r w:rsidRPr="4AA51CF6" w:rsidR="7EDE5C64">
              <w:rPr>
                <w:sz w:val="20"/>
                <w:szCs w:val="20"/>
              </w:rPr>
              <w:t>a</w:t>
            </w:r>
            <w:r w:rsidRPr="4AA51CF6" w:rsidR="014D5E14">
              <w:rPr>
                <w:sz w:val="20"/>
                <w:szCs w:val="20"/>
              </w:rPr>
              <w:t xml:space="preserve"> podporu tohoto systému.</w:t>
            </w:r>
            <w:r w:rsidRPr="4AA51CF6" w:rsidR="00A67E3E">
              <w:rPr>
                <w:sz w:val="20"/>
                <w:szCs w:val="20"/>
              </w:rPr>
              <w:t xml:space="preserve"> Stejně tak EU </w:t>
            </w:r>
            <w:proofErr w:type="spellStart"/>
            <w:r w:rsidRPr="4AA51CF6" w:rsidR="00A67E3E">
              <w:rPr>
                <w:sz w:val="20"/>
                <w:szCs w:val="20"/>
              </w:rPr>
              <w:t>Startup</w:t>
            </w:r>
            <w:proofErr w:type="spellEnd"/>
            <w:r w:rsidRPr="4AA51CF6" w:rsidR="00A67E3E">
              <w:rPr>
                <w:sz w:val="20"/>
                <w:szCs w:val="20"/>
              </w:rPr>
              <w:t xml:space="preserve"> </w:t>
            </w:r>
            <w:proofErr w:type="spellStart"/>
            <w:r w:rsidRPr="4AA51CF6" w:rsidR="00A67E3E">
              <w:rPr>
                <w:sz w:val="20"/>
                <w:szCs w:val="20"/>
              </w:rPr>
              <w:t>Nation</w:t>
            </w:r>
            <w:r w:rsidRPr="4AA51CF6" w:rsidR="25A8B76E">
              <w:rPr>
                <w:sz w:val="20"/>
                <w:szCs w:val="20"/>
              </w:rPr>
              <w:t>s</w:t>
            </w:r>
            <w:proofErr w:type="spellEnd"/>
            <w:r w:rsidRPr="4AA51CF6" w:rsidR="00A67E3E">
              <w:rPr>
                <w:sz w:val="20"/>
                <w:szCs w:val="20"/>
              </w:rPr>
              <w:t xml:space="preserve"> Standard doporučuje zvýšit dostupnost kapitálu pro tyto typy projektů.</w:t>
            </w:r>
          </w:p>
        </w:tc>
      </w:tr>
      <w:tr w:rsidRPr="007A4BFB" w:rsidR="007D49E4" w:rsidTr="4AA51CF6" w14:paraId="2940EA92" w14:textId="77777777">
        <w:tc>
          <w:tcPr>
            <w:tcW w:w="2405" w:type="dxa"/>
          </w:tcPr>
          <w:p w:rsidRPr="007A4BFB" w:rsidR="007D49E4" w:rsidP="4AA51CF6" w:rsidRDefault="00603083" w14:paraId="0000015E" w14:textId="77777777">
            <w:pPr>
              <w:spacing w:after="120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Cíl</w:t>
            </w:r>
          </w:p>
        </w:tc>
        <w:tc>
          <w:tcPr>
            <w:tcW w:w="7223" w:type="dxa"/>
          </w:tcPr>
          <w:p w:rsidR="007D4313" w:rsidP="4AA51CF6" w:rsidRDefault="4C057A42" w14:paraId="11C497BB" w14:textId="047BE8ED">
            <w:pPr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 xml:space="preserve">Pro </w:t>
            </w:r>
            <w:r w:rsidRPr="4AA51CF6" w:rsidR="08E76F77">
              <w:rPr>
                <w:sz w:val="20"/>
                <w:szCs w:val="20"/>
              </w:rPr>
              <w:t xml:space="preserve">digitální transformaci ekonomiky </w:t>
            </w:r>
            <w:r w:rsidRPr="4AA51CF6">
              <w:rPr>
                <w:sz w:val="20"/>
                <w:szCs w:val="20"/>
              </w:rPr>
              <w:t>je stěžejní rozvíjet trh s rizikovým kapitálem,</w:t>
            </w:r>
            <w:r w:rsidRPr="4AA51CF6" w:rsidR="08E76F77">
              <w:rPr>
                <w:sz w:val="20"/>
                <w:szCs w:val="20"/>
              </w:rPr>
              <w:t xml:space="preserve"> </w:t>
            </w:r>
            <w:r w:rsidRPr="4AA51CF6">
              <w:rPr>
                <w:sz w:val="20"/>
                <w:szCs w:val="20"/>
              </w:rPr>
              <w:t xml:space="preserve">proto je v ČR potřeba zajistit dostatečnou nabídku rizikového kapitálu také pro projekty </w:t>
            </w:r>
            <w:r w:rsidRPr="4AA51CF6" w:rsidR="08E76F77">
              <w:rPr>
                <w:sz w:val="20"/>
                <w:szCs w:val="20"/>
              </w:rPr>
              <w:t>a podniky</w:t>
            </w:r>
            <w:r w:rsidRPr="4AA51CF6">
              <w:rPr>
                <w:sz w:val="20"/>
                <w:szCs w:val="20"/>
              </w:rPr>
              <w:t xml:space="preserve"> </w:t>
            </w:r>
            <w:r w:rsidRPr="4AA51CF6" w:rsidR="00A67E3E">
              <w:rPr>
                <w:sz w:val="20"/>
                <w:szCs w:val="20"/>
              </w:rPr>
              <w:t>v rané</w:t>
            </w:r>
            <w:r w:rsidRPr="4AA51CF6">
              <w:rPr>
                <w:sz w:val="20"/>
                <w:szCs w:val="20"/>
              </w:rPr>
              <w:t xml:space="preserve"> fázi rozvoje s vysokou mírou rizikovosti (</w:t>
            </w:r>
            <w:proofErr w:type="spellStart"/>
            <w:r w:rsidRPr="4AA51CF6">
              <w:rPr>
                <w:sz w:val="20"/>
                <w:szCs w:val="20"/>
              </w:rPr>
              <w:t>pre-seed</w:t>
            </w:r>
            <w:proofErr w:type="spellEnd"/>
            <w:r w:rsidRPr="4AA51CF6">
              <w:rPr>
                <w:sz w:val="20"/>
                <w:szCs w:val="20"/>
              </w:rPr>
              <w:t xml:space="preserve">, </w:t>
            </w:r>
            <w:proofErr w:type="spellStart"/>
            <w:r w:rsidRPr="4AA51CF6">
              <w:rPr>
                <w:sz w:val="20"/>
                <w:szCs w:val="20"/>
              </w:rPr>
              <w:t>seed</w:t>
            </w:r>
            <w:proofErr w:type="spellEnd"/>
            <w:r w:rsidRPr="4AA51CF6">
              <w:rPr>
                <w:sz w:val="20"/>
                <w:szCs w:val="20"/>
              </w:rPr>
              <w:t xml:space="preserve">, </w:t>
            </w:r>
            <w:proofErr w:type="spellStart"/>
            <w:r w:rsidRPr="4AA51CF6">
              <w:rPr>
                <w:sz w:val="20"/>
                <w:szCs w:val="20"/>
              </w:rPr>
              <w:t>startup</w:t>
            </w:r>
            <w:proofErr w:type="spellEnd"/>
            <w:r w:rsidRPr="4AA51CF6">
              <w:rPr>
                <w:sz w:val="20"/>
                <w:szCs w:val="20"/>
              </w:rPr>
              <w:t xml:space="preserve"> </w:t>
            </w:r>
            <w:r w:rsidRPr="4AA51CF6" w:rsidR="4FC938A1">
              <w:rPr>
                <w:sz w:val="20"/>
                <w:szCs w:val="20"/>
              </w:rPr>
              <w:t>a early</w:t>
            </w:r>
            <w:r w:rsidRPr="4AA51CF6">
              <w:rPr>
                <w:sz w:val="20"/>
                <w:szCs w:val="20"/>
              </w:rPr>
              <w:t xml:space="preserve"> </w:t>
            </w:r>
            <w:proofErr w:type="spellStart"/>
            <w:r w:rsidRPr="4AA51CF6">
              <w:rPr>
                <w:sz w:val="20"/>
                <w:szCs w:val="20"/>
              </w:rPr>
              <w:t>stage</w:t>
            </w:r>
            <w:proofErr w:type="spellEnd"/>
            <w:r w:rsidRPr="4AA51CF6">
              <w:rPr>
                <w:sz w:val="20"/>
                <w:szCs w:val="20"/>
              </w:rPr>
              <w:t xml:space="preserve">) </w:t>
            </w:r>
            <w:r w:rsidRPr="4AA51CF6" w:rsidR="53A296E9">
              <w:rPr>
                <w:sz w:val="20"/>
                <w:szCs w:val="20"/>
              </w:rPr>
              <w:t>s cílem</w:t>
            </w:r>
            <w:r w:rsidRPr="4AA51CF6">
              <w:rPr>
                <w:sz w:val="20"/>
                <w:szCs w:val="20"/>
              </w:rPr>
              <w:t xml:space="preserve"> podpořit vznik nových inovativních a technologicky založených podniků, nápadů a inovací, což ve výsledku povede ke zvýšení konkurenceschopnosti české ekonomiky. Rizikový kapitál přináší zainvestovaným společnostem nejen okamžitý příliv financí, ale díky zkušenostem investorů také jejich </w:t>
            </w:r>
            <w:proofErr w:type="spellStart"/>
            <w:r w:rsidRPr="4AA51CF6">
              <w:rPr>
                <w:sz w:val="20"/>
                <w:szCs w:val="20"/>
              </w:rPr>
              <w:t>koučing</w:t>
            </w:r>
            <w:proofErr w:type="spellEnd"/>
            <w:r w:rsidRPr="4AA51CF6">
              <w:rPr>
                <w:sz w:val="20"/>
                <w:szCs w:val="20"/>
              </w:rPr>
              <w:t xml:space="preserve"> </w:t>
            </w:r>
            <w:r w:rsidRPr="4AA51CF6" w:rsidR="4FC938A1">
              <w:rPr>
                <w:sz w:val="20"/>
                <w:szCs w:val="20"/>
              </w:rPr>
              <w:t xml:space="preserve">a </w:t>
            </w:r>
            <w:proofErr w:type="spellStart"/>
            <w:r w:rsidRPr="4AA51CF6" w:rsidR="4FC938A1">
              <w:rPr>
                <w:sz w:val="20"/>
                <w:szCs w:val="20"/>
              </w:rPr>
              <w:t>mentoring</w:t>
            </w:r>
            <w:proofErr w:type="spellEnd"/>
            <w:r w:rsidRPr="4AA51CF6">
              <w:rPr>
                <w:sz w:val="20"/>
                <w:szCs w:val="20"/>
              </w:rPr>
              <w:t xml:space="preserve">. </w:t>
            </w:r>
          </w:p>
          <w:p w:rsidR="0031097D" w:rsidP="4AA51CF6" w:rsidRDefault="3467C446" w14:paraId="72AF430E" w14:textId="1D296C45">
            <w:pPr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Cílem investice tak je napomáhat zlepšení fungování trhu rizikového kapitálu prostřednictvím přímého zapojení veřejného kapitálu do investování, ať už prostřednictvím přes fondy rizikového kapitálu. Doplní tak soukromý kapitál na trhu</w:t>
            </w:r>
            <w:r w:rsidRPr="4AA51CF6" w:rsidR="49465AF7">
              <w:rPr>
                <w:sz w:val="20"/>
                <w:szCs w:val="20"/>
              </w:rPr>
              <w:t>, podpoří přímo inkubaci start-</w:t>
            </w:r>
            <w:proofErr w:type="spellStart"/>
            <w:r w:rsidRPr="4AA51CF6" w:rsidR="49465AF7">
              <w:rPr>
                <w:sz w:val="20"/>
                <w:szCs w:val="20"/>
              </w:rPr>
              <w:t>upů</w:t>
            </w:r>
            <w:proofErr w:type="spellEnd"/>
            <w:r w:rsidRPr="4AA51CF6" w:rsidR="49465AF7">
              <w:rPr>
                <w:sz w:val="20"/>
                <w:szCs w:val="20"/>
              </w:rPr>
              <w:t xml:space="preserve"> v rámci regulatorních </w:t>
            </w:r>
            <w:proofErr w:type="spellStart"/>
            <w:r w:rsidRPr="4AA51CF6" w:rsidR="49465AF7">
              <w:rPr>
                <w:sz w:val="20"/>
                <w:szCs w:val="20"/>
              </w:rPr>
              <w:t>sandboxů</w:t>
            </w:r>
            <w:proofErr w:type="spellEnd"/>
            <w:r w:rsidRPr="4AA51CF6" w:rsidR="49465AF7">
              <w:rPr>
                <w:sz w:val="20"/>
                <w:szCs w:val="20"/>
              </w:rPr>
              <w:t xml:space="preserve"> (2.5) a </w:t>
            </w:r>
            <w:r w:rsidRPr="4AA51CF6">
              <w:rPr>
                <w:sz w:val="20"/>
                <w:szCs w:val="20"/>
              </w:rPr>
              <w:t xml:space="preserve">iniciuje rozvoj trhu a soukromých investičních týmů v podfinancovaných oblastech (typicky rizikové fáze </w:t>
            </w:r>
            <w:proofErr w:type="spellStart"/>
            <w:r w:rsidRPr="4AA51CF6">
              <w:rPr>
                <w:sz w:val="20"/>
                <w:szCs w:val="20"/>
              </w:rPr>
              <w:t>seedového</w:t>
            </w:r>
            <w:proofErr w:type="spellEnd"/>
            <w:r w:rsidRPr="4AA51CF6">
              <w:rPr>
                <w:sz w:val="20"/>
                <w:szCs w:val="20"/>
              </w:rPr>
              <w:t xml:space="preserve"> financování). Investice tak naváže na </w:t>
            </w:r>
            <w:r w:rsidRPr="4AA51CF6" w:rsidR="56133D7B">
              <w:rPr>
                <w:sz w:val="20"/>
                <w:szCs w:val="20"/>
              </w:rPr>
              <w:t>dosavadní projekty (</w:t>
            </w:r>
            <w:r w:rsidRPr="4AA51CF6">
              <w:rPr>
                <w:sz w:val="20"/>
                <w:szCs w:val="20"/>
              </w:rPr>
              <w:t>Středoevropský fond fondů</w:t>
            </w:r>
            <w:r w:rsidRPr="4AA51CF6" w:rsidR="56133D7B">
              <w:rPr>
                <w:sz w:val="20"/>
                <w:szCs w:val="20"/>
              </w:rPr>
              <w:t xml:space="preserve"> a</w:t>
            </w:r>
            <w:r w:rsidRPr="4AA51CF6">
              <w:rPr>
                <w:sz w:val="20"/>
                <w:szCs w:val="20"/>
              </w:rPr>
              <w:t xml:space="preserve"> Fond fondů OP PIK</w:t>
            </w:r>
            <w:r w:rsidRPr="4AA51CF6" w:rsidR="56133D7B">
              <w:rPr>
                <w:sz w:val="20"/>
                <w:szCs w:val="20"/>
              </w:rPr>
              <w:t xml:space="preserve"> </w:t>
            </w:r>
            <w:r w:rsidRPr="4AA51CF6">
              <w:rPr>
                <w:sz w:val="20"/>
                <w:szCs w:val="20"/>
              </w:rPr>
              <w:t>ve správě EIF, IPO Fond na podporu úpisů MSP na alternativních obchodních platformách</w:t>
            </w:r>
            <w:r w:rsidRPr="4AA51CF6" w:rsidR="56133D7B">
              <w:rPr>
                <w:sz w:val="20"/>
                <w:szCs w:val="20"/>
              </w:rPr>
              <w:t>).</w:t>
            </w:r>
            <w:r w:rsidRPr="4AA51CF6">
              <w:rPr>
                <w:sz w:val="20"/>
                <w:szCs w:val="20"/>
              </w:rPr>
              <w:t xml:space="preserve"> </w:t>
            </w:r>
            <w:r w:rsidRPr="4AA51CF6" w:rsidR="56133D7B">
              <w:rPr>
                <w:sz w:val="20"/>
                <w:szCs w:val="20"/>
              </w:rPr>
              <w:t>K</w:t>
            </w:r>
            <w:r w:rsidRPr="4AA51CF6">
              <w:rPr>
                <w:sz w:val="20"/>
                <w:szCs w:val="20"/>
              </w:rPr>
              <w:t xml:space="preserve">ofinancování veřejných finančních prostředků by pak měl být </w:t>
            </w:r>
            <w:r w:rsidRPr="4AA51CF6" w:rsidR="49465AF7">
              <w:rPr>
                <w:sz w:val="20"/>
                <w:szCs w:val="20"/>
              </w:rPr>
              <w:t xml:space="preserve">zdrojem z Evropského investičního fondu (EIF) a v cílové fázi bude </w:t>
            </w:r>
            <w:r w:rsidRPr="4AA51CF6">
              <w:rPr>
                <w:sz w:val="20"/>
                <w:szCs w:val="20"/>
              </w:rPr>
              <w:t xml:space="preserve">soukromý kapitál zapojen v maximální možné míře, čímž bude umožněno fungování </w:t>
            </w:r>
            <w:r w:rsidRPr="4AA51CF6" w:rsidR="49465AF7">
              <w:rPr>
                <w:sz w:val="20"/>
                <w:szCs w:val="20"/>
              </w:rPr>
              <w:t xml:space="preserve">pozitivních efektů na trhu </w:t>
            </w:r>
            <w:r w:rsidRPr="4AA51CF6">
              <w:rPr>
                <w:sz w:val="20"/>
                <w:szCs w:val="20"/>
              </w:rPr>
              <w:t xml:space="preserve">i po snížení dostupných prostředků z evropských fondů. </w:t>
            </w:r>
            <w:r w:rsidRPr="4AA51CF6" w:rsidR="00EFCD2C">
              <w:rPr>
                <w:sz w:val="20"/>
                <w:szCs w:val="20"/>
              </w:rPr>
              <w:t>Podpořeny také budou zvláště investoři a projekty podporující rovné příležitosti žen a mužů.</w:t>
            </w:r>
          </w:p>
          <w:p w:rsidRPr="007A4BFB" w:rsidR="007D49E4" w:rsidP="4AA51CF6" w:rsidRDefault="56133D7B" w14:paraId="00000160" w14:textId="7364B44E">
            <w:pPr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Investice tak naplní cíle Strategie podpory malých a středních podniků v ČR pro období 2021–2027, zejména specifického cíle Vytvoření příznivých podmínek pro financování začínajících a rostoucích podniků a také cíle Koncepce rozvoje kapitálového trhu v ČR, strategie Digitální Česko a Inovační strategie ČR.</w:t>
            </w:r>
          </w:p>
        </w:tc>
      </w:tr>
      <w:tr w:rsidRPr="007A4BFB" w:rsidR="007D49E4" w:rsidTr="4AA51CF6" w14:paraId="6AF3051F" w14:textId="77777777">
        <w:tc>
          <w:tcPr>
            <w:tcW w:w="2405" w:type="dxa"/>
          </w:tcPr>
          <w:p w:rsidRPr="007A4BFB" w:rsidR="007D49E4" w:rsidP="4AA51CF6" w:rsidRDefault="00603083" w14:paraId="00000161" w14:textId="77777777">
            <w:pPr>
              <w:spacing w:after="120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Implementace</w:t>
            </w:r>
          </w:p>
        </w:tc>
        <w:tc>
          <w:tcPr>
            <w:tcW w:w="7223" w:type="dxa"/>
          </w:tcPr>
          <w:p w:rsidR="005F4D09" w:rsidP="4AA51CF6" w:rsidRDefault="56133D7B" w14:paraId="045CED41" w14:textId="592B4797">
            <w:pPr>
              <w:spacing w:after="120"/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 xml:space="preserve">Pilotním projektem k ověření systému státní </w:t>
            </w:r>
            <w:proofErr w:type="spellStart"/>
            <w:r w:rsidRPr="4AA51CF6">
              <w:rPr>
                <w:sz w:val="20"/>
                <w:szCs w:val="20"/>
              </w:rPr>
              <w:t>koinvestice</w:t>
            </w:r>
            <w:proofErr w:type="spellEnd"/>
            <w:r w:rsidRPr="4AA51CF6">
              <w:rPr>
                <w:sz w:val="20"/>
                <w:szCs w:val="20"/>
              </w:rPr>
              <w:t xml:space="preserve"> bude </w:t>
            </w:r>
            <w:proofErr w:type="spellStart"/>
            <w:r w:rsidRPr="4AA51CF6">
              <w:rPr>
                <w:sz w:val="20"/>
                <w:szCs w:val="20"/>
              </w:rPr>
              <w:t>koinvestiční</w:t>
            </w:r>
            <w:proofErr w:type="spellEnd"/>
            <w:r w:rsidRPr="4AA51CF6">
              <w:rPr>
                <w:sz w:val="20"/>
                <w:szCs w:val="20"/>
              </w:rPr>
              <w:t xml:space="preserve"> fond zaměřený na early </w:t>
            </w:r>
            <w:proofErr w:type="spellStart"/>
            <w:r w:rsidRPr="4AA51CF6">
              <w:rPr>
                <w:sz w:val="20"/>
                <w:szCs w:val="20"/>
              </w:rPr>
              <w:t>stage</w:t>
            </w:r>
            <w:proofErr w:type="spellEnd"/>
            <w:r w:rsidRPr="4AA51CF6">
              <w:rPr>
                <w:sz w:val="20"/>
                <w:szCs w:val="20"/>
              </w:rPr>
              <w:t xml:space="preserve"> projekty a společnosti typu technologických start-</w:t>
            </w:r>
            <w:proofErr w:type="spellStart"/>
            <w:r w:rsidRPr="4AA51CF6">
              <w:rPr>
                <w:sz w:val="20"/>
                <w:szCs w:val="20"/>
              </w:rPr>
              <w:t>upů</w:t>
            </w:r>
            <w:proofErr w:type="spellEnd"/>
            <w:r w:rsidRPr="4AA51CF6">
              <w:rPr>
                <w:sz w:val="20"/>
                <w:szCs w:val="20"/>
              </w:rPr>
              <w:t xml:space="preserve">, a to na základě doporučení NERV. Cílem je umožnit dostatečnou investici kapitálu ve fázi </w:t>
            </w:r>
            <w:proofErr w:type="spellStart"/>
            <w:r w:rsidRPr="4AA51CF6">
              <w:rPr>
                <w:sz w:val="20"/>
                <w:szCs w:val="20"/>
              </w:rPr>
              <w:t>pre-seed</w:t>
            </w:r>
            <w:proofErr w:type="spellEnd"/>
            <w:r w:rsidRPr="4AA51CF6">
              <w:rPr>
                <w:sz w:val="20"/>
                <w:szCs w:val="20"/>
              </w:rPr>
              <w:t xml:space="preserve"> a </w:t>
            </w:r>
            <w:proofErr w:type="spellStart"/>
            <w:r w:rsidRPr="4AA51CF6">
              <w:rPr>
                <w:sz w:val="20"/>
                <w:szCs w:val="20"/>
              </w:rPr>
              <w:t>seed</w:t>
            </w:r>
            <w:proofErr w:type="spellEnd"/>
            <w:r w:rsidRPr="4AA51CF6">
              <w:rPr>
                <w:sz w:val="20"/>
                <w:szCs w:val="20"/>
              </w:rPr>
              <w:t xml:space="preserve"> kapitál</w:t>
            </w:r>
            <w:r w:rsidRPr="4AA51CF6" w:rsidR="49465AF7">
              <w:rPr>
                <w:sz w:val="20"/>
                <w:szCs w:val="20"/>
              </w:rPr>
              <w:t>u</w:t>
            </w:r>
            <w:r w:rsidRPr="4AA51CF6">
              <w:rPr>
                <w:sz w:val="20"/>
                <w:szCs w:val="20"/>
              </w:rPr>
              <w:t xml:space="preserve"> do českých, technologických firem. Předpoklad je přitom realizace v období 2021-2022, čímž dojde k navýšení takto investovaných projektů, díky navýšení likvidity z veřejných zdrojů, a to o vyšší desítky procent. Hlavním cílem je tak navýšení kvalitních zainvestovaných projektů. Využije se přitom zahraniční zkušenost (např. Izrael) a reálně budou kofinancovány jen konkrétní projekty společně s </w:t>
            </w:r>
            <w:proofErr w:type="spellStart"/>
            <w:r w:rsidRPr="4AA51CF6">
              <w:rPr>
                <w:sz w:val="20"/>
                <w:szCs w:val="20"/>
              </w:rPr>
              <w:t>předschválenými</w:t>
            </w:r>
            <w:proofErr w:type="spellEnd"/>
            <w:r w:rsidRPr="4AA51CF6">
              <w:rPr>
                <w:sz w:val="20"/>
                <w:szCs w:val="20"/>
              </w:rPr>
              <w:t xml:space="preserve"> subjekty.</w:t>
            </w:r>
          </w:p>
          <w:p w:rsidR="007D4313" w:rsidP="4AA51CF6" w:rsidRDefault="56133D7B" w14:paraId="117CAF4F" w14:textId="77777777">
            <w:pPr>
              <w:spacing w:after="120"/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 xml:space="preserve">Komplementárně k podpoře rozvoje </w:t>
            </w:r>
            <w:proofErr w:type="spellStart"/>
            <w:r w:rsidRPr="4AA51CF6">
              <w:rPr>
                <w:sz w:val="20"/>
                <w:szCs w:val="20"/>
              </w:rPr>
              <w:t>seedového</w:t>
            </w:r>
            <w:proofErr w:type="spellEnd"/>
            <w:r w:rsidRPr="4AA51CF6">
              <w:rPr>
                <w:sz w:val="20"/>
                <w:szCs w:val="20"/>
              </w:rPr>
              <w:t xml:space="preserve"> financování bude podpořen i vznik kapitálových nástrojů na </w:t>
            </w:r>
            <w:r w:rsidRPr="4AA51CF6" w:rsidR="49465AF7">
              <w:rPr>
                <w:sz w:val="20"/>
                <w:szCs w:val="20"/>
              </w:rPr>
              <w:t xml:space="preserve">podporu strategických technologií (v </w:t>
            </w:r>
            <w:proofErr w:type="spellStart"/>
            <w:r w:rsidRPr="4AA51CF6" w:rsidR="49465AF7">
              <w:rPr>
                <w:sz w:val="20"/>
                <w:szCs w:val="20"/>
              </w:rPr>
              <w:t>InvestEU</w:t>
            </w:r>
            <w:proofErr w:type="spellEnd"/>
            <w:r w:rsidRPr="4AA51CF6" w:rsidR="49465AF7">
              <w:rPr>
                <w:sz w:val="20"/>
                <w:szCs w:val="20"/>
              </w:rPr>
              <w:t xml:space="preserve"> definovány zejména AI, </w:t>
            </w:r>
            <w:proofErr w:type="spellStart"/>
            <w:r w:rsidRPr="4AA51CF6" w:rsidR="49465AF7">
              <w:rPr>
                <w:sz w:val="20"/>
                <w:szCs w:val="20"/>
              </w:rPr>
              <w:t>blockchain</w:t>
            </w:r>
            <w:proofErr w:type="spellEnd"/>
            <w:r w:rsidRPr="4AA51CF6" w:rsidR="49465AF7">
              <w:rPr>
                <w:sz w:val="20"/>
                <w:szCs w:val="20"/>
              </w:rPr>
              <w:t xml:space="preserve">, </w:t>
            </w:r>
            <w:proofErr w:type="spellStart"/>
            <w:r w:rsidRPr="4AA51CF6" w:rsidR="49465AF7">
              <w:rPr>
                <w:sz w:val="20"/>
                <w:szCs w:val="20"/>
              </w:rPr>
              <w:t>fintech</w:t>
            </w:r>
            <w:proofErr w:type="spellEnd"/>
            <w:r w:rsidRPr="4AA51CF6" w:rsidR="49465AF7">
              <w:rPr>
                <w:sz w:val="20"/>
                <w:szCs w:val="20"/>
              </w:rPr>
              <w:t xml:space="preserve">, 5G a další), a to v návaznosti na vznik regulatorních </w:t>
            </w:r>
            <w:proofErr w:type="spellStart"/>
            <w:r w:rsidRPr="4AA51CF6" w:rsidR="49465AF7">
              <w:rPr>
                <w:sz w:val="20"/>
                <w:szCs w:val="20"/>
              </w:rPr>
              <w:t>sandboxů</w:t>
            </w:r>
            <w:proofErr w:type="spellEnd"/>
            <w:r w:rsidRPr="4AA51CF6" w:rsidR="49465AF7">
              <w:rPr>
                <w:sz w:val="20"/>
                <w:szCs w:val="20"/>
              </w:rPr>
              <w:t xml:space="preserve">. Vznik těchto fondů je klíčový pro překonání nově vznikajících bariér pro vstup na trh daných novou evropskou regulací (např. AI), které na druhou stranu </w:t>
            </w:r>
            <w:r w:rsidRPr="4AA51CF6" w:rsidR="49465AF7">
              <w:rPr>
                <w:sz w:val="20"/>
                <w:szCs w:val="20"/>
              </w:rPr>
              <w:lastRenderedPageBreak/>
              <w:t>s takovou podporou a úlevami start-</w:t>
            </w:r>
            <w:proofErr w:type="spellStart"/>
            <w:r w:rsidRPr="4AA51CF6" w:rsidR="49465AF7">
              <w:rPr>
                <w:sz w:val="20"/>
                <w:szCs w:val="20"/>
              </w:rPr>
              <w:t>upů</w:t>
            </w:r>
            <w:proofErr w:type="spellEnd"/>
            <w:r w:rsidRPr="4AA51CF6" w:rsidR="49465AF7">
              <w:rPr>
                <w:sz w:val="20"/>
                <w:szCs w:val="20"/>
              </w:rPr>
              <w:t xml:space="preserve"> přímo počítají. Tento fond naváže na již realizovaný mechanismus fondu fondů programu Rizikový kapitál (OP PIK).</w:t>
            </w:r>
          </w:p>
          <w:p w:rsidR="00C50A44" w:rsidP="4AA51CF6" w:rsidRDefault="49465AF7" w14:paraId="3AA4F136" w14:textId="11309ABB">
            <w:pPr>
              <w:spacing w:after="120"/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 xml:space="preserve">Třetím pilotním projektem bude fond pro </w:t>
            </w:r>
            <w:r w:rsidRPr="4AA51CF6" w:rsidR="56133D7B">
              <w:rPr>
                <w:sz w:val="20"/>
                <w:szCs w:val="20"/>
              </w:rPr>
              <w:t>transfer výsledků výzkumu z výzkumných organizací, především vysokých škol, do podnikatelské praxe, který napomůže rozvoji nadějných technologických firem typu start-up a spin-</w:t>
            </w:r>
            <w:proofErr w:type="spellStart"/>
            <w:r w:rsidRPr="4AA51CF6" w:rsidR="56133D7B">
              <w:rPr>
                <w:sz w:val="20"/>
                <w:szCs w:val="20"/>
              </w:rPr>
              <w:t>off</w:t>
            </w:r>
            <w:proofErr w:type="spellEnd"/>
            <w:r w:rsidRPr="4AA51CF6" w:rsidR="7F0E0185">
              <w:rPr>
                <w:sz w:val="20"/>
                <w:szCs w:val="20"/>
              </w:rPr>
              <w:t xml:space="preserve"> a nástroje k podpoře klíčových/strategických technologií v</w:t>
            </w:r>
            <w:r w:rsidRPr="4AA51CF6" w:rsidR="56590A47">
              <w:rPr>
                <w:sz w:val="20"/>
                <w:szCs w:val="20"/>
              </w:rPr>
              <w:t> souladu s prioritami stanovenými Evropskou komisí</w:t>
            </w:r>
            <w:r w:rsidRPr="4AA51CF6" w:rsidR="56133D7B">
              <w:rPr>
                <w:sz w:val="20"/>
                <w:szCs w:val="20"/>
              </w:rPr>
              <w:t xml:space="preserve">. </w:t>
            </w:r>
            <w:r w:rsidRPr="4AA51CF6" w:rsidR="7EDE5C64">
              <w:rPr>
                <w:sz w:val="20"/>
                <w:szCs w:val="20"/>
              </w:rPr>
              <w:t xml:space="preserve">Projekt </w:t>
            </w:r>
            <w:r w:rsidRPr="4AA51CF6" w:rsidR="7F0E0185">
              <w:rPr>
                <w:sz w:val="20"/>
                <w:szCs w:val="20"/>
              </w:rPr>
              <w:t xml:space="preserve">pilotního </w:t>
            </w:r>
            <w:r w:rsidRPr="4AA51CF6" w:rsidR="7EDE5C64">
              <w:rPr>
                <w:sz w:val="20"/>
                <w:szCs w:val="20"/>
              </w:rPr>
              <w:t xml:space="preserve">fondu pro technologický transfer přímo naváže na projekt </w:t>
            </w:r>
            <w:proofErr w:type="spellStart"/>
            <w:r w:rsidRPr="4AA51CF6" w:rsidR="7EDE5C64">
              <w:rPr>
                <w:sz w:val="20"/>
                <w:szCs w:val="20"/>
              </w:rPr>
              <w:t>pre-seedového</w:t>
            </w:r>
            <w:proofErr w:type="spellEnd"/>
            <w:r w:rsidRPr="4AA51CF6" w:rsidR="7EDE5C64">
              <w:rPr>
                <w:sz w:val="20"/>
                <w:szCs w:val="20"/>
              </w:rPr>
              <w:t xml:space="preserve"> </w:t>
            </w:r>
            <w:proofErr w:type="spellStart"/>
            <w:r w:rsidRPr="4AA51CF6" w:rsidR="7EDE5C64">
              <w:rPr>
                <w:sz w:val="20"/>
                <w:szCs w:val="20"/>
              </w:rPr>
              <w:t>koinvestičního</w:t>
            </w:r>
            <w:proofErr w:type="spellEnd"/>
            <w:r w:rsidRPr="4AA51CF6" w:rsidR="7EDE5C64">
              <w:rPr>
                <w:sz w:val="20"/>
                <w:szCs w:val="20"/>
              </w:rPr>
              <w:t xml:space="preserve"> fondu a z něj získané poznatky pro praktické fungování. Vzhledem ke specifické oblasti akademického výzkumu a náročnému procesu transferu technologií však bude zvolena modifikovaná struktura oproti </w:t>
            </w:r>
            <w:proofErr w:type="spellStart"/>
            <w:r w:rsidRPr="4AA51CF6" w:rsidR="7EDE5C64">
              <w:rPr>
                <w:sz w:val="20"/>
                <w:szCs w:val="20"/>
              </w:rPr>
              <w:t>koinvestičnímu</w:t>
            </w:r>
            <w:proofErr w:type="spellEnd"/>
            <w:r w:rsidRPr="4AA51CF6" w:rsidR="7EDE5C64">
              <w:rPr>
                <w:sz w:val="20"/>
                <w:szCs w:val="20"/>
              </w:rPr>
              <w:t xml:space="preserve"> </w:t>
            </w:r>
            <w:proofErr w:type="spellStart"/>
            <w:r w:rsidRPr="4AA51CF6" w:rsidR="7EDE5C64">
              <w:rPr>
                <w:sz w:val="20"/>
                <w:szCs w:val="20"/>
              </w:rPr>
              <w:t>pre-seedovému</w:t>
            </w:r>
            <w:proofErr w:type="spellEnd"/>
            <w:r w:rsidRPr="4AA51CF6" w:rsidR="7EDE5C64">
              <w:rPr>
                <w:sz w:val="20"/>
                <w:szCs w:val="20"/>
              </w:rPr>
              <w:t xml:space="preserve"> fondu. Hlavním cílem tohoto pilotního projektu je také zvýšení počtu úspěšných zainvestovaných nových technologických firem (typu spin-</w:t>
            </w:r>
            <w:proofErr w:type="spellStart"/>
            <w:r w:rsidRPr="4AA51CF6" w:rsidR="7EDE5C64">
              <w:rPr>
                <w:sz w:val="20"/>
                <w:szCs w:val="20"/>
              </w:rPr>
              <w:t>off</w:t>
            </w:r>
            <w:proofErr w:type="spellEnd"/>
            <w:r w:rsidRPr="4AA51CF6" w:rsidR="7EDE5C64">
              <w:rPr>
                <w:sz w:val="20"/>
                <w:szCs w:val="20"/>
              </w:rPr>
              <w:t>) v prvotní fázi existence. Namísto řešení problému nedostatku likvidity, je ale hlavním problémem, který bude tímto nástrojem překonán, administrativně, ekonomicky i časově náročný proces přenosu technologických inovací z akademického výzkumu do praxe.</w:t>
            </w:r>
          </w:p>
          <w:p w:rsidRPr="007A4BFB" w:rsidR="007D49E4" w:rsidP="4AA51CF6" w:rsidRDefault="007D49E4" w14:paraId="00000162" w14:textId="32BFB5EF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Pr="007A4BFB" w:rsidR="007D49E4" w:rsidTr="4AA51CF6" w14:paraId="7EC70FD0" w14:textId="77777777">
        <w:trPr>
          <w:trHeight w:val="70"/>
        </w:trPr>
        <w:tc>
          <w:tcPr>
            <w:tcW w:w="2405" w:type="dxa"/>
          </w:tcPr>
          <w:p w:rsidRPr="007A4BFB" w:rsidR="007D49E4" w:rsidP="4AA51CF6" w:rsidRDefault="00603083" w14:paraId="00000163" w14:textId="77777777">
            <w:pPr>
              <w:spacing w:after="120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lastRenderedPageBreak/>
              <w:t>Spolupráce a zapojení zúčastněných stran</w:t>
            </w:r>
          </w:p>
        </w:tc>
        <w:tc>
          <w:tcPr>
            <w:tcW w:w="7223" w:type="dxa"/>
          </w:tcPr>
          <w:p w:rsidRPr="007A4BFB" w:rsidR="007D49E4" w:rsidP="4AA51CF6" w:rsidRDefault="49465AF7" w14:paraId="00000164" w14:textId="3699080F">
            <w:pPr>
              <w:spacing w:after="120"/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Vzhledem k dosavadní spolupráci a zkušenostem provede realizaci pilotních projektů Ministerstvo průmyslu a obchodu ve spolupráci s EIF, který bude s</w:t>
            </w:r>
            <w:r w:rsidRPr="4AA51CF6" w:rsidR="00603083">
              <w:rPr>
                <w:sz w:val="20"/>
                <w:szCs w:val="20"/>
              </w:rPr>
              <w:t xml:space="preserve">právcem </w:t>
            </w:r>
            <w:r w:rsidRPr="4AA51CF6" w:rsidR="56590A47">
              <w:rPr>
                <w:sz w:val="20"/>
                <w:szCs w:val="20"/>
              </w:rPr>
              <w:t>(popř</w:t>
            </w:r>
            <w:r w:rsidRPr="4AA51CF6">
              <w:rPr>
                <w:sz w:val="20"/>
                <w:szCs w:val="20"/>
              </w:rPr>
              <w:t>. zároveň i</w:t>
            </w:r>
            <w:r w:rsidRPr="4AA51CF6" w:rsidR="56590A47">
              <w:rPr>
                <w:sz w:val="20"/>
                <w:szCs w:val="20"/>
              </w:rPr>
              <w:t xml:space="preserve"> </w:t>
            </w:r>
            <w:proofErr w:type="spellStart"/>
            <w:r w:rsidRPr="4AA51CF6" w:rsidR="56590A47">
              <w:rPr>
                <w:sz w:val="20"/>
                <w:szCs w:val="20"/>
              </w:rPr>
              <w:t>koinvestorem</w:t>
            </w:r>
            <w:proofErr w:type="spellEnd"/>
            <w:r w:rsidRPr="4AA51CF6" w:rsidR="56590A47">
              <w:rPr>
                <w:sz w:val="20"/>
                <w:szCs w:val="20"/>
              </w:rPr>
              <w:t xml:space="preserve">) </w:t>
            </w:r>
            <w:r w:rsidRPr="4AA51CF6" w:rsidR="00603083">
              <w:rPr>
                <w:sz w:val="20"/>
                <w:szCs w:val="20"/>
              </w:rPr>
              <w:t>fond</w:t>
            </w:r>
            <w:r w:rsidRPr="4AA51CF6" w:rsidR="56590A47">
              <w:rPr>
                <w:sz w:val="20"/>
                <w:szCs w:val="20"/>
              </w:rPr>
              <w:t>ů</w:t>
            </w:r>
            <w:r w:rsidRPr="4AA51CF6" w:rsidR="00603083">
              <w:rPr>
                <w:sz w:val="20"/>
                <w:szCs w:val="20"/>
              </w:rPr>
              <w:t>.</w:t>
            </w:r>
          </w:p>
        </w:tc>
      </w:tr>
      <w:tr w:rsidRPr="007A4BFB" w:rsidR="007D49E4" w:rsidTr="4AA51CF6" w14:paraId="0432CC04" w14:textId="77777777">
        <w:tc>
          <w:tcPr>
            <w:tcW w:w="2405" w:type="dxa"/>
          </w:tcPr>
          <w:p w:rsidRPr="007A4BFB" w:rsidR="007D49E4" w:rsidP="4AA51CF6" w:rsidRDefault="00603083" w14:paraId="00000165" w14:textId="77777777">
            <w:pPr>
              <w:spacing w:after="120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Překážky a rizika</w:t>
            </w:r>
          </w:p>
        </w:tc>
        <w:tc>
          <w:tcPr>
            <w:tcW w:w="7223" w:type="dxa"/>
          </w:tcPr>
          <w:p w:rsidRPr="007A4BFB" w:rsidR="007D49E4" w:rsidP="4AA51CF6" w:rsidRDefault="00603083" w14:paraId="00000166" w14:textId="445404F3">
            <w:pPr>
              <w:spacing w:after="120"/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 xml:space="preserve">Klíčovou překážkou a rizikem je nevhodné nastavení celého systému, který nebude reagovat na potřeby trhu, je proto klíčové vhodně zvolit správce </w:t>
            </w:r>
            <w:proofErr w:type="spellStart"/>
            <w:r w:rsidRPr="4AA51CF6">
              <w:rPr>
                <w:sz w:val="20"/>
                <w:szCs w:val="20"/>
              </w:rPr>
              <w:t>koinvestičního</w:t>
            </w:r>
            <w:proofErr w:type="spellEnd"/>
            <w:r w:rsidRPr="4AA51CF6">
              <w:rPr>
                <w:sz w:val="20"/>
                <w:szCs w:val="20"/>
              </w:rPr>
              <w:t xml:space="preserve"> fondu.</w:t>
            </w:r>
            <w:r w:rsidRPr="4AA51CF6" w:rsidR="56590A47">
              <w:rPr>
                <w:sz w:val="20"/>
                <w:szCs w:val="20"/>
              </w:rPr>
              <w:t xml:space="preserve"> Klíčovým rizikem jsou nedostatečné personální kapacity u implementující instituce (Ministerstvo průmyslu a obchodu ČR).</w:t>
            </w:r>
          </w:p>
        </w:tc>
      </w:tr>
      <w:tr w:rsidRPr="007A4BFB" w:rsidR="007D49E4" w:rsidTr="4AA51CF6" w14:paraId="3A099751" w14:textId="77777777">
        <w:tc>
          <w:tcPr>
            <w:tcW w:w="2405" w:type="dxa"/>
          </w:tcPr>
          <w:p w:rsidRPr="007A4BFB" w:rsidR="007D49E4" w:rsidP="4AA51CF6" w:rsidRDefault="00603083" w14:paraId="00000167" w14:textId="77777777">
            <w:pPr>
              <w:spacing w:after="120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Cílové skupiny populace a ekonomické subjekty</w:t>
            </w:r>
          </w:p>
        </w:tc>
        <w:tc>
          <w:tcPr>
            <w:tcW w:w="7223" w:type="dxa"/>
          </w:tcPr>
          <w:p w:rsidRPr="007A4BFB" w:rsidR="007D49E4" w:rsidP="4AA51CF6" w:rsidRDefault="00603083" w14:paraId="00000168" w14:textId="77777777">
            <w:pPr>
              <w:spacing w:after="120"/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Rychle rostoucí technologické podniky typu start-up a spin-</w:t>
            </w:r>
            <w:proofErr w:type="spellStart"/>
            <w:r w:rsidRPr="4AA51CF6">
              <w:rPr>
                <w:sz w:val="20"/>
                <w:szCs w:val="20"/>
              </w:rPr>
              <w:t>off</w:t>
            </w:r>
            <w:proofErr w:type="spellEnd"/>
            <w:r w:rsidRPr="4AA51CF6">
              <w:rPr>
                <w:sz w:val="20"/>
                <w:szCs w:val="20"/>
              </w:rPr>
              <w:t>.</w:t>
            </w:r>
          </w:p>
        </w:tc>
      </w:tr>
      <w:tr w:rsidRPr="007A4BFB" w:rsidR="007D49E4" w:rsidTr="4AA51CF6" w14:paraId="177E638C" w14:textId="77777777">
        <w:tc>
          <w:tcPr>
            <w:tcW w:w="2405" w:type="dxa"/>
          </w:tcPr>
          <w:p w:rsidRPr="007A4BFB" w:rsidR="007D49E4" w:rsidP="4AA51CF6" w:rsidRDefault="00603083" w14:paraId="00000169" w14:textId="77777777">
            <w:pPr>
              <w:spacing w:after="120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Souhrnné náklady realizace financované z RRF za celé období</w:t>
            </w:r>
          </w:p>
        </w:tc>
        <w:tc>
          <w:tcPr>
            <w:tcW w:w="7223" w:type="dxa"/>
          </w:tcPr>
          <w:p w:rsidRPr="007A4BFB" w:rsidR="007D49E4" w:rsidP="4AA51CF6" w:rsidRDefault="00603083" w14:paraId="0000016A" w14:textId="7BB2E412">
            <w:pPr>
              <w:spacing w:after="120"/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 xml:space="preserve">Investice potřebná pro naplnění výše uvedeného cíle počítá s náklady 1 </w:t>
            </w:r>
            <w:r w:rsidRPr="4AA51CF6" w:rsidR="526DFAC8">
              <w:rPr>
                <w:sz w:val="20"/>
                <w:szCs w:val="20"/>
              </w:rPr>
              <w:t xml:space="preserve">400 </w:t>
            </w:r>
            <w:r w:rsidRPr="4AA51CF6">
              <w:rPr>
                <w:sz w:val="20"/>
                <w:szCs w:val="20"/>
              </w:rPr>
              <w:t>mil. Kč v období 2021-202</w:t>
            </w:r>
            <w:r w:rsidRPr="4AA51CF6" w:rsidR="56590A47">
              <w:rPr>
                <w:sz w:val="20"/>
                <w:szCs w:val="20"/>
              </w:rPr>
              <w:t>5</w:t>
            </w:r>
            <w:r w:rsidRPr="4AA51CF6">
              <w:rPr>
                <w:sz w:val="20"/>
                <w:szCs w:val="20"/>
              </w:rPr>
              <w:t>.</w:t>
            </w:r>
          </w:p>
        </w:tc>
      </w:tr>
      <w:tr w:rsidRPr="007A4BFB" w:rsidR="007D49E4" w:rsidTr="4AA51CF6" w14:paraId="1E1700C6" w14:textId="77777777">
        <w:tc>
          <w:tcPr>
            <w:tcW w:w="2405" w:type="dxa"/>
          </w:tcPr>
          <w:p w:rsidRPr="007A4BFB" w:rsidR="007D49E4" w:rsidP="4AA51CF6" w:rsidRDefault="00603083" w14:paraId="0000016B" w14:textId="77777777">
            <w:pPr>
              <w:spacing w:after="120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Dodržování pravidel státní podpory</w:t>
            </w:r>
          </w:p>
        </w:tc>
        <w:tc>
          <w:tcPr>
            <w:tcW w:w="7223" w:type="dxa"/>
          </w:tcPr>
          <w:p w:rsidRPr="007A4BFB" w:rsidR="007D49E4" w:rsidP="4AA51CF6" w:rsidRDefault="00603083" w14:paraId="0000016C" w14:textId="5A0E289A">
            <w:pPr>
              <w:spacing w:after="120"/>
              <w:jc w:val="both"/>
              <w:rPr>
                <w:i/>
                <w:iCs/>
                <w:color w:val="2196FF"/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Veškerá veřejná podpora bude projednána a popřípadě notifikována v závislosti na konkrétních projektech a změnách dočasného rámce a dalších pravidel v souvislosti s implementací RRF/NPO.</w:t>
            </w:r>
            <w:r w:rsidRPr="4AA51CF6" w:rsidR="3AC218F5">
              <w:rPr>
                <w:sz w:val="20"/>
                <w:szCs w:val="20"/>
              </w:rPr>
              <w:t xml:space="preserve"> Přítomnost veřejné podpory je nutné vyhodnotit na úrovni všech zapojených subjektů (fond, správce fondu, soukromí investoři, způsobilé podniky). Veřejnou podporu je možné poskytnout dle nařízení č. 1407/2013, čl. 21 GBER, popř. notifikovat dle Sdělení </w:t>
            </w:r>
            <w:proofErr w:type="gramStart"/>
            <w:r w:rsidRPr="4AA51CF6" w:rsidR="3AC218F5">
              <w:rPr>
                <w:sz w:val="20"/>
                <w:szCs w:val="20"/>
              </w:rPr>
              <w:t>Komise - Pokynů</w:t>
            </w:r>
            <w:proofErr w:type="gramEnd"/>
            <w:r w:rsidRPr="4AA51CF6" w:rsidR="3AC218F5">
              <w:rPr>
                <w:sz w:val="20"/>
                <w:szCs w:val="20"/>
              </w:rPr>
              <w:t xml:space="preserve"> k státní podpoře investic v rámci rizikového financování.</w:t>
            </w:r>
          </w:p>
        </w:tc>
      </w:tr>
      <w:tr w:rsidRPr="007A4BFB" w:rsidR="007D49E4" w:rsidTr="4AA51CF6" w14:paraId="70E33669" w14:textId="77777777">
        <w:tc>
          <w:tcPr>
            <w:tcW w:w="2405" w:type="dxa"/>
          </w:tcPr>
          <w:p w:rsidRPr="007A4BFB" w:rsidR="007D49E4" w:rsidP="4AA51CF6" w:rsidRDefault="00603083" w14:paraId="0000016D" w14:textId="77777777">
            <w:pPr>
              <w:spacing w:after="120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Uveďte dobu implementace</w:t>
            </w:r>
          </w:p>
        </w:tc>
        <w:tc>
          <w:tcPr>
            <w:tcW w:w="7223" w:type="dxa"/>
          </w:tcPr>
          <w:p w:rsidRPr="007A4BFB" w:rsidR="007D49E4" w:rsidP="4AA51CF6" w:rsidRDefault="00603083" w14:paraId="0000016E" w14:textId="753C318B">
            <w:pPr>
              <w:spacing w:after="120"/>
              <w:jc w:val="both"/>
              <w:rPr>
                <w:i/>
                <w:iCs/>
                <w:color w:val="2196FF"/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 xml:space="preserve">Plánovaná doba realizace je </w:t>
            </w:r>
            <w:r w:rsidRPr="4AA51CF6" w:rsidR="56590A47">
              <w:rPr>
                <w:sz w:val="20"/>
                <w:szCs w:val="20"/>
              </w:rPr>
              <w:t>2021-2025</w:t>
            </w:r>
            <w:r w:rsidRPr="4AA51CF6">
              <w:rPr>
                <w:sz w:val="20"/>
                <w:szCs w:val="20"/>
              </w:rPr>
              <w:t>.</w:t>
            </w:r>
          </w:p>
        </w:tc>
      </w:tr>
    </w:tbl>
    <w:p w:rsidR="0097007C" w:rsidP="4AA51CF6" w:rsidRDefault="0097007C" w14:paraId="12CF5A42" w14:textId="77777777">
      <w:pPr>
        <w:spacing w:after="120" w:line="240" w:lineRule="auto"/>
        <w:jc w:val="both"/>
        <w:rPr>
          <w:b/>
          <w:bCs/>
          <w:sz w:val="20"/>
          <w:szCs w:val="20"/>
        </w:rPr>
      </w:pPr>
    </w:p>
    <w:p w:rsidRPr="007022F7" w:rsidR="0097007C" w:rsidP="4AA51CF6" w:rsidRDefault="0097007C" w14:paraId="23B7BFBD" w14:textId="574625DF">
      <w:pPr>
        <w:spacing w:after="120" w:line="240" w:lineRule="auto"/>
        <w:jc w:val="both"/>
        <w:rPr>
          <w:color w:val="000000" w:themeColor="text1"/>
          <w:sz w:val="20"/>
          <w:szCs w:val="20"/>
        </w:rPr>
      </w:pPr>
      <w:r w:rsidRPr="4EAC0756">
        <w:rPr>
          <w:b/>
          <w:bCs/>
          <w:color w:val="000000" w:themeColor="text1"/>
          <w:sz w:val="20"/>
          <w:szCs w:val="20"/>
        </w:rPr>
        <w:t>2.</w:t>
      </w:r>
      <w:r w:rsidRPr="4EAC0756" w:rsidR="0004176C">
        <w:rPr>
          <w:b/>
          <w:bCs/>
          <w:color w:val="000000" w:themeColor="text1"/>
          <w:sz w:val="20"/>
          <w:szCs w:val="20"/>
        </w:rPr>
        <w:t>4</w:t>
      </w:r>
      <w:r w:rsidRPr="4EAC0756">
        <w:rPr>
          <w:b/>
          <w:bCs/>
          <w:color w:val="000000" w:themeColor="text1"/>
          <w:sz w:val="20"/>
          <w:szCs w:val="20"/>
        </w:rPr>
        <w:t xml:space="preserve"> Internacionalizace start-</w:t>
      </w:r>
      <w:proofErr w:type="spellStart"/>
      <w:r w:rsidRPr="4EAC0756">
        <w:rPr>
          <w:b/>
          <w:bCs/>
          <w:color w:val="000000" w:themeColor="text1"/>
          <w:sz w:val="20"/>
          <w:szCs w:val="20"/>
        </w:rPr>
        <w:t>up</w:t>
      </w:r>
      <w:r w:rsidRPr="4EAC0756" w:rsidR="65D99BAC">
        <w:rPr>
          <w:b/>
          <w:bCs/>
          <w:color w:val="000000" w:themeColor="text1"/>
          <w:sz w:val="20"/>
          <w:szCs w:val="20"/>
        </w:rPr>
        <w:t>ů</w:t>
      </w:r>
      <w:proofErr w:type="spellEnd"/>
    </w:p>
    <w:tbl>
      <w:tblPr>
        <w:tblStyle w:val="a3"/>
        <w:tblW w:w="96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7223"/>
      </w:tblGrid>
      <w:tr w:rsidRPr="0097007C" w:rsidR="0097007C" w:rsidTr="4AA51CF6" w14:paraId="2EFD30A5" w14:textId="77777777">
        <w:tc>
          <w:tcPr>
            <w:tcW w:w="2405" w:type="dxa"/>
          </w:tcPr>
          <w:p w:rsidRPr="0097007C" w:rsidR="0097007C" w:rsidP="4AA51CF6" w:rsidRDefault="0097007C" w14:paraId="5593FB06" w14:textId="77777777">
            <w:pPr>
              <w:spacing w:after="120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Výzva</w:t>
            </w:r>
          </w:p>
        </w:tc>
        <w:tc>
          <w:tcPr>
            <w:tcW w:w="7223" w:type="dxa"/>
          </w:tcPr>
          <w:p w:rsidRPr="0097007C" w:rsidR="0097007C" w:rsidP="4AA51CF6" w:rsidRDefault="0097007C" w14:paraId="2911E7FA" w14:textId="36351AC5">
            <w:pPr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 xml:space="preserve">Umět kvalifikovaně podpořit firmy ve fázi </w:t>
            </w:r>
            <w:proofErr w:type="spellStart"/>
            <w:r w:rsidRPr="4AA51CF6">
              <w:rPr>
                <w:sz w:val="20"/>
                <w:szCs w:val="20"/>
              </w:rPr>
              <w:t>startup</w:t>
            </w:r>
            <w:proofErr w:type="spellEnd"/>
            <w:r w:rsidRPr="4AA51CF6">
              <w:rPr>
                <w:sz w:val="20"/>
                <w:szCs w:val="20"/>
              </w:rPr>
              <w:t>/</w:t>
            </w:r>
            <w:proofErr w:type="spellStart"/>
            <w:r w:rsidRPr="4AA51CF6">
              <w:rPr>
                <w:sz w:val="20"/>
                <w:szCs w:val="20"/>
              </w:rPr>
              <w:t>scaleup</w:t>
            </w:r>
            <w:proofErr w:type="spellEnd"/>
            <w:r w:rsidRPr="4AA51CF6">
              <w:rPr>
                <w:sz w:val="20"/>
                <w:szCs w:val="20"/>
              </w:rPr>
              <w:t xml:space="preserve">. ČR je exportně zaměřená země, ve které bude technologický rozvoj tvořit základ ekonomického růstu v dalších obdobích. Ze zkušenosti ostatních vyspělých zemí je zřejmé, že sektor malých technologických firem je nutné podporovat a motivovat k dalšímu ekonomickému a technologickému růstu. Tento rozvoj je však poměrně nákladný a klade nároky i na odborné znalosti MSP. Většina současných světových technologických gigantů (např. Microsoft, Google, Dell, </w:t>
            </w:r>
            <w:proofErr w:type="spellStart"/>
            <w:r w:rsidRPr="4AA51CF6">
              <w:rPr>
                <w:sz w:val="20"/>
                <w:szCs w:val="20"/>
              </w:rPr>
              <w:t>Facebook</w:t>
            </w:r>
            <w:proofErr w:type="spellEnd"/>
            <w:r w:rsidRPr="4AA51CF6">
              <w:rPr>
                <w:sz w:val="20"/>
                <w:szCs w:val="20"/>
              </w:rPr>
              <w:t xml:space="preserve">) vznikly jako začínající (start-up) firmy, které neměly možnost hned zpočátku svého působení na trhu dosáhnout na klasické finanční nástroje, neměly potřebné know-how, zkušenosti ani možnost představit své unikátní produkty širšímu trhu a potýkaly se s nedůvěrou potencionálních obchodních nebo technologických partnerů. V případě rozjezdu podnikání je řada firem navíc zatížena tím, že působí na malém českém trhu a nemají finanční možnosti k rychlému průniku </w:t>
            </w:r>
            <w:r w:rsidRPr="4AA51CF6">
              <w:rPr>
                <w:sz w:val="20"/>
                <w:szCs w:val="20"/>
              </w:rPr>
              <w:lastRenderedPageBreak/>
              <w:t xml:space="preserve">na nové trhy. V současné době navíc není možné cestovat za podnikatelskými příležitostmi do zahraničí, a to jak na B2B meetingy, na akce, konference, veletrhy či je velmi komplikované prosazovat se na zahraničních trzích. Z tohoto důvodu klesá motivace </w:t>
            </w:r>
            <w:proofErr w:type="spellStart"/>
            <w:r w:rsidRPr="4AA51CF6">
              <w:rPr>
                <w:sz w:val="20"/>
                <w:szCs w:val="20"/>
              </w:rPr>
              <w:t>startupů</w:t>
            </w:r>
            <w:proofErr w:type="spellEnd"/>
            <w:r w:rsidRPr="4AA51CF6">
              <w:rPr>
                <w:sz w:val="20"/>
                <w:szCs w:val="20"/>
              </w:rPr>
              <w:t xml:space="preserve"> k zavádění nových inovací na zahraničních trzích, jelikož nemají dostatečné zázemí, kapacity či know-how jak oslovit potenciální zákazníky, partnery či investory. </w:t>
            </w:r>
          </w:p>
        </w:tc>
      </w:tr>
      <w:tr w:rsidRPr="0097007C" w:rsidR="0097007C" w:rsidTr="4AA51CF6" w14:paraId="4B346018" w14:textId="77777777">
        <w:tc>
          <w:tcPr>
            <w:tcW w:w="2405" w:type="dxa"/>
          </w:tcPr>
          <w:p w:rsidRPr="0097007C" w:rsidR="0097007C" w:rsidP="4AA51CF6" w:rsidRDefault="0097007C" w14:paraId="42400714" w14:textId="77777777">
            <w:pPr>
              <w:spacing w:after="120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lastRenderedPageBreak/>
              <w:t>Cíl</w:t>
            </w:r>
          </w:p>
        </w:tc>
        <w:tc>
          <w:tcPr>
            <w:tcW w:w="7223" w:type="dxa"/>
          </w:tcPr>
          <w:p w:rsidRPr="0097007C" w:rsidR="0097007C" w:rsidP="4AA51CF6" w:rsidRDefault="0097007C" w14:paraId="2D5C5BA4" w14:textId="78D8C644">
            <w:pPr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 xml:space="preserve">Cílem je umět kvalifikovaně podpořit firmy, které vyrostou v ČR ve </w:t>
            </w:r>
            <w:proofErr w:type="spellStart"/>
            <w:r w:rsidRPr="4AA51CF6">
              <w:rPr>
                <w:sz w:val="20"/>
                <w:szCs w:val="20"/>
              </w:rPr>
              <w:t>scaleupy</w:t>
            </w:r>
            <w:proofErr w:type="spellEnd"/>
            <w:r w:rsidRPr="4AA51CF6">
              <w:rPr>
                <w:sz w:val="20"/>
                <w:szCs w:val="20"/>
              </w:rPr>
              <w:t xml:space="preserve"> (rychle rostoucí a mezinárodně expandující podniky) ve specifických oblastech, které potřebují řešit (jak uřídit prudký růst, jak expandovat do zahraničí, jak pro to zajistit kvalifikované odborníky), a to především v oblastech: a) Majitelské (majetkové a vlastnické struktury, příprava na investici); b) Manažerské (budování manažerské struktury pro řízení expanze); c) Podnikatelské (byznys </w:t>
            </w:r>
            <w:proofErr w:type="spellStart"/>
            <w:r w:rsidRPr="4AA51CF6">
              <w:rPr>
                <w:sz w:val="20"/>
                <w:szCs w:val="20"/>
              </w:rPr>
              <w:t>development</w:t>
            </w:r>
            <w:proofErr w:type="spellEnd"/>
            <w:r w:rsidRPr="4AA51CF6">
              <w:rPr>
                <w:sz w:val="20"/>
                <w:szCs w:val="20"/>
              </w:rPr>
              <w:t xml:space="preserve"> do zahraničí, hledání nových trhů a odbytišť, budování (mezinárodních) partnerství.); d) další specializované služby (finanční, právní, regulatorní služby...). Podpora </w:t>
            </w:r>
            <w:proofErr w:type="spellStart"/>
            <w:r w:rsidRPr="4AA51CF6">
              <w:rPr>
                <w:sz w:val="20"/>
                <w:szCs w:val="20"/>
              </w:rPr>
              <w:t>startupů</w:t>
            </w:r>
            <w:proofErr w:type="spellEnd"/>
            <w:r w:rsidRPr="4AA51CF6">
              <w:rPr>
                <w:sz w:val="20"/>
                <w:szCs w:val="20"/>
              </w:rPr>
              <w:t xml:space="preserve"> bude spočívat v podpoře vstupu na nové zahraniční trhy, přístupu k vyspělým technologiím a kapitálové infrastruktuře v zahraničí (tj. na míru ušitý akcelerační program) a povede též k navýšení soukromých investic do </w:t>
            </w:r>
            <w:proofErr w:type="spellStart"/>
            <w:r w:rsidRPr="4AA51CF6">
              <w:rPr>
                <w:sz w:val="20"/>
                <w:szCs w:val="20"/>
              </w:rPr>
              <w:t>startupů</w:t>
            </w:r>
            <w:proofErr w:type="spellEnd"/>
            <w:r w:rsidRPr="4AA51CF6">
              <w:rPr>
                <w:sz w:val="20"/>
                <w:szCs w:val="20"/>
              </w:rPr>
              <w:t xml:space="preserve"> a zajištění jejich další akcelerace.</w:t>
            </w:r>
          </w:p>
        </w:tc>
      </w:tr>
      <w:tr w:rsidRPr="0097007C" w:rsidR="0097007C" w:rsidTr="4AA51CF6" w14:paraId="00E9D50C" w14:textId="77777777">
        <w:tc>
          <w:tcPr>
            <w:tcW w:w="2405" w:type="dxa"/>
          </w:tcPr>
          <w:p w:rsidRPr="0097007C" w:rsidR="0097007C" w:rsidP="4AA51CF6" w:rsidRDefault="0097007C" w14:paraId="3357576E" w14:textId="77777777">
            <w:pPr>
              <w:spacing w:after="120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Implementace</w:t>
            </w:r>
          </w:p>
        </w:tc>
        <w:tc>
          <w:tcPr>
            <w:tcW w:w="7223" w:type="dxa"/>
          </w:tcPr>
          <w:p w:rsidR="0017667B" w:rsidP="4AA51CF6" w:rsidRDefault="0017667B" w14:paraId="42947B7D" w14:textId="2975E7EA">
            <w:pPr>
              <w:spacing w:after="120"/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 xml:space="preserve">Investice reaguje na kritický nedostatek (v některých oborech až absenci) kvalifikovaných odborníků v ČR pro tuto fázi růstu (odborníci na vyjednávání podmínek s velkými investory, budování mez. obchodních týmů, mezinárodní IPR...). Zároveň budou v rámci projektu vyvíjeny nové digitální nástroje, tzv. „Digital </w:t>
            </w:r>
            <w:proofErr w:type="spellStart"/>
            <w:r w:rsidRPr="4AA51CF6">
              <w:rPr>
                <w:sz w:val="20"/>
                <w:szCs w:val="20"/>
              </w:rPr>
              <w:t>promotion</w:t>
            </w:r>
            <w:proofErr w:type="spellEnd"/>
            <w:r w:rsidRPr="4AA51CF6">
              <w:rPr>
                <w:sz w:val="20"/>
                <w:szCs w:val="20"/>
              </w:rPr>
              <w:t xml:space="preserve"> 4.0“, které umožní firmám pružněji reagovat na změny na trhu a přizpůsobit se digitálním trendům. Projekt umožňuje získání podnikatelských zkušeností a kontaktů, zvyšuje pravděpodobnost získání financování prostřednictvím rizikového kapitálu, umožňuje začínajícím podnikatelům seznámit se s trendy a podnikatelským ekosystémem vyspělého trhu ze kterého čerpaní znalosti. Ty jsou díky tomu schopny pružně reagovat na celosvětový vývoj v oblasti inovací, své podnikání dále akcelerovat, expandovat na zahraniční trhy a zvýšit tak míru internacionalizace mladých českých inovativních firem. Projekt bude zaměřen na systematické předávání zkušeností s řízením firmy, vč. souvisejících činností, zkušenými podnikateli a manažery a „pobyty“ manažerů v zahraničí v kombinaci s přímou podporou přispějí k rozvoji podnikatelského prostředí v segmentu MSP, k získání praktických manažerských zkušeností na cílových trzích a rozvoji podnikatelského ducha mezi začínajícími podnikateli. Primární zaměření projektu bude na </w:t>
            </w:r>
            <w:proofErr w:type="spellStart"/>
            <w:r w:rsidRPr="4AA51CF6">
              <w:rPr>
                <w:sz w:val="20"/>
                <w:szCs w:val="20"/>
              </w:rPr>
              <w:t>Key</w:t>
            </w:r>
            <w:proofErr w:type="spellEnd"/>
            <w:r w:rsidRPr="4AA51CF6">
              <w:rPr>
                <w:sz w:val="20"/>
                <w:szCs w:val="20"/>
              </w:rPr>
              <w:t xml:space="preserve"> </w:t>
            </w:r>
            <w:proofErr w:type="spellStart"/>
            <w:r w:rsidRPr="4AA51CF6">
              <w:rPr>
                <w:sz w:val="20"/>
                <w:szCs w:val="20"/>
              </w:rPr>
              <w:t>Enabling</w:t>
            </w:r>
            <w:proofErr w:type="spellEnd"/>
            <w:r w:rsidRPr="4AA51CF6">
              <w:rPr>
                <w:sz w:val="20"/>
                <w:szCs w:val="20"/>
              </w:rPr>
              <w:t xml:space="preserve"> and </w:t>
            </w:r>
            <w:proofErr w:type="spellStart"/>
            <w:r w:rsidRPr="4AA51CF6">
              <w:rPr>
                <w:sz w:val="20"/>
                <w:szCs w:val="20"/>
              </w:rPr>
              <w:t>Hi-tech</w:t>
            </w:r>
            <w:proofErr w:type="spellEnd"/>
            <w:r w:rsidRPr="4AA51CF6">
              <w:rPr>
                <w:sz w:val="20"/>
                <w:szCs w:val="20"/>
              </w:rPr>
              <w:t xml:space="preserve"> </w:t>
            </w:r>
            <w:proofErr w:type="spellStart"/>
            <w:r w:rsidRPr="4AA51CF6">
              <w:rPr>
                <w:sz w:val="20"/>
                <w:szCs w:val="20"/>
              </w:rPr>
              <w:t>technologies</w:t>
            </w:r>
            <w:proofErr w:type="spellEnd"/>
            <w:r w:rsidRPr="4AA51CF6">
              <w:rPr>
                <w:sz w:val="20"/>
                <w:szCs w:val="20"/>
              </w:rPr>
              <w:t>.</w:t>
            </w:r>
            <w:r w:rsidRPr="4AA51CF6" w:rsidR="1D7CBC02">
              <w:rPr>
                <w:sz w:val="20"/>
                <w:szCs w:val="20"/>
              </w:rPr>
              <w:t xml:space="preserve"> Zvláštní důraz bude na projekty podporující rovné příležitosti žen a mužů a menšin.</w:t>
            </w:r>
          </w:p>
          <w:p w:rsidRPr="0097007C" w:rsidR="0097007C" w:rsidP="4AA51CF6" w:rsidRDefault="0097007C" w14:paraId="38C1E137" w14:textId="13C68978">
            <w:pPr>
              <w:spacing w:after="120"/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 xml:space="preserve">Implementačním orgánem bude agentura </w:t>
            </w:r>
            <w:proofErr w:type="spellStart"/>
            <w:r w:rsidRPr="4AA51CF6">
              <w:rPr>
                <w:sz w:val="20"/>
                <w:szCs w:val="20"/>
              </w:rPr>
              <w:t>CzechInvest</w:t>
            </w:r>
            <w:proofErr w:type="spellEnd"/>
            <w:r w:rsidRPr="4AA51CF6">
              <w:rPr>
                <w:sz w:val="20"/>
                <w:szCs w:val="20"/>
              </w:rPr>
              <w:t xml:space="preserve">, a to dle schválené Inovační strategie ČR 2030 i programu </w:t>
            </w:r>
            <w:proofErr w:type="spellStart"/>
            <w:r w:rsidRPr="4AA51CF6">
              <w:rPr>
                <w:sz w:val="20"/>
                <w:szCs w:val="20"/>
              </w:rPr>
              <w:t>The</w:t>
            </w:r>
            <w:proofErr w:type="spellEnd"/>
            <w:r w:rsidRPr="4AA51CF6">
              <w:rPr>
                <w:sz w:val="20"/>
                <w:szCs w:val="20"/>
              </w:rPr>
              <w:t xml:space="preserve"> Country </w:t>
            </w:r>
            <w:proofErr w:type="spellStart"/>
            <w:r w:rsidRPr="4AA51CF6">
              <w:rPr>
                <w:sz w:val="20"/>
                <w:szCs w:val="20"/>
              </w:rPr>
              <w:t>for</w:t>
            </w:r>
            <w:proofErr w:type="spellEnd"/>
            <w:r w:rsidRPr="4AA51CF6">
              <w:rPr>
                <w:sz w:val="20"/>
                <w:szCs w:val="20"/>
              </w:rPr>
              <w:t xml:space="preserve"> </w:t>
            </w:r>
            <w:proofErr w:type="spellStart"/>
            <w:r w:rsidRPr="4AA51CF6">
              <w:rPr>
                <w:sz w:val="20"/>
                <w:szCs w:val="20"/>
              </w:rPr>
              <w:t>the</w:t>
            </w:r>
            <w:proofErr w:type="spellEnd"/>
            <w:r w:rsidRPr="4AA51CF6">
              <w:rPr>
                <w:sz w:val="20"/>
                <w:szCs w:val="20"/>
              </w:rPr>
              <w:t xml:space="preserve"> </w:t>
            </w:r>
            <w:proofErr w:type="spellStart"/>
            <w:r w:rsidRPr="4AA51CF6">
              <w:rPr>
                <w:sz w:val="20"/>
                <w:szCs w:val="20"/>
              </w:rPr>
              <w:t>Future</w:t>
            </w:r>
            <w:proofErr w:type="spellEnd"/>
            <w:r w:rsidRPr="4AA51CF6">
              <w:rPr>
                <w:sz w:val="20"/>
                <w:szCs w:val="20"/>
              </w:rPr>
              <w:t xml:space="preserve"> schváleném vládou, která bude zajišťovat jak přímou, tak nepřímou podporu podpořeným firmám. V projektu bude docházet k přenosu podnikatelského know-how z vysoce rozvinutých </w:t>
            </w:r>
            <w:proofErr w:type="spellStart"/>
            <w:r w:rsidRPr="4AA51CF6">
              <w:rPr>
                <w:sz w:val="20"/>
                <w:szCs w:val="20"/>
              </w:rPr>
              <w:t>startupových</w:t>
            </w:r>
            <w:proofErr w:type="spellEnd"/>
            <w:r w:rsidRPr="4AA51CF6">
              <w:rPr>
                <w:sz w:val="20"/>
                <w:szCs w:val="20"/>
              </w:rPr>
              <w:t xml:space="preserve"> ekosystémů. Firmy budou moci validovat své produkty na zahraničním trhu, naučí se přizpůsobit obchodní modely na místní trhy a okolní podmínky a naučí se budovat globální byznys. </w:t>
            </w:r>
          </w:p>
        </w:tc>
      </w:tr>
      <w:tr w:rsidRPr="0097007C" w:rsidR="0097007C" w:rsidTr="4AA51CF6" w14:paraId="53FD6FD0" w14:textId="77777777">
        <w:trPr>
          <w:trHeight w:val="70"/>
        </w:trPr>
        <w:tc>
          <w:tcPr>
            <w:tcW w:w="2405" w:type="dxa"/>
          </w:tcPr>
          <w:p w:rsidRPr="0097007C" w:rsidR="0097007C" w:rsidP="4AA51CF6" w:rsidRDefault="0097007C" w14:paraId="259EED93" w14:textId="77777777">
            <w:pPr>
              <w:spacing w:after="120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Spolupráce a zapojení zúčastněných stran</w:t>
            </w:r>
          </w:p>
        </w:tc>
        <w:tc>
          <w:tcPr>
            <w:tcW w:w="7223" w:type="dxa"/>
          </w:tcPr>
          <w:p w:rsidRPr="0097007C" w:rsidR="0097007C" w:rsidP="4AA51CF6" w:rsidRDefault="0097007C" w14:paraId="5D0CED6E" w14:textId="77777777">
            <w:pPr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 xml:space="preserve">Spolupráce s MPO a vyspělými zahraničními podnikatelskými inkubátory a huby, a investory v zahraničí. </w:t>
            </w:r>
          </w:p>
        </w:tc>
      </w:tr>
      <w:tr w:rsidRPr="0097007C" w:rsidR="0097007C" w:rsidTr="4AA51CF6" w14:paraId="0B50FD4A" w14:textId="77777777">
        <w:tc>
          <w:tcPr>
            <w:tcW w:w="2405" w:type="dxa"/>
          </w:tcPr>
          <w:p w:rsidRPr="0097007C" w:rsidR="0097007C" w:rsidP="4AA51CF6" w:rsidRDefault="0097007C" w14:paraId="3CB74E70" w14:textId="77777777">
            <w:pPr>
              <w:spacing w:after="120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Překážky a rizika</w:t>
            </w:r>
          </w:p>
        </w:tc>
        <w:tc>
          <w:tcPr>
            <w:tcW w:w="7223" w:type="dxa"/>
          </w:tcPr>
          <w:p w:rsidRPr="0097007C" w:rsidR="0097007C" w:rsidP="4AA51CF6" w:rsidRDefault="0097007C" w14:paraId="5F48EA4A" w14:textId="7D327FC5">
            <w:pPr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 xml:space="preserve">Nedostatečný počet vznikajících </w:t>
            </w:r>
            <w:proofErr w:type="spellStart"/>
            <w:r w:rsidRPr="4AA51CF6">
              <w:rPr>
                <w:sz w:val="20"/>
                <w:szCs w:val="20"/>
              </w:rPr>
              <w:t>startupů</w:t>
            </w:r>
            <w:proofErr w:type="spellEnd"/>
            <w:r w:rsidRPr="4AA51CF6">
              <w:rPr>
                <w:sz w:val="20"/>
                <w:szCs w:val="20"/>
              </w:rPr>
              <w:t xml:space="preserve">; nedostatek soukromého co-financování firem; nevhodný výběr lokalit, </w:t>
            </w:r>
            <w:r w:rsidRPr="4AA51CF6" w:rsidR="0017667B">
              <w:rPr>
                <w:sz w:val="20"/>
                <w:szCs w:val="20"/>
              </w:rPr>
              <w:t xml:space="preserve">opakující se </w:t>
            </w:r>
            <w:r w:rsidRPr="4AA51CF6">
              <w:rPr>
                <w:sz w:val="20"/>
                <w:szCs w:val="20"/>
              </w:rPr>
              <w:t xml:space="preserve">krize typu </w:t>
            </w:r>
            <w:r w:rsidRPr="4AA51CF6" w:rsidR="0017667B">
              <w:rPr>
                <w:sz w:val="20"/>
                <w:szCs w:val="20"/>
              </w:rPr>
              <w:t>C</w:t>
            </w:r>
            <w:r w:rsidRPr="4AA51CF6">
              <w:rPr>
                <w:sz w:val="20"/>
                <w:szCs w:val="20"/>
              </w:rPr>
              <w:t>ovid19 (zavřené hranice a možnost fyzické přítomnosti v místě)</w:t>
            </w:r>
            <w:r w:rsidRPr="4AA51CF6" w:rsidR="0017667B">
              <w:rPr>
                <w:sz w:val="20"/>
                <w:szCs w:val="20"/>
              </w:rPr>
              <w:t>.</w:t>
            </w:r>
          </w:p>
        </w:tc>
      </w:tr>
      <w:tr w:rsidRPr="0097007C" w:rsidR="0097007C" w:rsidTr="4AA51CF6" w14:paraId="57E5ADCD" w14:textId="77777777">
        <w:tc>
          <w:tcPr>
            <w:tcW w:w="2405" w:type="dxa"/>
          </w:tcPr>
          <w:p w:rsidRPr="0097007C" w:rsidR="0097007C" w:rsidP="4AA51CF6" w:rsidRDefault="0097007C" w14:paraId="3D11C2A5" w14:textId="77777777">
            <w:pPr>
              <w:spacing w:after="120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Cílové skupiny populace a ekonomické subjekty</w:t>
            </w:r>
          </w:p>
        </w:tc>
        <w:tc>
          <w:tcPr>
            <w:tcW w:w="7223" w:type="dxa"/>
          </w:tcPr>
          <w:p w:rsidRPr="0097007C" w:rsidR="0097007C" w:rsidP="4AA51CF6" w:rsidRDefault="0097007C" w14:paraId="6D6507B5" w14:textId="77777777">
            <w:pPr>
              <w:jc w:val="both"/>
              <w:rPr>
                <w:sz w:val="20"/>
                <w:szCs w:val="20"/>
              </w:rPr>
            </w:pPr>
            <w:bookmarkStart w:name="_gjdgxs" w:id="0"/>
            <w:bookmarkEnd w:id="0"/>
            <w:proofErr w:type="spellStart"/>
            <w:r w:rsidRPr="4AA51CF6">
              <w:rPr>
                <w:sz w:val="20"/>
                <w:szCs w:val="20"/>
              </w:rPr>
              <w:t>Startupy</w:t>
            </w:r>
            <w:proofErr w:type="spellEnd"/>
            <w:r w:rsidRPr="4AA51CF6">
              <w:rPr>
                <w:sz w:val="20"/>
                <w:szCs w:val="20"/>
              </w:rPr>
              <w:t xml:space="preserve"> a rychle rostoucí inovativní firmy (tzv. </w:t>
            </w:r>
            <w:proofErr w:type="spellStart"/>
            <w:r w:rsidRPr="4AA51CF6">
              <w:rPr>
                <w:sz w:val="20"/>
                <w:szCs w:val="20"/>
              </w:rPr>
              <w:t>scale-upy</w:t>
            </w:r>
            <w:proofErr w:type="spellEnd"/>
            <w:r w:rsidRPr="4AA51CF6">
              <w:rPr>
                <w:sz w:val="20"/>
                <w:szCs w:val="20"/>
              </w:rPr>
              <w:t>). Za inovativní se považuje firma, která vyvíjí produkt/službu za využití nových či zlepšených procesů, postupů a kreativity, přinášející nová řešení a takové výsledné technické a další kvalitativní parametry, u nichž má podložený důvod se domnívat, že předčí momentální srovnatelné produkty/služby na trhu ČR a minimálně se vyrovná srovnatelným produktům/službám na mezinárodní úrovni. Inovaci může firma přinášet jak v samotném produktu/službě, tak v rámci inovativního business modelu.</w:t>
            </w:r>
          </w:p>
        </w:tc>
      </w:tr>
      <w:tr w:rsidRPr="0097007C" w:rsidR="0097007C" w:rsidTr="4AA51CF6" w14:paraId="4AC24BFB" w14:textId="77777777">
        <w:tc>
          <w:tcPr>
            <w:tcW w:w="2405" w:type="dxa"/>
          </w:tcPr>
          <w:p w:rsidRPr="0097007C" w:rsidR="0097007C" w:rsidP="4AA51CF6" w:rsidRDefault="0097007C" w14:paraId="214985D7" w14:textId="77777777">
            <w:pPr>
              <w:spacing w:after="120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lastRenderedPageBreak/>
              <w:t>Souhrnné náklady realizace financované z RRF za celé období</w:t>
            </w:r>
          </w:p>
        </w:tc>
        <w:tc>
          <w:tcPr>
            <w:tcW w:w="7223" w:type="dxa"/>
          </w:tcPr>
          <w:p w:rsidRPr="0097007C" w:rsidR="0097007C" w:rsidP="4AA51CF6" w:rsidRDefault="0097007C" w14:paraId="1CA03FF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Investice potřebná pro naplněný výše uvedeného cíle je 215 mil. Kč</w:t>
            </w:r>
          </w:p>
        </w:tc>
      </w:tr>
      <w:tr w:rsidRPr="0097007C" w:rsidR="0097007C" w:rsidTr="4AA51CF6" w14:paraId="76EB92F2" w14:textId="77777777">
        <w:tc>
          <w:tcPr>
            <w:tcW w:w="2405" w:type="dxa"/>
          </w:tcPr>
          <w:p w:rsidRPr="0097007C" w:rsidR="0097007C" w:rsidP="4AA51CF6" w:rsidRDefault="0097007C" w14:paraId="1AE9BBF2" w14:textId="77777777">
            <w:pPr>
              <w:spacing w:after="120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Dodržování pravidel státní podpory</w:t>
            </w:r>
          </w:p>
        </w:tc>
        <w:tc>
          <w:tcPr>
            <w:tcW w:w="7223" w:type="dxa"/>
          </w:tcPr>
          <w:p w:rsidRPr="0097007C" w:rsidR="0097007C" w:rsidP="4AA51CF6" w:rsidRDefault="0097007C" w14:paraId="13DBEBA3" w14:textId="77777777">
            <w:pPr>
              <w:spacing w:after="120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 xml:space="preserve">Podpora bude poskytována v rámci režimu de </w:t>
            </w:r>
            <w:proofErr w:type="spellStart"/>
            <w:r w:rsidRPr="4AA51CF6">
              <w:rPr>
                <w:sz w:val="20"/>
                <w:szCs w:val="20"/>
              </w:rPr>
              <w:t>minimis</w:t>
            </w:r>
            <w:proofErr w:type="spellEnd"/>
            <w:r w:rsidRPr="4AA51CF6">
              <w:rPr>
                <w:sz w:val="20"/>
                <w:szCs w:val="20"/>
              </w:rPr>
              <w:t xml:space="preserve">. </w:t>
            </w:r>
          </w:p>
        </w:tc>
      </w:tr>
      <w:tr w:rsidRPr="0097007C" w:rsidR="0097007C" w:rsidTr="4AA51CF6" w14:paraId="7F0B6609" w14:textId="77777777">
        <w:tc>
          <w:tcPr>
            <w:tcW w:w="2405" w:type="dxa"/>
          </w:tcPr>
          <w:p w:rsidRPr="0097007C" w:rsidR="0097007C" w:rsidP="4AA51CF6" w:rsidRDefault="0097007C" w14:paraId="467139BC" w14:textId="77777777">
            <w:pPr>
              <w:spacing w:after="120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Uveďte dobu implementace</w:t>
            </w:r>
          </w:p>
        </w:tc>
        <w:tc>
          <w:tcPr>
            <w:tcW w:w="7223" w:type="dxa"/>
          </w:tcPr>
          <w:p w:rsidRPr="001D60C1" w:rsidR="0097007C" w:rsidP="4AA51CF6" w:rsidRDefault="0097007C" w14:paraId="00C0C9D3" w14:textId="5FC9F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Projekt bude implementován po dobu 36 měsíců, tj. od 1/2021 do 12/2023</w:t>
            </w:r>
            <w:r w:rsidRPr="4AA51CF6" w:rsidR="351B376E">
              <w:rPr>
                <w:sz w:val="20"/>
                <w:szCs w:val="20"/>
              </w:rPr>
              <w:t>.</w:t>
            </w:r>
          </w:p>
        </w:tc>
      </w:tr>
    </w:tbl>
    <w:p w:rsidR="0097007C" w:rsidP="4AA51CF6" w:rsidRDefault="0097007C" w14:paraId="515164F5" w14:textId="0662ACDA">
      <w:pPr>
        <w:spacing w:line="240" w:lineRule="auto"/>
        <w:rPr>
          <w:b/>
          <w:bCs/>
          <w:sz w:val="20"/>
          <w:szCs w:val="20"/>
        </w:rPr>
      </w:pPr>
    </w:p>
    <w:p w:rsidRPr="0097007C" w:rsidR="007D49E4" w:rsidP="4AA51CF6" w:rsidRDefault="0097007C" w14:paraId="00000184" w14:textId="50A31C89">
      <w:pPr>
        <w:spacing w:line="240" w:lineRule="auto"/>
        <w:rPr>
          <w:b/>
          <w:bCs/>
          <w:sz w:val="20"/>
          <w:szCs w:val="20"/>
        </w:rPr>
      </w:pPr>
      <w:r w:rsidRPr="4EAC0756">
        <w:rPr>
          <w:b/>
          <w:bCs/>
          <w:sz w:val="20"/>
          <w:szCs w:val="20"/>
        </w:rPr>
        <w:t xml:space="preserve">2.5 </w:t>
      </w:r>
      <w:r w:rsidRPr="4EAC0756" w:rsidR="68EC526A">
        <w:rPr>
          <w:b/>
          <w:bCs/>
          <w:sz w:val="20"/>
          <w:szCs w:val="20"/>
        </w:rPr>
        <w:t xml:space="preserve">Regulatorní </w:t>
      </w:r>
      <w:proofErr w:type="spellStart"/>
      <w:r w:rsidRPr="4EAC0756">
        <w:rPr>
          <w:b/>
          <w:bCs/>
          <w:sz w:val="20"/>
          <w:szCs w:val="20"/>
        </w:rPr>
        <w:t>sandbox</w:t>
      </w:r>
      <w:r w:rsidRPr="4EAC0756" w:rsidR="0CAA0E2D">
        <w:rPr>
          <w:b/>
          <w:bCs/>
          <w:sz w:val="20"/>
          <w:szCs w:val="20"/>
        </w:rPr>
        <w:t>y</w:t>
      </w:r>
      <w:proofErr w:type="spellEnd"/>
      <w:r w:rsidR="001222D7">
        <w:rPr>
          <w:b/>
          <w:bCs/>
          <w:sz w:val="20"/>
          <w:szCs w:val="20"/>
        </w:rPr>
        <w:t xml:space="preserve"> </w:t>
      </w:r>
      <w:r w:rsidRPr="4EAC0756">
        <w:rPr>
          <w:b/>
          <w:bCs/>
          <w:sz w:val="20"/>
          <w:szCs w:val="20"/>
        </w:rPr>
        <w:t>v souladu s EU prioritami</w:t>
      </w:r>
    </w:p>
    <w:tbl>
      <w:tblPr>
        <w:tblStyle w:val="ac"/>
        <w:tblW w:w="96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7223"/>
      </w:tblGrid>
      <w:tr w:rsidRPr="007A4BFB" w:rsidR="00EB5AC6" w:rsidTr="4AA51CF6" w14:paraId="1CB3A9EB" w14:textId="77777777">
        <w:tc>
          <w:tcPr>
            <w:tcW w:w="2405" w:type="dxa"/>
          </w:tcPr>
          <w:p w:rsidRPr="007A4BFB" w:rsidR="00EB5AC6" w:rsidP="4AA51CF6" w:rsidRDefault="00EB5AC6" w14:paraId="00000185" w14:textId="77565496">
            <w:pPr>
              <w:spacing w:after="120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Výzva</w:t>
            </w:r>
          </w:p>
        </w:tc>
        <w:tc>
          <w:tcPr>
            <w:tcW w:w="7223" w:type="dxa"/>
          </w:tcPr>
          <w:p w:rsidRPr="0097375C" w:rsidR="00EB5AC6" w:rsidP="4AA51CF6" w:rsidRDefault="00EB5AC6" w14:paraId="56C77AD7" w14:textId="77777777">
            <w:pPr>
              <w:pStyle w:val="Normlnweb"/>
              <w:spacing w:before="0" w:beforeAutospacing="0" w:after="120" w:afterAutospacing="0"/>
              <w:jc w:val="both"/>
              <w:rPr>
                <w:rFonts w:ascii="Calibri" w:hAnsi="Calibri" w:eastAsia="Calibri" w:cs="Calibri"/>
                <w:sz w:val="20"/>
                <w:szCs w:val="20"/>
                <w:lang w:eastAsia="cs-CZ"/>
              </w:rPr>
            </w:pPr>
            <w:r w:rsidRPr="4AA51CF6">
              <w:rPr>
                <w:rFonts w:ascii="Calibri" w:hAnsi="Calibri" w:eastAsia="Calibri" w:cs="Calibri"/>
                <w:sz w:val="20"/>
                <w:szCs w:val="20"/>
                <w:lang w:eastAsia="cs-CZ"/>
              </w:rPr>
              <w:t xml:space="preserve">Silná a velmi podrobná regulace některých odvětví bývá překážkou pro rychlé a bezpečné zavádění moderních technologií, služeb a postupů. Ve výsledku může docházet k nevyužití </w:t>
            </w:r>
            <w:proofErr w:type="spellStart"/>
            <w:r w:rsidRPr="4AA51CF6">
              <w:rPr>
                <w:rFonts w:ascii="Calibri" w:hAnsi="Calibri" w:eastAsia="Calibri" w:cs="Calibri"/>
                <w:sz w:val="20"/>
                <w:szCs w:val="20"/>
                <w:lang w:eastAsia="cs-CZ"/>
              </w:rPr>
              <w:t>technologickych</w:t>
            </w:r>
            <w:proofErr w:type="spellEnd"/>
            <w:r w:rsidRPr="4AA51CF6">
              <w:rPr>
                <w:rFonts w:ascii="Calibri" w:hAnsi="Calibri" w:eastAsia="Calibri" w:cs="Calibri"/>
                <w:sz w:val="20"/>
                <w:szCs w:val="20"/>
                <w:lang w:eastAsia="cs-CZ"/>
              </w:rPr>
              <w:t xml:space="preserve"> řešení a nedostupnosti již vyvinutých, ale administrativně ještě neschválených produktů a služeb, které by mohly podpořit konkurenceschopnost firem a kvalitnější služby pro spotřebitele. Dále také může docházet k omezení tržní konkurence a z toho plynoucích vyšších cen a horší nabídky pro uživatele. Zároveň rychlý technologický vývoj vede k velmi prudkému zaostávání právní úpravy, kdy zastaralá sektorová regulace omezuje rozvoj ekonomiky a firem, modernizaci jimi poskytovaných služeb a adekvátní ochranu spotřebitele. </w:t>
            </w:r>
          </w:p>
          <w:p w:rsidRPr="0097375C" w:rsidR="00EB5AC6" w:rsidP="4AA51CF6" w:rsidRDefault="00EB5AC6" w14:paraId="3DC06C69" w14:textId="77777777">
            <w:pPr>
              <w:pStyle w:val="Normlnweb"/>
              <w:spacing w:before="0" w:beforeAutospacing="0" w:after="120" w:afterAutospacing="0"/>
              <w:jc w:val="both"/>
              <w:rPr>
                <w:rFonts w:ascii="Calibri" w:hAnsi="Calibri" w:eastAsia="Calibri" w:cs="Calibri"/>
                <w:sz w:val="20"/>
                <w:szCs w:val="20"/>
                <w:lang w:eastAsia="cs-CZ"/>
              </w:rPr>
            </w:pPr>
            <w:r w:rsidRPr="4AA51CF6">
              <w:rPr>
                <w:rFonts w:ascii="Calibri" w:hAnsi="Calibri" w:eastAsia="Calibri" w:cs="Calibri"/>
                <w:sz w:val="20"/>
                <w:szCs w:val="20"/>
                <w:lang w:eastAsia="cs-CZ"/>
              </w:rPr>
              <w:t xml:space="preserve">Pro rychlejší implementaci moderních technologií a rozvoj regulatorního prostředí příznivého pro inovace Evropská komise navrhuje členským státům zřízení regulatorních </w:t>
            </w:r>
            <w:proofErr w:type="spellStart"/>
            <w:r w:rsidRPr="4AA51CF6">
              <w:rPr>
                <w:rFonts w:ascii="Calibri" w:hAnsi="Calibri" w:eastAsia="Calibri" w:cs="Calibri"/>
                <w:sz w:val="20"/>
                <w:szCs w:val="20"/>
                <w:lang w:eastAsia="cs-CZ"/>
              </w:rPr>
              <w:t>sandboxů</w:t>
            </w:r>
            <w:proofErr w:type="spellEnd"/>
            <w:r w:rsidRPr="4AA51CF6">
              <w:rPr>
                <w:rFonts w:ascii="Calibri" w:hAnsi="Calibri" w:eastAsia="Calibri" w:cs="Calibri"/>
                <w:sz w:val="20"/>
                <w:szCs w:val="20"/>
                <w:lang w:eastAsia="cs-CZ"/>
              </w:rPr>
              <w:t>. Výsledky v mnoha zemích a odvětvích již dle Komise ukázaly jejich pozitivní dopad na zavádění inovací do praxe a vznik nových podniků.</w:t>
            </w:r>
          </w:p>
          <w:p w:rsidRPr="0097375C" w:rsidR="00EB5AC6" w:rsidP="4AA51CF6" w:rsidRDefault="00EB5AC6" w14:paraId="00000188" w14:textId="1A0BDDFA">
            <w:pPr>
              <w:pStyle w:val="Normlnweb"/>
              <w:spacing w:before="0" w:beforeAutospacing="0" w:after="120" w:afterAutospacing="0"/>
              <w:jc w:val="both"/>
              <w:rPr>
                <w:rFonts w:ascii="Calibri" w:hAnsi="Calibri" w:eastAsia="Calibri" w:cs="Calibri"/>
                <w:sz w:val="20"/>
                <w:szCs w:val="20"/>
                <w:lang w:eastAsia="cs-CZ"/>
              </w:rPr>
            </w:pPr>
            <w:r w:rsidRPr="4AA51CF6">
              <w:rPr>
                <w:rFonts w:ascii="Calibri" w:hAnsi="Calibri" w:eastAsia="Calibri" w:cs="Calibri"/>
                <w:sz w:val="20"/>
                <w:szCs w:val="20"/>
                <w:lang w:eastAsia="cs-CZ"/>
              </w:rPr>
              <w:t xml:space="preserve">Význam </w:t>
            </w:r>
            <w:proofErr w:type="spellStart"/>
            <w:r w:rsidRPr="4AA51CF6">
              <w:rPr>
                <w:rFonts w:ascii="Calibri" w:hAnsi="Calibri" w:eastAsia="Calibri" w:cs="Calibri"/>
                <w:sz w:val="20"/>
                <w:szCs w:val="20"/>
                <w:lang w:eastAsia="cs-CZ"/>
              </w:rPr>
              <w:t>sandboxů</w:t>
            </w:r>
            <w:proofErr w:type="spellEnd"/>
            <w:r w:rsidRPr="4AA51CF6">
              <w:rPr>
                <w:rFonts w:ascii="Calibri" w:hAnsi="Calibri" w:eastAsia="Calibri" w:cs="Calibri"/>
                <w:sz w:val="20"/>
                <w:szCs w:val="20"/>
                <w:lang w:eastAsia="cs-CZ"/>
              </w:rPr>
              <w:t xml:space="preserve"> zdůraznila Evropská komise např. ve své nedávné Strategii pro digitální finance. Mezi hlavní úkoly v této oblasti pak zmiňuje koordinaci činnost </w:t>
            </w:r>
            <w:proofErr w:type="spellStart"/>
            <w:r w:rsidRPr="4AA51CF6">
              <w:rPr>
                <w:rFonts w:ascii="Calibri" w:hAnsi="Calibri" w:eastAsia="Calibri" w:cs="Calibri"/>
                <w:sz w:val="20"/>
                <w:szCs w:val="20"/>
                <w:lang w:eastAsia="cs-CZ"/>
              </w:rPr>
              <w:t>sandboxů</w:t>
            </w:r>
            <w:proofErr w:type="spellEnd"/>
            <w:r w:rsidRPr="4AA51CF6">
              <w:rPr>
                <w:rFonts w:ascii="Calibri" w:hAnsi="Calibri" w:eastAsia="Calibri" w:cs="Calibri"/>
                <w:sz w:val="20"/>
                <w:szCs w:val="20"/>
                <w:lang w:eastAsia="cs-CZ"/>
              </w:rPr>
              <w:t xml:space="preserve"> napřič členskými státy. V oblasti testování umělé inteligence a robotických technologií navrhuje Komise přímo zřízení regulatorních </w:t>
            </w:r>
            <w:proofErr w:type="spellStart"/>
            <w:r w:rsidRPr="4AA51CF6">
              <w:rPr>
                <w:rFonts w:ascii="Calibri" w:hAnsi="Calibri" w:eastAsia="Calibri" w:cs="Calibri"/>
                <w:sz w:val="20"/>
                <w:szCs w:val="20"/>
                <w:lang w:eastAsia="cs-CZ"/>
              </w:rPr>
              <w:t>sandboxů</w:t>
            </w:r>
            <w:proofErr w:type="spellEnd"/>
            <w:r w:rsidRPr="4AA51CF6">
              <w:rPr>
                <w:rFonts w:ascii="Calibri" w:hAnsi="Calibri" w:eastAsia="Calibri" w:cs="Calibri"/>
                <w:sz w:val="20"/>
                <w:szCs w:val="20"/>
                <w:lang w:eastAsia="cs-CZ"/>
              </w:rPr>
              <w:t xml:space="preserve"> v revizi Koordinovaného plánu pro AI.  Jsou doslova nezbytnou součástí podpory nutné zejména pro SME a start-</w:t>
            </w:r>
            <w:proofErr w:type="spellStart"/>
            <w:r w:rsidRPr="4AA51CF6">
              <w:rPr>
                <w:rFonts w:ascii="Calibri" w:hAnsi="Calibri" w:eastAsia="Calibri" w:cs="Calibri"/>
                <w:sz w:val="20"/>
                <w:szCs w:val="20"/>
                <w:lang w:eastAsia="cs-CZ"/>
              </w:rPr>
              <w:t>upy</w:t>
            </w:r>
            <w:proofErr w:type="spellEnd"/>
            <w:r w:rsidRPr="4AA51CF6">
              <w:rPr>
                <w:rFonts w:ascii="Calibri" w:hAnsi="Calibri" w:eastAsia="Calibri" w:cs="Calibri"/>
                <w:sz w:val="20"/>
                <w:szCs w:val="20"/>
                <w:lang w:eastAsia="cs-CZ"/>
              </w:rPr>
              <w:t xml:space="preserve"> v případě přijetí nové plánované horizontální regulace AI. V této souvislosti mají podporovat implementaci právě tohoto horizontálního rámce pro důvěryhodnou AI, poskytnout nezbytnou infrastrukturu pro posouzení toho, které aplikace představují vysoké riziko a identifikaci příslušných opatření. Horizontální regulace AI má vytvořit rámec EU pro regulační </w:t>
            </w:r>
            <w:proofErr w:type="spellStart"/>
            <w:r w:rsidRPr="4AA51CF6">
              <w:rPr>
                <w:rFonts w:ascii="Calibri" w:hAnsi="Calibri" w:eastAsia="Calibri" w:cs="Calibri"/>
                <w:sz w:val="20"/>
                <w:szCs w:val="20"/>
                <w:lang w:eastAsia="cs-CZ"/>
              </w:rPr>
              <w:t>sandbox</w:t>
            </w:r>
            <w:proofErr w:type="spellEnd"/>
            <w:r w:rsidRPr="4AA51CF6">
              <w:rPr>
                <w:rFonts w:ascii="Calibri" w:hAnsi="Calibri" w:eastAsia="Calibri" w:cs="Calibri"/>
                <w:sz w:val="20"/>
                <w:szCs w:val="20"/>
                <w:lang w:eastAsia="cs-CZ"/>
              </w:rPr>
              <w:t xml:space="preserve"> s cílem podpořit příslušné vnitrostátní orgány při zřizování těchto </w:t>
            </w:r>
            <w:proofErr w:type="spellStart"/>
            <w:r w:rsidRPr="4AA51CF6">
              <w:rPr>
                <w:rFonts w:ascii="Calibri" w:hAnsi="Calibri" w:eastAsia="Calibri" w:cs="Calibri"/>
                <w:sz w:val="20"/>
                <w:szCs w:val="20"/>
                <w:lang w:eastAsia="cs-CZ"/>
              </w:rPr>
              <w:t>sandboxů</w:t>
            </w:r>
            <w:proofErr w:type="spellEnd"/>
            <w:r w:rsidRPr="4AA51CF6">
              <w:rPr>
                <w:rFonts w:ascii="Calibri" w:hAnsi="Calibri" w:eastAsia="Calibri" w:cs="Calibri"/>
                <w:sz w:val="20"/>
                <w:szCs w:val="20"/>
                <w:lang w:eastAsia="cs-CZ"/>
              </w:rPr>
              <w:t xml:space="preserve"> na vnitrostátní a přeshraniční úrovni s cílem usnadnit vývoj a testování inovativních systémů AI pod okamžitým regulačním dohledem.</w:t>
            </w:r>
          </w:p>
        </w:tc>
      </w:tr>
      <w:tr w:rsidRPr="007A4BFB" w:rsidR="00EB5AC6" w:rsidTr="4AA51CF6" w14:paraId="4F34CC82" w14:textId="77777777">
        <w:tc>
          <w:tcPr>
            <w:tcW w:w="2405" w:type="dxa"/>
          </w:tcPr>
          <w:p w:rsidRPr="007A4BFB" w:rsidR="00EB5AC6" w:rsidP="4AA51CF6" w:rsidRDefault="00EB5AC6" w14:paraId="00000189" w14:textId="0629A63E">
            <w:pPr>
              <w:spacing w:after="120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Cíl</w:t>
            </w:r>
          </w:p>
        </w:tc>
        <w:tc>
          <w:tcPr>
            <w:tcW w:w="7223" w:type="dxa"/>
          </w:tcPr>
          <w:p w:rsidRPr="00D06AB8" w:rsidR="00EB5AC6" w:rsidP="4AA51CF6" w:rsidRDefault="00EB5AC6" w14:paraId="277DBC79" w14:textId="77777777">
            <w:pPr>
              <w:pStyle w:val="Normlnweb"/>
              <w:spacing w:before="0" w:beforeAutospacing="0" w:after="120" w:afterAutospacing="0"/>
              <w:jc w:val="both"/>
              <w:rPr>
                <w:rFonts w:ascii="Calibri" w:hAnsi="Calibri" w:eastAsia="Calibri" w:cs="Calibri"/>
                <w:sz w:val="20"/>
                <w:szCs w:val="20"/>
                <w:lang w:eastAsia="cs-CZ"/>
              </w:rPr>
            </w:pPr>
            <w:r w:rsidRPr="4AA51CF6">
              <w:rPr>
                <w:rFonts w:ascii="Calibri" w:hAnsi="Calibri" w:eastAsia="Calibri" w:cs="Calibri"/>
                <w:sz w:val="20"/>
                <w:szCs w:val="20"/>
                <w:lang w:eastAsia="cs-CZ"/>
              </w:rPr>
              <w:t xml:space="preserve">Cílem investice je tvorba a provoz </w:t>
            </w:r>
            <w:proofErr w:type="spellStart"/>
            <w:r w:rsidRPr="4AA51CF6">
              <w:rPr>
                <w:rFonts w:ascii="Calibri" w:hAnsi="Calibri" w:eastAsia="Calibri" w:cs="Calibri"/>
                <w:sz w:val="20"/>
                <w:szCs w:val="20"/>
                <w:lang w:eastAsia="cs-CZ"/>
              </w:rPr>
              <w:t>sandboxů</w:t>
            </w:r>
            <w:proofErr w:type="spellEnd"/>
            <w:r w:rsidRPr="4AA51CF6">
              <w:rPr>
                <w:rFonts w:ascii="Calibri" w:hAnsi="Calibri" w:eastAsia="Calibri" w:cs="Calibri"/>
                <w:sz w:val="20"/>
                <w:szCs w:val="20"/>
                <w:lang w:eastAsia="cs-CZ"/>
              </w:rPr>
              <w:t xml:space="preserve"> (tj. testovacích prostředí) ve finančním sektoru a AI, jakožto nástrojů podpory pro (i) rychlé uvádění na trh dostupnějších, bezpečnějších a modernějších služeb v těchto oblastech; (</w:t>
            </w:r>
            <w:proofErr w:type="spellStart"/>
            <w:r w:rsidRPr="4AA51CF6">
              <w:rPr>
                <w:rFonts w:ascii="Calibri" w:hAnsi="Calibri" w:eastAsia="Calibri" w:cs="Calibri"/>
                <w:sz w:val="20"/>
                <w:szCs w:val="20"/>
                <w:lang w:eastAsia="cs-CZ"/>
              </w:rPr>
              <w:t>ii</w:t>
            </w:r>
            <w:proofErr w:type="spellEnd"/>
            <w:r w:rsidRPr="4AA51CF6">
              <w:rPr>
                <w:rFonts w:ascii="Calibri" w:hAnsi="Calibri" w:eastAsia="Calibri" w:cs="Calibri"/>
                <w:sz w:val="20"/>
                <w:szCs w:val="20"/>
                <w:lang w:eastAsia="cs-CZ"/>
              </w:rPr>
              <w:t>) vznik a růst inovativních firem a (</w:t>
            </w:r>
            <w:proofErr w:type="spellStart"/>
            <w:r w:rsidRPr="4AA51CF6">
              <w:rPr>
                <w:rFonts w:ascii="Calibri" w:hAnsi="Calibri" w:eastAsia="Calibri" w:cs="Calibri"/>
                <w:sz w:val="20"/>
                <w:szCs w:val="20"/>
                <w:lang w:eastAsia="cs-CZ"/>
              </w:rPr>
              <w:t>iii</w:t>
            </w:r>
            <w:proofErr w:type="spellEnd"/>
            <w:r w:rsidRPr="4AA51CF6">
              <w:rPr>
                <w:rFonts w:ascii="Calibri" w:hAnsi="Calibri" w:eastAsia="Calibri" w:cs="Calibri"/>
                <w:sz w:val="20"/>
                <w:szCs w:val="20"/>
                <w:lang w:eastAsia="cs-CZ"/>
              </w:rPr>
              <w:t>) digitalizaci ekonomiky:</w:t>
            </w:r>
          </w:p>
          <w:p w:rsidR="00EB5AC6" w:rsidP="4AA51CF6" w:rsidRDefault="00EB5AC6" w14:paraId="1DB43C56" w14:textId="77777777">
            <w:pPr>
              <w:pStyle w:val="Normlnweb"/>
              <w:spacing w:before="0" w:beforeAutospacing="0" w:after="120" w:afterAutospacing="0"/>
              <w:jc w:val="both"/>
              <w:rPr>
                <w:rFonts w:ascii="Calibri" w:hAnsi="Calibri" w:eastAsia="Calibri" w:cs="Calibri"/>
                <w:sz w:val="20"/>
                <w:szCs w:val="20"/>
                <w:lang w:eastAsia="cs-CZ"/>
              </w:rPr>
            </w:pPr>
            <w:r w:rsidRPr="4AA51CF6">
              <w:rPr>
                <w:rFonts w:ascii="Calibri" w:hAnsi="Calibri" w:eastAsia="Calibri" w:cs="Calibri"/>
                <w:sz w:val="20"/>
                <w:szCs w:val="20"/>
                <w:lang w:eastAsia="cs-CZ"/>
              </w:rPr>
              <w:t xml:space="preserve">(i) Přístup k novým zdrojům financování, lepším a levnějším finančním službám a AI v souladu s návrhem koordinovaného plánu EK: tvorba a provoz </w:t>
            </w:r>
            <w:proofErr w:type="spellStart"/>
            <w:r w:rsidRPr="4AA51CF6">
              <w:rPr>
                <w:rFonts w:ascii="Calibri" w:hAnsi="Calibri" w:eastAsia="Calibri" w:cs="Calibri"/>
                <w:sz w:val="20"/>
                <w:szCs w:val="20"/>
                <w:lang w:eastAsia="cs-CZ"/>
              </w:rPr>
              <w:t>sandboxů</w:t>
            </w:r>
            <w:proofErr w:type="spellEnd"/>
            <w:r w:rsidRPr="4AA51CF6">
              <w:rPr>
                <w:rFonts w:ascii="Calibri" w:hAnsi="Calibri" w:eastAsia="Calibri" w:cs="Calibri"/>
                <w:sz w:val="20"/>
                <w:szCs w:val="20"/>
                <w:lang w:eastAsia="cs-CZ"/>
              </w:rPr>
              <w:t xml:space="preserve"> jsou jedním z nástrojů, jak zajistit, aby každý český spotřebitel a firma získaly snazší přístup ke kvalitnějším a moderním službám a produktům. Testování pod dohledem </w:t>
            </w:r>
            <w:proofErr w:type="spellStart"/>
            <w:r w:rsidRPr="4AA51CF6">
              <w:rPr>
                <w:rFonts w:ascii="Calibri" w:hAnsi="Calibri" w:eastAsia="Calibri" w:cs="Calibri"/>
                <w:sz w:val="20"/>
                <w:szCs w:val="20"/>
                <w:lang w:eastAsia="cs-CZ"/>
              </w:rPr>
              <w:t>regulatora</w:t>
            </w:r>
            <w:proofErr w:type="spellEnd"/>
            <w:r w:rsidRPr="4AA51CF6">
              <w:rPr>
                <w:rFonts w:ascii="Calibri" w:hAnsi="Calibri" w:eastAsia="Calibri" w:cs="Calibri"/>
                <w:sz w:val="20"/>
                <w:szCs w:val="20"/>
                <w:lang w:eastAsia="cs-CZ"/>
              </w:rPr>
              <w:t xml:space="preserve"> zkrátí čas jejich uvádění a ve výsledku přinese odolnější ekonomiku schopnou </w:t>
            </w:r>
            <w:proofErr w:type="spellStart"/>
            <w:r w:rsidRPr="4AA51CF6">
              <w:rPr>
                <w:rFonts w:ascii="Calibri" w:hAnsi="Calibri" w:eastAsia="Calibri" w:cs="Calibri"/>
                <w:sz w:val="20"/>
                <w:szCs w:val="20"/>
                <w:lang w:eastAsia="cs-CZ"/>
              </w:rPr>
              <w:t>průžněji</w:t>
            </w:r>
            <w:proofErr w:type="spellEnd"/>
            <w:r w:rsidRPr="4AA51CF6">
              <w:rPr>
                <w:rFonts w:ascii="Calibri" w:hAnsi="Calibri" w:eastAsia="Calibri" w:cs="Calibri"/>
                <w:sz w:val="20"/>
                <w:szCs w:val="20"/>
                <w:lang w:eastAsia="cs-CZ"/>
              </w:rPr>
              <w:t xml:space="preserve"> reagovat na krizi;</w:t>
            </w:r>
          </w:p>
          <w:p w:rsidRPr="00D06AB8" w:rsidR="00EB5AC6" w:rsidP="4AA51CF6" w:rsidRDefault="00EB5AC6" w14:paraId="267B6292" w14:textId="77777777">
            <w:pPr>
              <w:pStyle w:val="Normlnweb"/>
              <w:spacing w:before="0" w:beforeAutospacing="0" w:after="120" w:afterAutospacing="0"/>
              <w:jc w:val="both"/>
              <w:rPr>
                <w:rFonts w:ascii="Calibri" w:hAnsi="Calibri" w:eastAsia="Calibri" w:cs="Calibri"/>
                <w:sz w:val="20"/>
                <w:szCs w:val="20"/>
                <w:lang w:eastAsia="cs-CZ"/>
              </w:rPr>
            </w:pPr>
            <w:r w:rsidRPr="4AA51CF6">
              <w:rPr>
                <w:rFonts w:ascii="Calibri" w:hAnsi="Calibri" w:eastAsia="Calibri" w:cs="Calibri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4AA51CF6">
              <w:rPr>
                <w:rFonts w:ascii="Calibri" w:hAnsi="Calibri" w:eastAsia="Calibri" w:cs="Calibri"/>
                <w:sz w:val="20"/>
                <w:szCs w:val="20"/>
                <w:lang w:eastAsia="cs-CZ"/>
              </w:rPr>
              <w:t>ii</w:t>
            </w:r>
            <w:proofErr w:type="spellEnd"/>
            <w:r w:rsidRPr="4AA51CF6">
              <w:rPr>
                <w:rFonts w:ascii="Calibri" w:hAnsi="Calibri" w:eastAsia="Calibri" w:cs="Calibri"/>
                <w:sz w:val="20"/>
                <w:szCs w:val="20"/>
                <w:lang w:eastAsia="cs-CZ"/>
              </w:rPr>
              <w:t xml:space="preserve">) Vznik nových firem a míst práce s vysokou přidanou hodnotou: </w:t>
            </w:r>
            <w:proofErr w:type="spellStart"/>
            <w:r w:rsidRPr="4AA51CF6">
              <w:rPr>
                <w:rFonts w:ascii="Calibri" w:hAnsi="Calibri" w:eastAsia="Calibri" w:cs="Calibri"/>
                <w:sz w:val="20"/>
                <w:szCs w:val="20"/>
                <w:lang w:eastAsia="cs-CZ"/>
              </w:rPr>
              <w:t>sandbox</w:t>
            </w:r>
            <w:proofErr w:type="spellEnd"/>
            <w:r w:rsidRPr="4AA51CF6">
              <w:rPr>
                <w:rFonts w:ascii="Calibri" w:hAnsi="Calibri" w:eastAsia="Calibri" w:cs="Calibri"/>
                <w:sz w:val="20"/>
                <w:szCs w:val="20"/>
                <w:lang w:eastAsia="cs-CZ"/>
              </w:rPr>
              <w:t xml:space="preserve"> podpoří růst a </w:t>
            </w:r>
            <w:proofErr w:type="spellStart"/>
            <w:r w:rsidRPr="4AA51CF6">
              <w:rPr>
                <w:rFonts w:ascii="Calibri" w:hAnsi="Calibri" w:eastAsia="Calibri" w:cs="Calibri"/>
                <w:sz w:val="20"/>
                <w:szCs w:val="20"/>
                <w:lang w:eastAsia="cs-CZ"/>
              </w:rPr>
              <w:t>škálování</w:t>
            </w:r>
            <w:proofErr w:type="spellEnd"/>
            <w:r w:rsidRPr="4AA51CF6">
              <w:rPr>
                <w:rFonts w:ascii="Calibri" w:hAnsi="Calibri" w:eastAsia="Calibri" w:cs="Calibri"/>
                <w:sz w:val="20"/>
                <w:szCs w:val="20"/>
                <w:lang w:eastAsia="cs-CZ"/>
              </w:rPr>
              <w:t xml:space="preserve"> na evropský trh nových inovativních českých společnosti. Testováním v </w:t>
            </w:r>
            <w:proofErr w:type="spellStart"/>
            <w:r w:rsidRPr="4AA51CF6">
              <w:rPr>
                <w:rFonts w:ascii="Calibri" w:hAnsi="Calibri" w:eastAsia="Calibri" w:cs="Calibri"/>
                <w:sz w:val="20"/>
                <w:szCs w:val="20"/>
                <w:lang w:eastAsia="cs-CZ"/>
              </w:rPr>
              <w:t>sandboxu</w:t>
            </w:r>
            <w:proofErr w:type="spellEnd"/>
            <w:r w:rsidRPr="4AA51CF6">
              <w:rPr>
                <w:rFonts w:ascii="Calibri" w:hAnsi="Calibri" w:eastAsia="Calibri" w:cs="Calibri"/>
                <w:sz w:val="20"/>
                <w:szCs w:val="20"/>
                <w:lang w:eastAsia="cs-CZ"/>
              </w:rPr>
              <w:t xml:space="preserve"> mohou v nejbližších letech projit stovky firem, které vytvoří nová pracovní místa s vysokou přidanou hodnotou;</w:t>
            </w:r>
          </w:p>
          <w:p w:rsidR="00EB5AC6" w:rsidP="4AA51CF6" w:rsidRDefault="00EB5AC6" w14:paraId="66813EC6" w14:textId="77777777">
            <w:pPr>
              <w:pStyle w:val="Normlnweb"/>
              <w:spacing w:before="0" w:beforeAutospacing="0" w:after="120" w:afterAutospacing="0"/>
              <w:jc w:val="both"/>
              <w:rPr>
                <w:rFonts w:ascii="Calibri" w:hAnsi="Calibri" w:eastAsia="Calibri" w:cs="Calibri"/>
                <w:sz w:val="20"/>
                <w:szCs w:val="20"/>
                <w:lang w:eastAsia="cs-CZ"/>
              </w:rPr>
            </w:pPr>
            <w:r w:rsidRPr="4AA51CF6">
              <w:rPr>
                <w:rFonts w:ascii="Calibri" w:hAnsi="Calibri" w:eastAsia="Calibri" w:cs="Calibri"/>
                <w:sz w:val="20"/>
                <w:szCs w:val="20"/>
                <w:lang w:eastAsia="cs-CZ"/>
              </w:rPr>
              <w:lastRenderedPageBreak/>
              <w:t>(</w:t>
            </w:r>
            <w:proofErr w:type="spellStart"/>
            <w:r w:rsidRPr="4AA51CF6">
              <w:rPr>
                <w:rFonts w:ascii="Calibri" w:hAnsi="Calibri" w:eastAsia="Calibri" w:cs="Calibri"/>
                <w:sz w:val="20"/>
                <w:szCs w:val="20"/>
                <w:lang w:eastAsia="cs-CZ"/>
              </w:rPr>
              <w:t>iii</w:t>
            </w:r>
            <w:proofErr w:type="spellEnd"/>
            <w:r w:rsidRPr="4AA51CF6">
              <w:rPr>
                <w:rFonts w:ascii="Calibri" w:hAnsi="Calibri" w:eastAsia="Calibri" w:cs="Calibri"/>
                <w:sz w:val="20"/>
                <w:szCs w:val="20"/>
                <w:lang w:eastAsia="cs-CZ"/>
              </w:rPr>
              <w:t>) digitalizace a automatizace ekonomiky: díky rychlejšímu testování moderních technologií dojde k jejich bezpečnému a snazší implementaci do obchodních modelů, služeb a produktů českých firem.</w:t>
            </w:r>
          </w:p>
          <w:p w:rsidRPr="00D06AB8" w:rsidR="00EB5AC6" w:rsidP="4AA51CF6" w:rsidRDefault="00EB5AC6" w14:paraId="0000018C" w14:textId="07521391">
            <w:pPr>
              <w:pStyle w:val="Normlnweb"/>
              <w:spacing w:before="0" w:beforeAutospacing="0" w:after="120" w:afterAutospacing="0"/>
              <w:jc w:val="both"/>
              <w:rPr>
                <w:rFonts w:ascii="Calibri" w:hAnsi="Calibri" w:eastAsia="Calibri" w:cs="Calibri"/>
                <w:sz w:val="20"/>
                <w:szCs w:val="20"/>
                <w:lang w:eastAsia="cs-CZ"/>
              </w:rPr>
            </w:pPr>
            <w:r w:rsidRPr="4AA51CF6">
              <w:rPr>
                <w:rFonts w:ascii="Calibri" w:hAnsi="Calibri" w:eastAsia="Calibri" w:cs="Calibri"/>
                <w:sz w:val="20"/>
                <w:szCs w:val="20"/>
                <w:lang w:eastAsia="cs-CZ"/>
              </w:rPr>
              <w:t>Investice tak v regulovaných oblastech doplní systém Technologické inkubace (reforma komponenty 5.2).</w:t>
            </w:r>
          </w:p>
        </w:tc>
      </w:tr>
      <w:tr w:rsidRPr="007A4BFB" w:rsidR="00EB5AC6" w:rsidTr="4AA51CF6" w14:paraId="510518E9" w14:textId="77777777">
        <w:tc>
          <w:tcPr>
            <w:tcW w:w="2405" w:type="dxa"/>
          </w:tcPr>
          <w:p w:rsidRPr="007A4BFB" w:rsidR="00EB5AC6" w:rsidP="4AA51CF6" w:rsidRDefault="00EB5AC6" w14:paraId="0000018D" w14:textId="1586402E">
            <w:pPr>
              <w:spacing w:after="120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lastRenderedPageBreak/>
              <w:t>Implementace</w:t>
            </w:r>
          </w:p>
        </w:tc>
        <w:tc>
          <w:tcPr>
            <w:tcW w:w="7223" w:type="dxa"/>
          </w:tcPr>
          <w:p w:rsidRPr="00D06AB8" w:rsidR="00EB5AC6" w:rsidP="4AA51CF6" w:rsidRDefault="00EB5AC6" w14:paraId="21868BC7" w14:textId="77777777">
            <w:pPr>
              <w:pStyle w:val="Normlnweb"/>
              <w:spacing w:before="0" w:beforeAutospacing="0" w:after="120" w:afterAutospacing="0"/>
              <w:jc w:val="both"/>
              <w:rPr>
                <w:rFonts w:ascii="Calibri" w:hAnsi="Calibri" w:eastAsia="Calibri" w:cs="Calibri"/>
                <w:sz w:val="20"/>
                <w:szCs w:val="20"/>
                <w:lang w:eastAsia="cs-CZ"/>
              </w:rPr>
            </w:pPr>
            <w:proofErr w:type="spellStart"/>
            <w:r w:rsidRPr="4AA51CF6">
              <w:rPr>
                <w:rFonts w:ascii="Calibri" w:hAnsi="Calibri" w:eastAsia="Calibri" w:cs="Calibri"/>
                <w:sz w:val="20"/>
                <w:szCs w:val="20"/>
                <w:lang w:eastAsia="cs-CZ"/>
              </w:rPr>
              <w:t>Sandboxy</w:t>
            </w:r>
            <w:proofErr w:type="spellEnd"/>
            <w:r w:rsidRPr="4AA51CF6">
              <w:rPr>
                <w:rFonts w:ascii="Calibri" w:hAnsi="Calibri" w:eastAsia="Calibri" w:cs="Calibri"/>
                <w:sz w:val="20"/>
                <w:szCs w:val="20"/>
                <w:lang w:eastAsia="cs-CZ"/>
              </w:rPr>
              <w:t xml:space="preserve"> budou připraveny ve spolupráci regulátorů, relevantních orgánů, pokud s jejich zřízením regulátoři budou souhlasit, jedná-li se o nezávislé orgány, a znalostních partnerů v dotyčném odvětví. Při tvorbě testovacích prostředí budou zohledněny doporučení a pokyny evropských institucí a orgánů. Implementace bude probíhat v následujících fázích:</w:t>
            </w:r>
          </w:p>
          <w:p w:rsidRPr="00D06AB8" w:rsidR="00EB5AC6" w:rsidP="4AA51CF6" w:rsidRDefault="00EB5AC6" w14:paraId="41AD1E8B" w14:textId="77777777">
            <w:pPr>
              <w:pStyle w:val="Normlnweb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rFonts w:ascii="Calibri" w:hAnsi="Calibri" w:eastAsia="Calibri" w:cs="Calibri"/>
                <w:sz w:val="20"/>
                <w:szCs w:val="20"/>
                <w:lang w:eastAsia="cs-CZ"/>
              </w:rPr>
            </w:pPr>
            <w:r w:rsidRPr="4AA51CF6">
              <w:rPr>
                <w:rFonts w:ascii="Calibri" w:hAnsi="Calibri" w:eastAsia="Calibri" w:cs="Calibri"/>
                <w:sz w:val="20"/>
                <w:szCs w:val="20"/>
                <w:lang w:eastAsia="cs-CZ"/>
              </w:rPr>
              <w:t xml:space="preserve">Analýza právního rámce fungování </w:t>
            </w:r>
            <w:proofErr w:type="spellStart"/>
            <w:r w:rsidRPr="4AA51CF6">
              <w:rPr>
                <w:rFonts w:ascii="Calibri" w:hAnsi="Calibri" w:eastAsia="Calibri" w:cs="Calibri"/>
                <w:sz w:val="20"/>
                <w:szCs w:val="20"/>
                <w:lang w:eastAsia="cs-CZ"/>
              </w:rPr>
              <w:t>sandboxu</w:t>
            </w:r>
            <w:proofErr w:type="spellEnd"/>
            <w:r w:rsidRPr="4AA51CF6">
              <w:rPr>
                <w:rFonts w:ascii="Calibri" w:hAnsi="Calibri" w:eastAsia="Calibri" w:cs="Calibri"/>
                <w:sz w:val="20"/>
                <w:szCs w:val="20"/>
                <w:lang w:eastAsia="cs-CZ"/>
              </w:rPr>
              <w:t xml:space="preserve"> v daném odvětví,</w:t>
            </w:r>
          </w:p>
          <w:p w:rsidRPr="00D06AB8" w:rsidR="00EB5AC6" w:rsidP="4AA51CF6" w:rsidRDefault="00EB5AC6" w14:paraId="29799EC0" w14:textId="77777777">
            <w:pPr>
              <w:pStyle w:val="Normlnweb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rFonts w:ascii="Calibri" w:hAnsi="Calibri" w:eastAsia="Calibri" w:cs="Calibri"/>
                <w:sz w:val="20"/>
                <w:szCs w:val="20"/>
                <w:lang w:eastAsia="cs-CZ"/>
              </w:rPr>
            </w:pPr>
            <w:r w:rsidRPr="4AA51CF6">
              <w:rPr>
                <w:rFonts w:ascii="Calibri" w:hAnsi="Calibri" w:eastAsia="Calibri" w:cs="Calibri"/>
                <w:sz w:val="20"/>
                <w:szCs w:val="20"/>
                <w:lang w:eastAsia="cs-CZ"/>
              </w:rPr>
              <w:t xml:space="preserve">Tvorba dokumentace a provozní struktury </w:t>
            </w:r>
            <w:proofErr w:type="spellStart"/>
            <w:r w:rsidRPr="4AA51CF6">
              <w:rPr>
                <w:rFonts w:ascii="Calibri" w:hAnsi="Calibri" w:eastAsia="Calibri" w:cs="Calibri"/>
                <w:sz w:val="20"/>
                <w:szCs w:val="20"/>
                <w:lang w:eastAsia="cs-CZ"/>
              </w:rPr>
              <w:t>sandboxu</w:t>
            </w:r>
            <w:proofErr w:type="spellEnd"/>
            <w:r w:rsidRPr="4AA51CF6">
              <w:rPr>
                <w:rFonts w:ascii="Calibri" w:hAnsi="Calibri" w:eastAsia="Calibri" w:cs="Calibri"/>
                <w:sz w:val="20"/>
                <w:szCs w:val="20"/>
                <w:lang w:eastAsia="cs-CZ"/>
              </w:rPr>
              <w:t>,</w:t>
            </w:r>
          </w:p>
          <w:p w:rsidRPr="00D06AB8" w:rsidR="00EB5AC6" w:rsidP="4AA51CF6" w:rsidRDefault="00EB5AC6" w14:paraId="39CC06F0" w14:textId="77777777">
            <w:pPr>
              <w:pStyle w:val="Normlnweb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rFonts w:ascii="Calibri" w:hAnsi="Calibri" w:eastAsia="Calibri" w:cs="Calibri"/>
                <w:sz w:val="20"/>
                <w:szCs w:val="20"/>
                <w:lang w:eastAsia="cs-CZ"/>
              </w:rPr>
            </w:pPr>
            <w:r w:rsidRPr="4AA51CF6">
              <w:rPr>
                <w:rFonts w:ascii="Calibri" w:hAnsi="Calibri" w:eastAsia="Calibri" w:cs="Calibri"/>
                <w:sz w:val="20"/>
                <w:szCs w:val="20"/>
                <w:lang w:eastAsia="cs-CZ"/>
              </w:rPr>
              <w:t>Zajištění technického a technologického prostředí pro testování,</w:t>
            </w:r>
          </w:p>
          <w:p w:rsidRPr="00D06AB8" w:rsidR="00EB5AC6" w:rsidP="4AA51CF6" w:rsidRDefault="00EB5AC6" w14:paraId="63330133" w14:textId="77777777">
            <w:pPr>
              <w:pStyle w:val="Normlnweb"/>
              <w:numPr>
                <w:ilvl w:val="0"/>
                <w:numId w:val="24"/>
              </w:numPr>
              <w:spacing w:before="0" w:beforeAutospacing="0" w:after="120" w:afterAutospacing="0"/>
              <w:jc w:val="both"/>
              <w:textAlignment w:val="baseline"/>
              <w:rPr>
                <w:rFonts w:ascii="Calibri" w:hAnsi="Calibri" w:eastAsia="Calibri" w:cs="Calibri"/>
                <w:sz w:val="20"/>
                <w:szCs w:val="20"/>
                <w:lang w:eastAsia="cs-CZ"/>
              </w:rPr>
            </w:pPr>
            <w:r w:rsidRPr="4AA51CF6">
              <w:rPr>
                <w:rFonts w:ascii="Calibri" w:hAnsi="Calibri" w:eastAsia="Calibri" w:cs="Calibri"/>
                <w:sz w:val="20"/>
                <w:szCs w:val="20"/>
                <w:lang w:eastAsia="cs-CZ"/>
              </w:rPr>
              <w:t>Otevření testovacích programů pro inovativní společnosti, první program bude spuštěn již v Q3 2021, dále budou programy otevírané pravidelné,</w:t>
            </w:r>
          </w:p>
          <w:p w:rsidRPr="00D06AB8" w:rsidR="00EB5AC6" w:rsidP="4AA51CF6" w:rsidRDefault="00EB5AC6" w14:paraId="0000018E" w14:textId="36C1DD77">
            <w:pPr>
              <w:pStyle w:val="Normlnweb"/>
              <w:numPr>
                <w:ilvl w:val="0"/>
                <w:numId w:val="24"/>
              </w:numPr>
              <w:spacing w:before="0" w:beforeAutospacing="0" w:after="120" w:afterAutospacing="0"/>
              <w:jc w:val="both"/>
              <w:textAlignment w:val="baseline"/>
              <w:rPr>
                <w:rFonts w:ascii="Calibri" w:hAnsi="Calibri" w:eastAsia="Calibri" w:cs="Calibri"/>
                <w:sz w:val="20"/>
                <w:szCs w:val="20"/>
                <w:lang w:eastAsia="cs-CZ"/>
              </w:rPr>
            </w:pPr>
            <w:r w:rsidRPr="4AA51CF6">
              <w:rPr>
                <w:rFonts w:ascii="Calibri" w:hAnsi="Calibri" w:eastAsia="Calibri" w:cs="Calibri"/>
                <w:sz w:val="20"/>
                <w:szCs w:val="20"/>
                <w:lang w:eastAsia="cs-CZ"/>
              </w:rPr>
              <w:t>Průběžné doplňování technologických prvků a infrastruktury testovacích prostředí dle aktuální poptávky firem, spotřebitelských trendů a vývoje technologií.</w:t>
            </w:r>
          </w:p>
        </w:tc>
      </w:tr>
      <w:tr w:rsidRPr="007A4BFB" w:rsidR="00EB5AC6" w:rsidTr="4AA51CF6" w14:paraId="04BB2FB9" w14:textId="77777777">
        <w:trPr>
          <w:trHeight w:val="70"/>
        </w:trPr>
        <w:tc>
          <w:tcPr>
            <w:tcW w:w="2405" w:type="dxa"/>
          </w:tcPr>
          <w:p w:rsidRPr="007A4BFB" w:rsidR="00EB5AC6" w:rsidP="4AA51CF6" w:rsidRDefault="00EB5AC6" w14:paraId="0000018F" w14:textId="03D3C49F">
            <w:pPr>
              <w:spacing w:after="120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Spolupráce a zapojení zúčastněných stran</w:t>
            </w:r>
          </w:p>
        </w:tc>
        <w:tc>
          <w:tcPr>
            <w:tcW w:w="7223" w:type="dxa"/>
          </w:tcPr>
          <w:p w:rsidRPr="007A4BFB" w:rsidR="00EB5AC6" w:rsidP="4AA51CF6" w:rsidRDefault="00EB5AC6" w14:paraId="00000190" w14:textId="7832C6C5">
            <w:pPr>
              <w:spacing w:after="120"/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 xml:space="preserve">Pro zajištění plnohodnotného fungování </w:t>
            </w:r>
            <w:proofErr w:type="spellStart"/>
            <w:r w:rsidRPr="4AA51CF6">
              <w:rPr>
                <w:sz w:val="20"/>
                <w:szCs w:val="20"/>
              </w:rPr>
              <w:t>sandboxu</w:t>
            </w:r>
            <w:proofErr w:type="spellEnd"/>
            <w:r w:rsidRPr="4AA51CF6">
              <w:rPr>
                <w:sz w:val="20"/>
                <w:szCs w:val="20"/>
              </w:rPr>
              <w:t xml:space="preserve"> budou do jeho aktivit přizvány dohledové orgány v dotyčných sektorech a pro zabezpečení poptávky na straně inovativních společností se na jeho provozu budou podílet především profesní asociace sdružující inovativní společnosti v dotyčných sektorech.</w:t>
            </w:r>
          </w:p>
        </w:tc>
      </w:tr>
      <w:tr w:rsidRPr="007A4BFB" w:rsidR="00EB5AC6" w:rsidTr="4AA51CF6" w14:paraId="10B0C5FC" w14:textId="77777777">
        <w:tc>
          <w:tcPr>
            <w:tcW w:w="2405" w:type="dxa"/>
          </w:tcPr>
          <w:p w:rsidRPr="007A4BFB" w:rsidR="00EB5AC6" w:rsidP="4AA51CF6" w:rsidRDefault="00EB5AC6" w14:paraId="00000191" w14:textId="5D1BB8B2">
            <w:pPr>
              <w:spacing w:after="120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Překážky a rizika</w:t>
            </w:r>
          </w:p>
        </w:tc>
        <w:tc>
          <w:tcPr>
            <w:tcW w:w="7223" w:type="dxa"/>
          </w:tcPr>
          <w:p w:rsidRPr="00D06AB8" w:rsidR="00EB5AC6" w:rsidP="4AA51CF6" w:rsidRDefault="00EB5AC6" w14:paraId="00000192" w14:textId="3076E6FA">
            <w:pPr>
              <w:pStyle w:val="Normlnweb"/>
              <w:spacing w:before="0" w:beforeAutospacing="0" w:after="120" w:afterAutospacing="0"/>
              <w:jc w:val="both"/>
              <w:rPr>
                <w:rFonts w:ascii="Calibri" w:hAnsi="Calibri" w:eastAsia="Calibri" w:cs="Calibri"/>
                <w:sz w:val="20"/>
                <w:szCs w:val="20"/>
                <w:lang w:eastAsia="cs-CZ"/>
              </w:rPr>
            </w:pPr>
            <w:r w:rsidRPr="4AA51CF6">
              <w:rPr>
                <w:rFonts w:ascii="Calibri" w:hAnsi="Calibri" w:eastAsia="Calibri" w:cs="Calibri"/>
                <w:sz w:val="20"/>
                <w:szCs w:val="20"/>
                <w:lang w:eastAsia="cs-CZ"/>
              </w:rPr>
              <w:t xml:space="preserve">Překážkou v rychlé implementaci investice může být nutnost vyřešit právní záležitosti. Zapojení regulatorních orgánů pomůže omezit možný negativní dopad. Rizikem je potenciálně menší počáteční zájem firem o vstup do testovacího prostředí. Zapojení profesních asociací inovativních firem pomůže snížit toto riziko. </w:t>
            </w:r>
          </w:p>
        </w:tc>
      </w:tr>
      <w:tr w:rsidRPr="007A4BFB" w:rsidR="00EB5AC6" w:rsidTr="4AA51CF6" w14:paraId="7D730C55" w14:textId="77777777">
        <w:tc>
          <w:tcPr>
            <w:tcW w:w="2405" w:type="dxa"/>
          </w:tcPr>
          <w:p w:rsidRPr="007A4BFB" w:rsidR="00EB5AC6" w:rsidP="4AA51CF6" w:rsidRDefault="00EB5AC6" w14:paraId="00000193" w14:textId="5FD554D6">
            <w:pPr>
              <w:spacing w:after="120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Cílové skupiny populace a ekonomické subjekty</w:t>
            </w:r>
          </w:p>
        </w:tc>
        <w:tc>
          <w:tcPr>
            <w:tcW w:w="7223" w:type="dxa"/>
          </w:tcPr>
          <w:p w:rsidRPr="007A4BFB" w:rsidR="00EB5AC6" w:rsidP="4AA51CF6" w:rsidRDefault="00EB5AC6" w14:paraId="162489E2" w14:textId="77777777">
            <w:pPr>
              <w:spacing w:after="120"/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 xml:space="preserve">Spotřebitelé, malé a střední podniky, </w:t>
            </w:r>
            <w:proofErr w:type="spellStart"/>
            <w:r w:rsidRPr="4AA51CF6">
              <w:rPr>
                <w:sz w:val="20"/>
                <w:szCs w:val="20"/>
              </w:rPr>
              <w:t>startupy</w:t>
            </w:r>
            <w:proofErr w:type="spellEnd"/>
            <w:r w:rsidRPr="4AA51CF6">
              <w:rPr>
                <w:sz w:val="20"/>
                <w:szCs w:val="20"/>
              </w:rPr>
              <w:t xml:space="preserve"> a inovativní společnosti v oblasti financí a umělé inteligence</w:t>
            </w:r>
          </w:p>
          <w:p w:rsidRPr="007A4BFB" w:rsidR="00EB5AC6" w:rsidP="4AA51CF6" w:rsidRDefault="00EB5AC6" w14:paraId="00000195" w14:textId="77777777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Pr="007A4BFB" w:rsidR="00EB5AC6" w:rsidTr="4AA51CF6" w14:paraId="5D81D35D" w14:textId="77777777">
        <w:tc>
          <w:tcPr>
            <w:tcW w:w="2405" w:type="dxa"/>
          </w:tcPr>
          <w:p w:rsidRPr="007A4BFB" w:rsidR="00EB5AC6" w:rsidP="4AA51CF6" w:rsidRDefault="00EB5AC6" w14:paraId="00000196" w14:textId="7A87597B">
            <w:pPr>
              <w:spacing w:after="120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Souhrnné náklady realizace financované z RRF za celé období</w:t>
            </w:r>
          </w:p>
        </w:tc>
        <w:tc>
          <w:tcPr>
            <w:tcW w:w="7223" w:type="dxa"/>
          </w:tcPr>
          <w:p w:rsidRPr="007A4BFB" w:rsidR="00EB5AC6" w:rsidP="4AA51CF6" w:rsidRDefault="00EB5AC6" w14:paraId="00000197" w14:textId="289FA4F0">
            <w:pPr>
              <w:spacing w:after="120"/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Investice potřebná pro naplnění výše uvedeného cíle počítá s náklady 150 mil. Kč v období 2021-2023 a to zejména na tvorbu a provoz technické a technologické infrastruktury potřebné pro testování v oblasti financí a AI.</w:t>
            </w:r>
          </w:p>
        </w:tc>
      </w:tr>
      <w:tr w:rsidRPr="007A4BFB" w:rsidR="00EB5AC6" w:rsidTr="4AA51CF6" w14:paraId="2362BB67" w14:textId="77777777">
        <w:tc>
          <w:tcPr>
            <w:tcW w:w="2405" w:type="dxa"/>
          </w:tcPr>
          <w:p w:rsidRPr="007A4BFB" w:rsidR="00EB5AC6" w:rsidP="4AA51CF6" w:rsidRDefault="00EB5AC6" w14:paraId="00000198" w14:textId="542DDDE7">
            <w:pPr>
              <w:spacing w:after="120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Dodržování pravidel státní podpory</w:t>
            </w:r>
          </w:p>
        </w:tc>
        <w:tc>
          <w:tcPr>
            <w:tcW w:w="7223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Pr="007A4BFB" w:rsidR="00EB5AC6" w:rsidP="4AA51CF6" w:rsidRDefault="00EB5AC6" w14:paraId="00000199" w14:textId="5CE79389">
            <w:pPr>
              <w:spacing w:after="120"/>
              <w:jc w:val="both"/>
              <w:rPr>
                <w:i/>
                <w:iCs/>
                <w:color w:val="2196FF"/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Veškerá veřejná podpora bude projednána a popřípadě notifikována v závislosti na konkrétních projektech a změnách dočasného rámce a dalších pravidel v souvislosti s implementací RRF/NPO.</w:t>
            </w:r>
          </w:p>
        </w:tc>
      </w:tr>
      <w:tr w:rsidRPr="007A4BFB" w:rsidR="00EB5AC6" w:rsidTr="4AA51CF6" w14:paraId="19C1B317" w14:textId="77777777">
        <w:tc>
          <w:tcPr>
            <w:tcW w:w="2405" w:type="dxa"/>
          </w:tcPr>
          <w:p w:rsidRPr="007A4BFB" w:rsidR="00EB5AC6" w:rsidP="4AA51CF6" w:rsidRDefault="00EB5AC6" w14:paraId="0000019A" w14:textId="05762722">
            <w:pPr>
              <w:spacing w:after="120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Uveďte dobu implementace</w:t>
            </w:r>
          </w:p>
        </w:tc>
        <w:tc>
          <w:tcPr>
            <w:tcW w:w="7223" w:type="dxa"/>
            <w:tcBorders>
              <w:top w:val="single" w:color="000000" w:themeColor="text1" w:sz="7" w:space="0"/>
              <w:left w:val="single" w:color="000000" w:themeColor="text1" w:sz="7" w:space="0"/>
              <w:bottom w:val="single" w:color="000000" w:themeColor="text1" w:sz="7" w:space="0"/>
              <w:right w:val="single" w:color="000000" w:themeColor="text1" w:sz="7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Pr="007A4BFB" w:rsidR="00EB5AC6" w:rsidP="4AA51CF6" w:rsidRDefault="00EB5AC6" w14:paraId="0000019B" w14:textId="0C8992C6">
            <w:pPr>
              <w:spacing w:after="120"/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Plánovaná doba implementace projektu je 36 měsíců.</w:t>
            </w:r>
            <w:r w:rsidR="001222D7">
              <w:rPr>
                <w:sz w:val="20"/>
                <w:szCs w:val="20"/>
              </w:rPr>
              <w:t xml:space="preserve"> </w:t>
            </w:r>
            <w:r w:rsidRPr="001222D7" w:rsidR="001222D7">
              <w:rPr>
                <w:sz w:val="20"/>
                <w:szCs w:val="20"/>
              </w:rPr>
              <w:t>Investice bude dokončena do 31. prosince 202</w:t>
            </w:r>
            <w:r w:rsidR="001222D7">
              <w:rPr>
                <w:sz w:val="20"/>
                <w:szCs w:val="20"/>
              </w:rPr>
              <w:t>3</w:t>
            </w:r>
            <w:bookmarkStart w:name="_GoBack" w:id="1"/>
            <w:bookmarkEnd w:id="1"/>
            <w:r w:rsidRPr="001222D7" w:rsidR="001222D7">
              <w:rPr>
                <w:sz w:val="20"/>
                <w:szCs w:val="20"/>
              </w:rPr>
              <w:t>.</w:t>
            </w:r>
          </w:p>
        </w:tc>
      </w:tr>
    </w:tbl>
    <w:p w:rsidR="00365999" w:rsidP="4AA51CF6" w:rsidRDefault="00365999" w14:paraId="04A0597B" w14:textId="77777777">
      <w:pPr>
        <w:spacing w:line="240" w:lineRule="auto"/>
        <w:rPr>
          <w:sz w:val="20"/>
          <w:szCs w:val="20"/>
        </w:rPr>
      </w:pPr>
    </w:p>
    <w:p w:rsidRPr="00365999" w:rsidR="0097007C" w:rsidP="4AA51CF6" w:rsidRDefault="00365999" w14:paraId="66C33DB0" w14:textId="1695798F">
      <w:pPr>
        <w:spacing w:line="240" w:lineRule="auto"/>
        <w:rPr>
          <w:b/>
          <w:bCs/>
          <w:sz w:val="20"/>
          <w:szCs w:val="20"/>
        </w:rPr>
      </w:pPr>
      <w:r w:rsidRPr="4AA51CF6">
        <w:rPr>
          <w:b/>
          <w:bCs/>
          <w:sz w:val="20"/>
          <w:szCs w:val="20"/>
        </w:rPr>
        <w:t>3.1 Vybudování kvantové komunikační infrastruktury</w:t>
      </w:r>
    </w:p>
    <w:tbl>
      <w:tblPr>
        <w:tblW w:w="96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7223"/>
      </w:tblGrid>
      <w:tr w:rsidRPr="007A4BFB" w:rsidR="00365999" w:rsidTr="4AA51CF6" w14:paraId="759FDAFD" w14:textId="77777777">
        <w:tc>
          <w:tcPr>
            <w:tcW w:w="2405" w:type="dxa"/>
          </w:tcPr>
          <w:p w:rsidRPr="007A4BFB" w:rsidR="00365999" w:rsidP="4AA51CF6" w:rsidRDefault="00365999" w14:paraId="44FD74A9" w14:textId="77777777">
            <w:pPr>
              <w:spacing w:after="120" w:line="240" w:lineRule="auto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Výzva</w:t>
            </w:r>
          </w:p>
        </w:tc>
        <w:tc>
          <w:tcPr>
            <w:tcW w:w="7223" w:type="dxa"/>
          </w:tcPr>
          <w:p w:rsidRPr="007A4BFB" w:rsidR="00365999" w:rsidP="4AA51CF6" w:rsidRDefault="00365999" w14:paraId="4A713F8D" w14:textId="77777777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 xml:space="preserve">Předpokladem pro transformaci části průmyslové výroby je digitalizace tohoto odvětví na vysoké úrovni s požadavkem na rychlý přenos dat a jejich zpracování (metody tzv. </w:t>
            </w:r>
            <w:proofErr w:type="spellStart"/>
            <w:r w:rsidRPr="4AA51CF6">
              <w:rPr>
                <w:sz w:val="20"/>
                <w:szCs w:val="20"/>
              </w:rPr>
              <w:t>quantum</w:t>
            </w:r>
            <w:proofErr w:type="spellEnd"/>
            <w:r w:rsidRPr="4AA51CF6">
              <w:rPr>
                <w:sz w:val="20"/>
                <w:szCs w:val="20"/>
              </w:rPr>
              <w:t xml:space="preserve"> </w:t>
            </w:r>
            <w:proofErr w:type="spellStart"/>
            <w:r w:rsidRPr="4AA51CF6">
              <w:rPr>
                <w:sz w:val="20"/>
                <w:szCs w:val="20"/>
              </w:rPr>
              <w:t>computing</w:t>
            </w:r>
            <w:proofErr w:type="spellEnd"/>
            <w:r w:rsidRPr="4AA51CF6">
              <w:rPr>
                <w:sz w:val="20"/>
                <w:szCs w:val="20"/>
              </w:rPr>
              <w:t>). Vzhledem k vysokým nákladům na vstupní investice a bezpečnost provozu např. leteckých motorů a dalších součástí, je nutné poskytnout dostupnou infrastrukturu producentům ke sběru a analýze dat, vytvoření digitálního dvojčete produktu a další testovací prostředí. Dostupnost v ČR a nastavené logistické vazby v rámci EU přinese i další přidanou hodnotu ostatním státům EU.</w:t>
            </w:r>
          </w:p>
        </w:tc>
      </w:tr>
      <w:tr w:rsidRPr="007A4BFB" w:rsidR="00365999" w:rsidTr="4AA51CF6" w14:paraId="47C31978" w14:textId="77777777">
        <w:tc>
          <w:tcPr>
            <w:tcW w:w="2405" w:type="dxa"/>
          </w:tcPr>
          <w:p w:rsidRPr="007A4BFB" w:rsidR="00365999" w:rsidP="4AA51CF6" w:rsidRDefault="00365999" w14:paraId="10A102CA" w14:textId="77777777">
            <w:pPr>
              <w:spacing w:after="120" w:line="240" w:lineRule="auto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Cíl</w:t>
            </w:r>
          </w:p>
        </w:tc>
        <w:tc>
          <w:tcPr>
            <w:tcW w:w="7223" w:type="dxa"/>
          </w:tcPr>
          <w:p w:rsidRPr="007A4BFB" w:rsidR="00365999" w:rsidP="4AA51CF6" w:rsidRDefault="00365999" w14:paraId="0BF4C1FF" w14:textId="51961009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 xml:space="preserve">Nezbytným prvním krokem je vytvoření páteřní optické kvantové sítě v ČR, která se napojí na okolní státy a včlení do Evropské kvantové komunikační infrastruktury. Toto </w:t>
            </w:r>
            <w:r w:rsidRPr="4AA51CF6">
              <w:rPr>
                <w:sz w:val="20"/>
                <w:szCs w:val="20"/>
              </w:rPr>
              <w:lastRenderedPageBreak/>
              <w:t>umožní testování a provozování celoevropského systému kvantové komunikace a jeho integrace do stávajících telekomunikačních technologií v ČR.</w:t>
            </w:r>
            <w:r w:rsidRPr="4AA51CF6" w:rsidR="496A0C9C">
              <w:rPr>
                <w:sz w:val="20"/>
                <w:szCs w:val="20"/>
              </w:rPr>
              <w:t xml:space="preserve"> A to na základě podpory z příslušné kapitoly programu Digitální Evropa, kterému tato investice poskytne národní kofinancování.</w:t>
            </w:r>
            <w:r w:rsidRPr="4AA51CF6">
              <w:rPr>
                <w:sz w:val="20"/>
                <w:szCs w:val="20"/>
              </w:rPr>
              <w:t xml:space="preserve"> </w:t>
            </w:r>
          </w:p>
        </w:tc>
      </w:tr>
      <w:tr w:rsidRPr="007A4BFB" w:rsidR="00365999" w:rsidTr="4AA51CF6" w14:paraId="7B7AC8D7" w14:textId="77777777">
        <w:tc>
          <w:tcPr>
            <w:tcW w:w="2405" w:type="dxa"/>
          </w:tcPr>
          <w:p w:rsidRPr="007A4BFB" w:rsidR="00365999" w:rsidP="4AA51CF6" w:rsidRDefault="00365999" w14:paraId="22B4F586" w14:textId="77777777">
            <w:pPr>
              <w:spacing w:after="120" w:line="240" w:lineRule="auto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lastRenderedPageBreak/>
              <w:t>Implementace</w:t>
            </w:r>
          </w:p>
        </w:tc>
        <w:tc>
          <w:tcPr>
            <w:tcW w:w="7223" w:type="dxa"/>
          </w:tcPr>
          <w:p w:rsidRPr="007A4BFB" w:rsidR="00365999" w:rsidP="4AA51CF6" w:rsidRDefault="496A0C9C" w14:paraId="133BE2DC" w14:textId="17DF8E3D">
            <w:pPr>
              <w:spacing w:after="12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Vytvoření několika metropolitních vedlejších větví napojených přes páteřní síť na zbytek Evropské kvantové komunikační infrastruktury poskytne českému průmyslu infrastrukturu pro vývoj a testování komponent a softwaru kvantové komunikace, jakož i odbornou přípravu budoucích odborníků na optickou kvantovou komunikaci a operátorů kvantových linek. Provoz páteřní linky by se měl koncentrovat kolem kritické a bezpečnostní infrastruktury ČR. Pro podporu výzkumu a dalšího rozvoje technologií důležitou roli sehrají akademická pracoviště s rozsáhlými teoretickými znalostmi, dlouholetými experimentálními a technologickými zkušenostmi a relevantními doktorskými programy.</w:t>
            </w:r>
          </w:p>
        </w:tc>
      </w:tr>
      <w:tr w:rsidRPr="007A4BFB" w:rsidR="00365999" w:rsidTr="4AA51CF6" w14:paraId="3C932FEC" w14:textId="77777777">
        <w:trPr>
          <w:trHeight w:val="70"/>
        </w:trPr>
        <w:tc>
          <w:tcPr>
            <w:tcW w:w="2405" w:type="dxa"/>
          </w:tcPr>
          <w:p w:rsidRPr="007A4BFB" w:rsidR="00365999" w:rsidP="4AA51CF6" w:rsidRDefault="00365999" w14:paraId="3077E5C7" w14:textId="77777777">
            <w:pPr>
              <w:spacing w:after="120" w:line="240" w:lineRule="auto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Spolupráce a zapojení zúčastněných stran</w:t>
            </w:r>
          </w:p>
        </w:tc>
        <w:tc>
          <w:tcPr>
            <w:tcW w:w="7223" w:type="dxa"/>
          </w:tcPr>
          <w:p w:rsidRPr="007A4BFB" w:rsidR="00365999" w:rsidP="4AA51CF6" w:rsidRDefault="496A0C9C" w14:paraId="02B6DEEF" w14:textId="008334B2">
            <w:pPr>
              <w:spacing w:after="12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 xml:space="preserve">Ministerstvo průmyslu a obchodu ČR, NÚKIB, </w:t>
            </w:r>
            <w:proofErr w:type="spellStart"/>
            <w:r w:rsidRPr="4AA51CF6">
              <w:rPr>
                <w:sz w:val="20"/>
                <w:szCs w:val="20"/>
              </w:rPr>
              <w:t>Cybersecurity</w:t>
            </w:r>
            <w:proofErr w:type="spellEnd"/>
            <w:r w:rsidRPr="4AA51CF6">
              <w:rPr>
                <w:sz w:val="20"/>
                <w:szCs w:val="20"/>
              </w:rPr>
              <w:t xml:space="preserve"> hub, partneři z výzkumných organizací</w:t>
            </w:r>
            <w:r w:rsidRPr="4AA51CF6" w:rsidR="00365999">
              <w:rPr>
                <w:sz w:val="20"/>
                <w:szCs w:val="20"/>
              </w:rPr>
              <w:t>, Ministerstvo obrany ČR, průmysloví partneři</w:t>
            </w:r>
            <w:r w:rsidRPr="4AA51CF6">
              <w:rPr>
                <w:sz w:val="20"/>
                <w:szCs w:val="20"/>
              </w:rPr>
              <w:t>.</w:t>
            </w:r>
          </w:p>
        </w:tc>
      </w:tr>
      <w:tr w:rsidRPr="007A4BFB" w:rsidR="00365999" w:rsidTr="4AA51CF6" w14:paraId="725E2EAE" w14:textId="77777777">
        <w:tc>
          <w:tcPr>
            <w:tcW w:w="2405" w:type="dxa"/>
          </w:tcPr>
          <w:p w:rsidRPr="007A4BFB" w:rsidR="00365999" w:rsidP="4AA51CF6" w:rsidRDefault="00365999" w14:paraId="75A233F2" w14:textId="77777777">
            <w:pPr>
              <w:spacing w:after="120" w:line="240" w:lineRule="auto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Překážky a rizika</w:t>
            </w:r>
          </w:p>
        </w:tc>
        <w:tc>
          <w:tcPr>
            <w:tcW w:w="7223" w:type="dxa"/>
          </w:tcPr>
          <w:p w:rsidRPr="007A4BFB" w:rsidR="00365999" w:rsidP="4AA51CF6" w:rsidRDefault="00365999" w14:paraId="6AAFB922" w14:textId="1094B9F6">
            <w:pPr>
              <w:spacing w:after="12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 xml:space="preserve">Nedostatek finančních prostředků a prodloužení dodacích lhůt z důvodu vysoké technické náročnosti projektu. Technické komplikace vedoucí k prodloužení doby realizace. </w:t>
            </w:r>
            <w:r w:rsidRPr="4AA51CF6" w:rsidR="0017667B">
              <w:rPr>
                <w:sz w:val="20"/>
                <w:szCs w:val="20"/>
              </w:rPr>
              <w:t>Klíčovým rizikem jsou nedostatečné personální kapacity u implementující instituce (</w:t>
            </w:r>
            <w:r w:rsidRPr="4AA51CF6" w:rsidR="44B084D2">
              <w:rPr>
                <w:sz w:val="20"/>
                <w:szCs w:val="20"/>
              </w:rPr>
              <w:t>MPO</w:t>
            </w:r>
            <w:r w:rsidRPr="4AA51CF6" w:rsidR="0017667B">
              <w:rPr>
                <w:sz w:val="20"/>
                <w:szCs w:val="20"/>
              </w:rPr>
              <w:t>).</w:t>
            </w:r>
          </w:p>
        </w:tc>
      </w:tr>
      <w:tr w:rsidRPr="007A4BFB" w:rsidR="00365999" w:rsidTr="4AA51CF6" w14:paraId="03DA5B94" w14:textId="77777777">
        <w:tc>
          <w:tcPr>
            <w:tcW w:w="2405" w:type="dxa"/>
          </w:tcPr>
          <w:p w:rsidRPr="007A4BFB" w:rsidR="00365999" w:rsidP="4AA51CF6" w:rsidRDefault="00365999" w14:paraId="2231C78B" w14:textId="77777777">
            <w:pPr>
              <w:spacing w:after="120" w:line="240" w:lineRule="auto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Cílové skupiny populace a ekonomické subjekty</w:t>
            </w:r>
          </w:p>
        </w:tc>
        <w:tc>
          <w:tcPr>
            <w:tcW w:w="7223" w:type="dxa"/>
          </w:tcPr>
          <w:p w:rsidRPr="007A4BFB" w:rsidR="00365999" w:rsidP="4AA51CF6" w:rsidRDefault="00365999" w14:paraId="6AC0DC8F" w14:textId="77777777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Státní správa, výzkumné organizace, průmysloví partneři</w:t>
            </w:r>
          </w:p>
        </w:tc>
      </w:tr>
      <w:tr w:rsidRPr="007A4BFB" w:rsidR="00365999" w:rsidTr="4AA51CF6" w14:paraId="60AE6A36" w14:textId="77777777">
        <w:tc>
          <w:tcPr>
            <w:tcW w:w="2405" w:type="dxa"/>
          </w:tcPr>
          <w:p w:rsidRPr="007A4BFB" w:rsidR="00365999" w:rsidP="4AA51CF6" w:rsidRDefault="00365999" w14:paraId="6AF7F961" w14:textId="77777777">
            <w:pPr>
              <w:spacing w:after="120" w:line="240" w:lineRule="auto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Souhrnné náklady realizace financované z RRF za celé období</w:t>
            </w:r>
          </w:p>
        </w:tc>
        <w:tc>
          <w:tcPr>
            <w:tcW w:w="7223" w:type="dxa"/>
          </w:tcPr>
          <w:p w:rsidRPr="007A4BFB" w:rsidR="00365999" w:rsidP="4AA51CF6" w:rsidRDefault="50FEF497" w14:paraId="4626FC6B" w14:textId="34AECEE9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 xml:space="preserve">Investice potřebná pro naplnění uvedeného cíle počítá s náklady </w:t>
            </w:r>
            <w:r w:rsidRPr="4AA51CF6" w:rsidR="00365999">
              <w:rPr>
                <w:sz w:val="20"/>
                <w:szCs w:val="20"/>
              </w:rPr>
              <w:t>180 mil. Kč</w:t>
            </w:r>
            <w:r w:rsidRPr="4AA51CF6">
              <w:rPr>
                <w:sz w:val="20"/>
                <w:szCs w:val="20"/>
              </w:rPr>
              <w:t>.</w:t>
            </w:r>
          </w:p>
        </w:tc>
      </w:tr>
      <w:tr w:rsidRPr="007A4BFB" w:rsidR="00365999" w:rsidTr="4AA51CF6" w14:paraId="0232C8FE" w14:textId="77777777">
        <w:tc>
          <w:tcPr>
            <w:tcW w:w="2405" w:type="dxa"/>
          </w:tcPr>
          <w:p w:rsidRPr="007A4BFB" w:rsidR="00365999" w:rsidP="4AA51CF6" w:rsidRDefault="00365999" w14:paraId="1E2D958D" w14:textId="77777777">
            <w:pPr>
              <w:spacing w:after="120" w:line="240" w:lineRule="auto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Dodržování pravidel státní podpory</w:t>
            </w:r>
          </w:p>
        </w:tc>
        <w:tc>
          <w:tcPr>
            <w:tcW w:w="7223" w:type="dxa"/>
          </w:tcPr>
          <w:p w:rsidRPr="007A4BFB" w:rsidR="00365999" w:rsidP="4AA51CF6" w:rsidRDefault="496A0C9C" w14:paraId="55CF0655" w14:textId="0A202A46">
            <w:pPr>
              <w:spacing w:after="12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V</w:t>
            </w:r>
            <w:r w:rsidRPr="4AA51CF6" w:rsidR="00365999">
              <w:rPr>
                <w:sz w:val="20"/>
                <w:szCs w:val="20"/>
              </w:rPr>
              <w:t xml:space="preserve">eřejná podpora bude </w:t>
            </w:r>
            <w:r w:rsidRPr="4AA51CF6">
              <w:rPr>
                <w:sz w:val="20"/>
                <w:szCs w:val="20"/>
              </w:rPr>
              <w:t>poskytnuta v rámci spolufinancování programu Digitální Evropa</w:t>
            </w:r>
            <w:r w:rsidRPr="4AA51CF6" w:rsidR="00365999">
              <w:rPr>
                <w:sz w:val="20"/>
                <w:szCs w:val="20"/>
              </w:rPr>
              <w:t>.</w:t>
            </w:r>
            <w:r w:rsidRPr="4AA51CF6" w:rsidR="44B084D2">
              <w:rPr>
                <w:sz w:val="20"/>
                <w:szCs w:val="20"/>
              </w:rPr>
              <w:t xml:space="preserve"> Jedná se o VVI, nikoliv budování samotné telekomunikační infrastruktury</w:t>
            </w:r>
          </w:p>
        </w:tc>
      </w:tr>
      <w:tr w:rsidRPr="007A4BFB" w:rsidR="00365999" w:rsidTr="4AA51CF6" w14:paraId="0A80C5D5" w14:textId="77777777">
        <w:tc>
          <w:tcPr>
            <w:tcW w:w="2405" w:type="dxa"/>
          </w:tcPr>
          <w:p w:rsidRPr="007A4BFB" w:rsidR="00365999" w:rsidP="4AA51CF6" w:rsidRDefault="00365999" w14:paraId="71557124" w14:textId="77777777">
            <w:pPr>
              <w:spacing w:after="120" w:line="240" w:lineRule="auto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Uveďte dobu implementace</w:t>
            </w:r>
          </w:p>
        </w:tc>
        <w:tc>
          <w:tcPr>
            <w:tcW w:w="7223" w:type="dxa"/>
          </w:tcPr>
          <w:p w:rsidRPr="007A4BFB" w:rsidR="00365999" w:rsidP="4AA51CF6" w:rsidRDefault="53A296E9" w14:paraId="75E26D1C" w14:textId="185E7A28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Plánovaná doba implementace projektu je 2021–2025.</w:t>
            </w:r>
          </w:p>
        </w:tc>
      </w:tr>
    </w:tbl>
    <w:p w:rsidR="00365999" w:rsidP="4AA51CF6" w:rsidRDefault="00365999" w14:paraId="3A1C06F8" w14:textId="77777777">
      <w:pPr>
        <w:spacing w:after="120" w:line="240" w:lineRule="auto"/>
        <w:jc w:val="both"/>
        <w:rPr>
          <w:b/>
          <w:bCs/>
          <w:sz w:val="20"/>
          <w:szCs w:val="20"/>
        </w:rPr>
      </w:pPr>
    </w:p>
    <w:p w:rsidRPr="00365999" w:rsidR="007E27EE" w:rsidP="4AA51CF6" w:rsidRDefault="0097007C" w14:paraId="1709DABE" w14:textId="23510226">
      <w:pPr>
        <w:spacing w:line="240" w:lineRule="auto"/>
        <w:rPr>
          <w:b/>
          <w:bCs/>
          <w:sz w:val="20"/>
          <w:szCs w:val="20"/>
        </w:rPr>
      </w:pPr>
      <w:r w:rsidRPr="4EAC0756">
        <w:rPr>
          <w:b/>
          <w:bCs/>
          <w:sz w:val="20"/>
          <w:szCs w:val="20"/>
        </w:rPr>
        <w:t xml:space="preserve">3.2 Podpora </w:t>
      </w:r>
      <w:r w:rsidRPr="4EAC0756" w:rsidR="118F5248">
        <w:rPr>
          <w:b/>
          <w:bCs/>
          <w:sz w:val="20"/>
          <w:szCs w:val="20"/>
        </w:rPr>
        <w:t xml:space="preserve">výzkumu a inovací </w:t>
      </w:r>
      <w:r w:rsidRPr="4EAC0756" w:rsidR="368DEC78">
        <w:rPr>
          <w:b/>
          <w:bCs/>
          <w:sz w:val="20"/>
          <w:szCs w:val="20"/>
        </w:rPr>
        <w:t>v leteckém průmyslu</w:t>
      </w:r>
    </w:p>
    <w:tbl>
      <w:tblPr>
        <w:tblStyle w:val="a7"/>
        <w:tblW w:w="96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7223"/>
      </w:tblGrid>
      <w:tr w:rsidRPr="007A4BFB" w:rsidR="007E27EE" w:rsidTr="6F25B24B" w14:paraId="60B86016" w14:textId="77777777">
        <w:tc>
          <w:tcPr>
            <w:tcW w:w="2405" w:type="dxa"/>
          </w:tcPr>
          <w:p w:rsidRPr="007A4BFB" w:rsidR="007E27EE" w:rsidP="4AA51CF6" w:rsidRDefault="007E27EE" w14:paraId="70196397" w14:textId="77777777">
            <w:pPr>
              <w:spacing w:after="120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Výzva</w:t>
            </w:r>
          </w:p>
        </w:tc>
        <w:tc>
          <w:tcPr>
            <w:tcW w:w="7223" w:type="dxa"/>
          </w:tcPr>
          <w:p w:rsidRPr="007A4BFB" w:rsidR="007E27EE" w:rsidP="4AA51CF6" w:rsidRDefault="007E27EE" w14:paraId="190E9D61" w14:textId="77777777">
            <w:pPr>
              <w:spacing w:after="120"/>
              <w:jc w:val="both"/>
              <w:rPr>
                <w:color w:val="2196FF"/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 xml:space="preserve">Vytvoření infrastruktury v rámci pilotního projektu na základech výzkumného projektu vytvářející plně digitalizovaný </w:t>
            </w:r>
            <w:proofErr w:type="spellStart"/>
            <w:r w:rsidRPr="4AA51CF6">
              <w:rPr>
                <w:sz w:val="20"/>
                <w:szCs w:val="20"/>
              </w:rPr>
              <w:t>testbed</w:t>
            </w:r>
            <w:proofErr w:type="spellEnd"/>
            <w:r w:rsidRPr="4AA51CF6">
              <w:rPr>
                <w:sz w:val="20"/>
                <w:szCs w:val="20"/>
              </w:rPr>
              <w:t xml:space="preserve"> pro letecký průmysl, což je odvětví s vysokou přidanou hodnotou a velkým podílem digitalizace. A to přímo v oblasti vývoje, tak i s nároky na podpůrnou infrastrukturu (např. HPOC, kvantové výpočty a komunikace).</w:t>
            </w:r>
          </w:p>
        </w:tc>
      </w:tr>
      <w:tr w:rsidRPr="007A4BFB" w:rsidR="007E27EE" w:rsidTr="6F25B24B" w14:paraId="4300D78C" w14:textId="77777777">
        <w:tc>
          <w:tcPr>
            <w:tcW w:w="2405" w:type="dxa"/>
          </w:tcPr>
          <w:p w:rsidRPr="007A4BFB" w:rsidR="007E27EE" w:rsidP="4AA51CF6" w:rsidRDefault="007E27EE" w14:paraId="1C4B21A2" w14:textId="77777777">
            <w:pPr>
              <w:spacing w:after="120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Cíl</w:t>
            </w:r>
          </w:p>
        </w:tc>
        <w:tc>
          <w:tcPr>
            <w:tcW w:w="7223" w:type="dxa"/>
          </w:tcPr>
          <w:p w:rsidRPr="007A4BFB" w:rsidR="007E27EE" w:rsidP="6F25B24B" w:rsidRDefault="007E27EE" w14:paraId="0955FE13" w14:textId="60C0B749">
            <w:pPr>
              <w:spacing w:after="120"/>
              <w:jc w:val="both"/>
              <w:rPr>
                <w:sz w:val="20"/>
                <w:szCs w:val="20"/>
              </w:rPr>
            </w:pPr>
            <w:r w:rsidRPr="6F25B24B">
              <w:rPr>
                <w:sz w:val="20"/>
                <w:szCs w:val="20"/>
              </w:rPr>
              <w:t xml:space="preserve">Cílem podpory pilotního projektu je vybudování infrastruktury potřebné pro rozvoj produkce pro letecký průmysl, který je závislý na vývoji, vysoké přesnosti výroby a sběru dat pro vytváření a užívání modelů (digitálních dvojčat) do reálného světa. S propojením na kvantové technologie dojde k možnosti dramatickému zvýšení kvality a rychlosti počítání a komunikace, což je právě v tomto oboru velmi přínosné a zároveň následně přenositelné do dalších oborů. Cílem je urychlení simulace při návrhu letadel a jejich komponent, což právě v letecké dopravě je velmi důležité pro náročné </w:t>
            </w:r>
            <w:proofErr w:type="gramStart"/>
            <w:r w:rsidRPr="6F25B24B">
              <w:rPr>
                <w:sz w:val="20"/>
                <w:szCs w:val="20"/>
              </w:rPr>
              <w:t>3D</w:t>
            </w:r>
            <w:proofErr w:type="gramEnd"/>
            <w:r w:rsidRPr="6F25B24B">
              <w:rPr>
                <w:sz w:val="20"/>
                <w:szCs w:val="20"/>
              </w:rPr>
              <w:t xml:space="preserve"> výpočty obtékání a proudění a celkové urychlení komplexních </w:t>
            </w:r>
            <w:proofErr w:type="spellStart"/>
            <w:r w:rsidRPr="6F25B24B">
              <w:rPr>
                <w:sz w:val="20"/>
                <w:szCs w:val="20"/>
              </w:rPr>
              <w:t>multifyzikálních</w:t>
            </w:r>
            <w:proofErr w:type="spellEnd"/>
            <w:r w:rsidRPr="6F25B24B">
              <w:rPr>
                <w:sz w:val="20"/>
                <w:szCs w:val="20"/>
              </w:rPr>
              <w:t xml:space="preserve"> simulací. Dále se očekává kvalitativní skok v počítačovém řízení letadel a rychlé predikce chování letadla na základě jeho modelu.</w:t>
            </w:r>
            <w:r w:rsidRPr="6F25B24B" w:rsidR="50581AA9">
              <w:rPr>
                <w:sz w:val="20"/>
                <w:szCs w:val="20"/>
              </w:rPr>
              <w:t xml:space="preserve"> </w:t>
            </w:r>
            <w:r w:rsidRPr="6F25B24B" w:rsidR="530BA714">
              <w:rPr>
                <w:sz w:val="20"/>
                <w:szCs w:val="20"/>
              </w:rPr>
              <w:t xml:space="preserve"> </w:t>
            </w:r>
            <w:proofErr w:type="spellStart"/>
            <w:r w:rsidRPr="6F25B24B" w:rsidR="530BA714">
              <w:rPr>
                <w:sz w:val="20"/>
                <w:szCs w:val="20"/>
              </w:rPr>
              <w:t>Zařízeni</w:t>
            </w:r>
            <w:proofErr w:type="spellEnd"/>
            <w:r w:rsidRPr="6F25B24B" w:rsidR="530BA714">
              <w:rPr>
                <w:sz w:val="20"/>
                <w:szCs w:val="20"/>
              </w:rPr>
              <w:t xml:space="preserve">́ a vybavení </w:t>
            </w:r>
            <w:proofErr w:type="spellStart"/>
            <w:r w:rsidRPr="6F25B24B" w:rsidR="530BA714">
              <w:rPr>
                <w:sz w:val="20"/>
                <w:szCs w:val="20"/>
              </w:rPr>
              <w:t>pořízene</w:t>
            </w:r>
            <w:proofErr w:type="spellEnd"/>
            <w:r w:rsidRPr="6F25B24B" w:rsidR="530BA714">
              <w:rPr>
                <w:sz w:val="20"/>
                <w:szCs w:val="20"/>
              </w:rPr>
              <w:t xml:space="preserve">́ v </w:t>
            </w:r>
            <w:proofErr w:type="spellStart"/>
            <w:r w:rsidRPr="6F25B24B" w:rsidR="530BA714">
              <w:rPr>
                <w:sz w:val="20"/>
                <w:szCs w:val="20"/>
              </w:rPr>
              <w:t>rámci</w:t>
            </w:r>
            <w:proofErr w:type="spellEnd"/>
            <w:r w:rsidRPr="6F25B24B" w:rsidR="530BA714">
              <w:rPr>
                <w:sz w:val="20"/>
                <w:szCs w:val="20"/>
              </w:rPr>
              <w:t xml:space="preserve"> </w:t>
            </w:r>
            <w:proofErr w:type="spellStart"/>
            <w:r w:rsidRPr="6F25B24B" w:rsidR="530BA714">
              <w:rPr>
                <w:sz w:val="20"/>
                <w:szCs w:val="20"/>
              </w:rPr>
              <w:t>této</w:t>
            </w:r>
            <w:proofErr w:type="spellEnd"/>
            <w:r w:rsidRPr="6F25B24B" w:rsidR="530BA714">
              <w:rPr>
                <w:sz w:val="20"/>
                <w:szCs w:val="20"/>
              </w:rPr>
              <w:t xml:space="preserve"> investice bude </w:t>
            </w:r>
            <w:r w:rsidRPr="6F25B24B" w:rsidR="67E8DC0F">
              <w:rPr>
                <w:sz w:val="20"/>
                <w:szCs w:val="20"/>
              </w:rPr>
              <w:t xml:space="preserve">využito </w:t>
            </w:r>
            <w:r w:rsidRPr="6F25B24B" w:rsidR="530BA714">
              <w:rPr>
                <w:sz w:val="20"/>
                <w:szCs w:val="20"/>
              </w:rPr>
              <w:t xml:space="preserve">pro </w:t>
            </w:r>
            <w:proofErr w:type="spellStart"/>
            <w:r w:rsidRPr="6F25B24B" w:rsidR="530BA714">
              <w:rPr>
                <w:sz w:val="20"/>
                <w:szCs w:val="20"/>
              </w:rPr>
              <w:t>výzkum</w:t>
            </w:r>
            <w:proofErr w:type="spellEnd"/>
            <w:r w:rsidRPr="6F25B24B" w:rsidR="530BA714">
              <w:rPr>
                <w:sz w:val="20"/>
                <w:szCs w:val="20"/>
              </w:rPr>
              <w:t xml:space="preserve"> a inovace s </w:t>
            </w:r>
            <w:proofErr w:type="spellStart"/>
            <w:r w:rsidRPr="6F25B24B" w:rsidR="530BA714">
              <w:rPr>
                <w:sz w:val="20"/>
                <w:szCs w:val="20"/>
              </w:rPr>
              <w:t>primárním</w:t>
            </w:r>
            <w:proofErr w:type="spellEnd"/>
            <w:r w:rsidRPr="6F25B24B" w:rsidR="530BA714">
              <w:rPr>
                <w:sz w:val="20"/>
                <w:szCs w:val="20"/>
              </w:rPr>
              <w:t xml:space="preserve"> </w:t>
            </w:r>
            <w:proofErr w:type="spellStart"/>
            <w:r w:rsidRPr="6F25B24B" w:rsidR="530BA714">
              <w:rPr>
                <w:sz w:val="20"/>
                <w:szCs w:val="20"/>
              </w:rPr>
              <w:t>zaměřením</w:t>
            </w:r>
            <w:proofErr w:type="spellEnd"/>
            <w:r w:rsidRPr="6F25B24B" w:rsidR="530BA714">
              <w:rPr>
                <w:sz w:val="20"/>
                <w:szCs w:val="20"/>
              </w:rPr>
              <w:t xml:space="preserve"> na </w:t>
            </w:r>
            <w:proofErr w:type="spellStart"/>
            <w:r w:rsidRPr="6F25B24B" w:rsidR="530BA714">
              <w:rPr>
                <w:sz w:val="20"/>
                <w:szCs w:val="20"/>
              </w:rPr>
              <w:t>vývoj</w:t>
            </w:r>
            <w:proofErr w:type="spellEnd"/>
            <w:r w:rsidRPr="6F25B24B" w:rsidR="530BA714">
              <w:rPr>
                <w:sz w:val="20"/>
                <w:szCs w:val="20"/>
              </w:rPr>
              <w:t xml:space="preserve"> variant s </w:t>
            </w:r>
            <w:proofErr w:type="spellStart"/>
            <w:r w:rsidRPr="6F25B24B" w:rsidR="530BA714">
              <w:rPr>
                <w:sz w:val="20"/>
                <w:szCs w:val="20"/>
              </w:rPr>
              <w:t>nízkým</w:t>
            </w:r>
            <w:proofErr w:type="spellEnd"/>
            <w:r w:rsidRPr="6F25B24B" w:rsidR="530BA714">
              <w:rPr>
                <w:sz w:val="20"/>
                <w:szCs w:val="20"/>
              </w:rPr>
              <w:t xml:space="preserve"> dopadem na životní prostředí a </w:t>
            </w:r>
            <w:proofErr w:type="spellStart"/>
            <w:r w:rsidRPr="6F25B24B" w:rsidR="530BA714">
              <w:rPr>
                <w:sz w:val="20"/>
                <w:szCs w:val="20"/>
              </w:rPr>
              <w:t>částečne</w:t>
            </w:r>
            <w:proofErr w:type="spellEnd"/>
            <w:r w:rsidRPr="6F25B24B" w:rsidR="530BA714">
              <w:rPr>
                <w:sz w:val="20"/>
                <w:szCs w:val="20"/>
              </w:rPr>
              <w:t xml:space="preserve">̌ na </w:t>
            </w:r>
            <w:proofErr w:type="spellStart"/>
            <w:r w:rsidRPr="6F25B24B" w:rsidR="530BA714">
              <w:rPr>
                <w:sz w:val="20"/>
                <w:szCs w:val="20"/>
              </w:rPr>
              <w:t>zvýšeni</w:t>
            </w:r>
            <w:proofErr w:type="spellEnd"/>
            <w:r w:rsidRPr="6F25B24B" w:rsidR="530BA714">
              <w:rPr>
                <w:sz w:val="20"/>
                <w:szCs w:val="20"/>
              </w:rPr>
              <w:t xml:space="preserve">́ efektivnosti. Biopaliva </w:t>
            </w:r>
            <w:proofErr w:type="spellStart"/>
            <w:r w:rsidRPr="6F25B24B" w:rsidR="530BA714">
              <w:rPr>
                <w:sz w:val="20"/>
                <w:szCs w:val="20"/>
              </w:rPr>
              <w:t>použita</w:t>
            </w:r>
            <w:proofErr w:type="spellEnd"/>
            <w:r w:rsidRPr="6F25B24B" w:rsidR="530BA714">
              <w:rPr>
                <w:sz w:val="20"/>
                <w:szCs w:val="20"/>
              </w:rPr>
              <w:t xml:space="preserve">́ pro </w:t>
            </w:r>
            <w:proofErr w:type="spellStart"/>
            <w:r w:rsidRPr="6F25B24B" w:rsidR="530BA714">
              <w:rPr>
                <w:sz w:val="20"/>
                <w:szCs w:val="20"/>
              </w:rPr>
              <w:t>zkoušeni</w:t>
            </w:r>
            <w:proofErr w:type="spellEnd"/>
            <w:r w:rsidRPr="6F25B24B" w:rsidR="530BA714">
              <w:rPr>
                <w:sz w:val="20"/>
                <w:szCs w:val="20"/>
              </w:rPr>
              <w:t xml:space="preserve">́ </w:t>
            </w:r>
            <w:proofErr w:type="spellStart"/>
            <w:r w:rsidRPr="6F25B24B" w:rsidR="530BA714">
              <w:rPr>
                <w:sz w:val="20"/>
                <w:szCs w:val="20"/>
              </w:rPr>
              <w:t>musi</w:t>
            </w:r>
            <w:proofErr w:type="spellEnd"/>
            <w:r w:rsidRPr="6F25B24B" w:rsidR="530BA714">
              <w:rPr>
                <w:sz w:val="20"/>
                <w:szCs w:val="20"/>
              </w:rPr>
              <w:t xml:space="preserve">́ </w:t>
            </w:r>
            <w:proofErr w:type="spellStart"/>
            <w:r w:rsidRPr="6F25B24B" w:rsidR="530BA714">
              <w:rPr>
                <w:sz w:val="20"/>
                <w:szCs w:val="20"/>
              </w:rPr>
              <w:t>být</w:t>
            </w:r>
            <w:proofErr w:type="spellEnd"/>
            <w:r w:rsidRPr="6F25B24B" w:rsidR="530BA714">
              <w:rPr>
                <w:sz w:val="20"/>
                <w:szCs w:val="20"/>
              </w:rPr>
              <w:t xml:space="preserve"> v souladu se </w:t>
            </w:r>
            <w:proofErr w:type="spellStart"/>
            <w:r w:rsidRPr="6F25B24B" w:rsidR="530BA714">
              <w:rPr>
                <w:sz w:val="20"/>
                <w:szCs w:val="20"/>
              </w:rPr>
              <w:t>směrnici</w:t>
            </w:r>
            <w:proofErr w:type="spellEnd"/>
            <w:r w:rsidRPr="6F25B24B" w:rsidR="4570E379">
              <w:rPr>
                <w:sz w:val="20"/>
                <w:szCs w:val="20"/>
              </w:rPr>
              <w:t xml:space="preserve"> </w:t>
            </w:r>
            <w:proofErr w:type="spellStart"/>
            <w:r w:rsidRPr="6F25B24B" w:rsidR="4570E379">
              <w:rPr>
                <w:sz w:val="20"/>
                <w:szCs w:val="20"/>
              </w:rPr>
              <w:t>Evropského</w:t>
            </w:r>
            <w:proofErr w:type="spellEnd"/>
            <w:r w:rsidRPr="6F25B24B" w:rsidR="4570E379">
              <w:rPr>
                <w:sz w:val="20"/>
                <w:szCs w:val="20"/>
              </w:rPr>
              <w:t xml:space="preserve"> parlamentu a Rady (EU) 2018/2001 ze dne 11. prosince 2018 o </w:t>
            </w:r>
            <w:proofErr w:type="spellStart"/>
            <w:r w:rsidRPr="6F25B24B" w:rsidR="4570E379">
              <w:rPr>
                <w:sz w:val="20"/>
                <w:szCs w:val="20"/>
              </w:rPr>
              <w:t>podpoře</w:t>
            </w:r>
            <w:proofErr w:type="spellEnd"/>
            <w:r w:rsidRPr="6F25B24B" w:rsidR="4570E379">
              <w:rPr>
                <w:sz w:val="20"/>
                <w:szCs w:val="20"/>
              </w:rPr>
              <w:t xml:space="preserve"> </w:t>
            </w:r>
            <w:proofErr w:type="spellStart"/>
            <w:r w:rsidRPr="6F25B24B" w:rsidR="4570E379">
              <w:rPr>
                <w:sz w:val="20"/>
                <w:szCs w:val="20"/>
              </w:rPr>
              <w:t>využíváni</w:t>
            </w:r>
            <w:proofErr w:type="spellEnd"/>
            <w:r w:rsidRPr="6F25B24B" w:rsidR="4570E379">
              <w:rPr>
                <w:sz w:val="20"/>
                <w:szCs w:val="20"/>
              </w:rPr>
              <w:t xml:space="preserve">́ energie z </w:t>
            </w:r>
            <w:proofErr w:type="spellStart"/>
            <w:r w:rsidRPr="6F25B24B" w:rsidR="4570E379">
              <w:rPr>
                <w:sz w:val="20"/>
                <w:szCs w:val="20"/>
              </w:rPr>
              <w:t>obnovitelných</w:t>
            </w:r>
            <w:proofErr w:type="spellEnd"/>
            <w:r w:rsidRPr="6F25B24B" w:rsidR="4570E379">
              <w:rPr>
                <w:sz w:val="20"/>
                <w:szCs w:val="20"/>
              </w:rPr>
              <w:t xml:space="preserve"> </w:t>
            </w:r>
            <w:proofErr w:type="spellStart"/>
            <w:r w:rsidRPr="6F25B24B" w:rsidR="4570E379">
              <w:rPr>
                <w:sz w:val="20"/>
                <w:szCs w:val="20"/>
              </w:rPr>
              <w:t>zdroju</w:t>
            </w:r>
            <w:proofErr w:type="spellEnd"/>
            <w:r w:rsidRPr="6F25B24B" w:rsidR="4570E379">
              <w:rPr>
                <w:sz w:val="20"/>
                <w:szCs w:val="20"/>
              </w:rPr>
              <w:t xml:space="preserve">̊ </w:t>
            </w:r>
            <w:r w:rsidRPr="6F25B24B" w:rsidR="530BA714">
              <w:rPr>
                <w:sz w:val="20"/>
                <w:szCs w:val="20"/>
              </w:rPr>
              <w:t>̊ (RED II).</w:t>
            </w:r>
          </w:p>
        </w:tc>
      </w:tr>
      <w:tr w:rsidRPr="007A4BFB" w:rsidR="007E27EE" w:rsidTr="6F25B24B" w14:paraId="1F11BD7D" w14:textId="77777777">
        <w:tc>
          <w:tcPr>
            <w:tcW w:w="2405" w:type="dxa"/>
          </w:tcPr>
          <w:p w:rsidRPr="007A4BFB" w:rsidR="007E27EE" w:rsidP="4AA51CF6" w:rsidRDefault="007E27EE" w14:paraId="1259FBFD" w14:textId="77777777">
            <w:pPr>
              <w:spacing w:after="120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Implementace</w:t>
            </w:r>
          </w:p>
        </w:tc>
        <w:tc>
          <w:tcPr>
            <w:tcW w:w="7223" w:type="dxa"/>
          </w:tcPr>
          <w:p w:rsidRPr="007A4BFB" w:rsidR="007E27EE" w:rsidP="4AA51CF6" w:rsidRDefault="007E27EE" w14:paraId="2124E27E" w14:textId="77777777">
            <w:pPr>
              <w:spacing w:after="120"/>
              <w:jc w:val="both"/>
              <w:rPr>
                <w:i/>
                <w:iCs/>
                <w:color w:val="2196FF"/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Ministerstvo školství, mládeže a tělovýchovy ČR a partnery z výzkumných organizací, VZLÚ a průmyslových partnerů</w:t>
            </w:r>
          </w:p>
        </w:tc>
      </w:tr>
      <w:tr w:rsidRPr="007A4BFB" w:rsidR="007E27EE" w:rsidTr="6F25B24B" w14:paraId="26D32E61" w14:textId="77777777">
        <w:trPr>
          <w:trHeight w:val="70"/>
        </w:trPr>
        <w:tc>
          <w:tcPr>
            <w:tcW w:w="2405" w:type="dxa"/>
          </w:tcPr>
          <w:p w:rsidRPr="007A4BFB" w:rsidR="007E27EE" w:rsidP="4AA51CF6" w:rsidRDefault="007E27EE" w14:paraId="069F235B" w14:textId="77777777">
            <w:pPr>
              <w:spacing w:after="120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lastRenderedPageBreak/>
              <w:t>Spolupráce a zapojení zúčastněných stran</w:t>
            </w:r>
          </w:p>
        </w:tc>
        <w:tc>
          <w:tcPr>
            <w:tcW w:w="7223" w:type="dxa"/>
          </w:tcPr>
          <w:p w:rsidRPr="007A4BFB" w:rsidR="007E27EE" w:rsidP="4AA51CF6" w:rsidRDefault="007E27EE" w14:paraId="221BFD5A" w14:textId="77777777">
            <w:pPr>
              <w:spacing w:after="120"/>
              <w:jc w:val="both"/>
              <w:rPr>
                <w:i/>
                <w:iCs/>
                <w:color w:val="2196FF"/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Zapojeny budou: výzkumné organizace, VZLÚ, průmysloví partneři v oboru</w:t>
            </w:r>
          </w:p>
        </w:tc>
      </w:tr>
      <w:tr w:rsidRPr="007A4BFB" w:rsidR="007E27EE" w:rsidTr="6F25B24B" w14:paraId="7897C2D7" w14:textId="77777777">
        <w:tc>
          <w:tcPr>
            <w:tcW w:w="2405" w:type="dxa"/>
          </w:tcPr>
          <w:p w:rsidRPr="007A4BFB" w:rsidR="007E27EE" w:rsidP="4AA51CF6" w:rsidRDefault="007E27EE" w14:paraId="0EA6FA0F" w14:textId="77777777">
            <w:pPr>
              <w:spacing w:after="120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Překážky a rizika</w:t>
            </w:r>
          </w:p>
        </w:tc>
        <w:tc>
          <w:tcPr>
            <w:tcW w:w="7223" w:type="dxa"/>
          </w:tcPr>
          <w:p w:rsidRPr="007A4BFB" w:rsidR="007E27EE" w:rsidP="4AA51CF6" w:rsidRDefault="007E27EE" w14:paraId="36D3DB7B" w14:textId="363FC595">
            <w:pPr>
              <w:spacing w:after="120"/>
              <w:jc w:val="both"/>
              <w:rPr>
                <w:i/>
                <w:iCs/>
                <w:color w:val="2196FF"/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 xml:space="preserve">Nedostatek finančních prostředků a prodloužení dodacích lhůt z důvodu vysoké technické náročnosti projektu. Technické komplikace vedoucí k prodloužení doby realizace. </w:t>
            </w:r>
            <w:r w:rsidRPr="4AA51CF6" w:rsidR="496A0C9C">
              <w:rPr>
                <w:sz w:val="20"/>
                <w:szCs w:val="20"/>
              </w:rPr>
              <w:t>Klíčovým rizikem jsou nedostatečné personální kapacity u implementující instituce (Ministerstvo průmyslu a obchodu ČR).</w:t>
            </w:r>
          </w:p>
        </w:tc>
      </w:tr>
      <w:tr w:rsidRPr="007A4BFB" w:rsidR="007E27EE" w:rsidTr="6F25B24B" w14:paraId="2EB66912" w14:textId="77777777">
        <w:tc>
          <w:tcPr>
            <w:tcW w:w="2405" w:type="dxa"/>
          </w:tcPr>
          <w:p w:rsidRPr="007A4BFB" w:rsidR="007E27EE" w:rsidP="4AA51CF6" w:rsidRDefault="007E27EE" w14:paraId="711AA50B" w14:textId="77777777">
            <w:pPr>
              <w:spacing w:after="120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Cílové skupiny populace a ekonomické subjekty</w:t>
            </w:r>
          </w:p>
        </w:tc>
        <w:tc>
          <w:tcPr>
            <w:tcW w:w="7223" w:type="dxa"/>
          </w:tcPr>
          <w:p w:rsidRPr="007A4BFB" w:rsidR="007E27EE" w:rsidP="4AA51CF6" w:rsidRDefault="007E27EE" w14:paraId="263A896A" w14:textId="77777777">
            <w:pPr>
              <w:spacing w:after="120"/>
              <w:jc w:val="both"/>
              <w:rPr>
                <w:i/>
                <w:iCs/>
                <w:color w:val="2196FF"/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Velcí průmysloví partneři a na ně navázány malé a střední podniky ve výrobním sektoru</w:t>
            </w:r>
          </w:p>
        </w:tc>
      </w:tr>
      <w:tr w:rsidRPr="007A4BFB" w:rsidR="007E27EE" w:rsidTr="6F25B24B" w14:paraId="7090C8A4" w14:textId="77777777">
        <w:tc>
          <w:tcPr>
            <w:tcW w:w="2405" w:type="dxa"/>
          </w:tcPr>
          <w:p w:rsidRPr="007A4BFB" w:rsidR="007E27EE" w:rsidP="4AA51CF6" w:rsidRDefault="007E27EE" w14:paraId="26E9AEE8" w14:textId="77777777">
            <w:pPr>
              <w:spacing w:after="120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Souhrnné náklady realizace financované z RRF za celé období</w:t>
            </w:r>
          </w:p>
        </w:tc>
        <w:tc>
          <w:tcPr>
            <w:tcW w:w="7223" w:type="dxa"/>
          </w:tcPr>
          <w:p w:rsidRPr="007A4BFB" w:rsidR="007E27EE" w:rsidP="4AA51CF6" w:rsidRDefault="50FEF497" w14:paraId="6DE7CC2D" w14:textId="723A9C75">
            <w:pPr>
              <w:spacing w:after="120"/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 xml:space="preserve">Investice potřebná pro naplnění výše uvedeného cíle počítá s náklady </w:t>
            </w:r>
            <w:r w:rsidRPr="4AA51CF6" w:rsidR="007E27EE">
              <w:rPr>
                <w:sz w:val="20"/>
                <w:szCs w:val="20"/>
              </w:rPr>
              <w:t xml:space="preserve">1 </w:t>
            </w:r>
            <w:r w:rsidRPr="4AA51CF6">
              <w:rPr>
                <w:sz w:val="20"/>
                <w:szCs w:val="20"/>
              </w:rPr>
              <w:t>0</w:t>
            </w:r>
            <w:r w:rsidRPr="4AA51CF6" w:rsidR="007E27EE">
              <w:rPr>
                <w:sz w:val="20"/>
                <w:szCs w:val="20"/>
              </w:rPr>
              <w:t>00 mil. Kč</w:t>
            </w:r>
          </w:p>
        </w:tc>
      </w:tr>
      <w:tr w:rsidRPr="007A4BFB" w:rsidR="007E27EE" w:rsidTr="6F25B24B" w14:paraId="5DBAA7D6" w14:textId="77777777">
        <w:tc>
          <w:tcPr>
            <w:tcW w:w="2405" w:type="dxa"/>
          </w:tcPr>
          <w:p w:rsidRPr="007A4BFB" w:rsidR="007E27EE" w:rsidP="4AA51CF6" w:rsidRDefault="007E27EE" w14:paraId="7D6E23CD" w14:textId="77777777">
            <w:pPr>
              <w:spacing w:after="120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Dodržování pravidel státní podpory</w:t>
            </w:r>
          </w:p>
        </w:tc>
        <w:tc>
          <w:tcPr>
            <w:tcW w:w="7223" w:type="dxa"/>
          </w:tcPr>
          <w:p w:rsidRPr="007A4BFB" w:rsidR="007E27EE" w:rsidP="4AA51CF6" w:rsidRDefault="007E27EE" w14:paraId="056062CB" w14:textId="77777777">
            <w:pPr>
              <w:spacing w:after="120"/>
              <w:jc w:val="both"/>
              <w:rPr>
                <w:i/>
                <w:iCs/>
                <w:color w:val="2196FF"/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Veškerá veřejná podpora bude projednána a popřípadě notifikována v závislosti na konkrétních projektech a změnách dočasného rámce a dalších pravidel v souvislosti s implementací RRF/NPO.</w:t>
            </w:r>
          </w:p>
        </w:tc>
      </w:tr>
      <w:tr w:rsidRPr="007A4BFB" w:rsidR="007E27EE" w:rsidTr="6F25B24B" w14:paraId="6459B2AB" w14:textId="77777777">
        <w:tc>
          <w:tcPr>
            <w:tcW w:w="2405" w:type="dxa"/>
          </w:tcPr>
          <w:p w:rsidRPr="007A4BFB" w:rsidR="007E27EE" w:rsidP="4AA51CF6" w:rsidRDefault="007E27EE" w14:paraId="5CC5AF62" w14:textId="77777777">
            <w:pPr>
              <w:spacing w:after="120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Uveďte dobu implementace</w:t>
            </w:r>
          </w:p>
        </w:tc>
        <w:tc>
          <w:tcPr>
            <w:tcW w:w="7223" w:type="dxa"/>
          </w:tcPr>
          <w:p w:rsidRPr="007A4BFB" w:rsidR="007E27EE" w:rsidP="4AA51CF6" w:rsidRDefault="3D0D9465" w14:paraId="26E618FF" w14:textId="7DA387B0">
            <w:pPr>
              <w:spacing w:after="120"/>
              <w:jc w:val="both"/>
              <w:rPr>
                <w:sz w:val="20"/>
                <w:szCs w:val="20"/>
              </w:rPr>
            </w:pPr>
            <w:r w:rsidRPr="4AA51CF6">
              <w:rPr>
                <w:sz w:val="20"/>
                <w:szCs w:val="20"/>
              </w:rPr>
              <w:t>Plánovaná doba implementace projektu je 2021–2022.</w:t>
            </w:r>
          </w:p>
        </w:tc>
      </w:tr>
    </w:tbl>
    <w:p w:rsidRPr="00AB51BB" w:rsidR="007D49E4" w:rsidP="4AA51CF6" w:rsidRDefault="007D49E4" w14:paraId="000001DE" w14:textId="79460B7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rPr>
          <w:b/>
          <w:bCs/>
          <w:sz w:val="20"/>
          <w:szCs w:val="20"/>
        </w:rPr>
      </w:pPr>
    </w:p>
    <w:p w:rsidR="00BA47DA" w:rsidP="0FB7C3A6" w:rsidRDefault="00BA47DA" w14:paraId="11934ADB" w14:textId="2A9061CF">
      <w:pPr>
        <w:spacing w:line="240" w:lineRule="auto"/>
      </w:pPr>
      <w:r w:rsidRPr="0FB7C3A6">
        <w:rPr>
          <w:b/>
          <w:bCs/>
          <w:sz w:val="20"/>
          <w:szCs w:val="20"/>
        </w:rPr>
        <w:t>4. Strategická autonomie a bezpečnostní problematika</w:t>
      </w:r>
    </w:p>
    <w:p w:rsidR="00BA47DA" w:rsidP="0FB7C3A6" w:rsidRDefault="6F7A4A1C" w14:paraId="0FE0A633" w14:textId="3CA8A8FC">
      <w:pPr>
        <w:spacing w:line="240" w:lineRule="auto"/>
        <w:jc w:val="both"/>
        <w:rPr>
          <w:color w:val="000000" w:themeColor="text1"/>
          <w:sz w:val="20"/>
          <w:szCs w:val="20"/>
        </w:rPr>
      </w:pPr>
      <w:r w:rsidRPr="0957DFE5">
        <w:rPr>
          <w:color w:val="000000" w:themeColor="text1"/>
          <w:sz w:val="20"/>
          <w:szCs w:val="20"/>
        </w:rPr>
        <w:t xml:space="preserve">Komponenta je bezprostředně v souladu se rozvojovými záměry Evropské unie v oblasti </w:t>
      </w:r>
      <w:r w:rsidRPr="0957DFE5" w:rsidR="1D5B8C40">
        <w:rPr>
          <w:color w:val="000000" w:themeColor="text1"/>
          <w:sz w:val="20"/>
          <w:szCs w:val="20"/>
        </w:rPr>
        <w:t>podpory d</w:t>
      </w:r>
      <w:r w:rsidRPr="0957DFE5" w:rsidR="6629D7BC">
        <w:rPr>
          <w:color w:val="000000" w:themeColor="text1"/>
          <w:sz w:val="20"/>
          <w:szCs w:val="20"/>
        </w:rPr>
        <w:t>i</w:t>
      </w:r>
      <w:r w:rsidRPr="0957DFE5" w:rsidR="1D5B8C40">
        <w:rPr>
          <w:color w:val="000000" w:themeColor="text1"/>
          <w:sz w:val="20"/>
          <w:szCs w:val="20"/>
        </w:rPr>
        <w:t>gitální agendy a digitální ekonomiky a její bezpečnosti</w:t>
      </w:r>
      <w:r w:rsidRPr="0957DFE5">
        <w:rPr>
          <w:color w:val="000000" w:themeColor="text1"/>
          <w:sz w:val="20"/>
          <w:szCs w:val="20"/>
        </w:rPr>
        <w:t xml:space="preserve">. Realizace záměrů komponenty podpoří budování strategické autonomie Evropy v oblasti informačních a komunikačních systémů a digitálních služeb, což je v souladu s prioritou posilování digitální suverenity EU. Česká republika se bude zasazovat o bezpečné budování </w:t>
      </w:r>
      <w:r w:rsidRPr="0957DFE5" w:rsidR="38957E0F">
        <w:rPr>
          <w:color w:val="000000" w:themeColor="text1"/>
          <w:sz w:val="20"/>
          <w:szCs w:val="20"/>
        </w:rPr>
        <w:t xml:space="preserve">digitálního ekosystému a </w:t>
      </w:r>
      <w:r w:rsidRPr="0957DFE5">
        <w:rPr>
          <w:color w:val="000000" w:themeColor="text1"/>
          <w:sz w:val="20"/>
          <w:szCs w:val="20"/>
        </w:rPr>
        <w:t>sítí z pohledu kybernetické bezpečnosti, a stejně tak pokračovat v systematickém a pečlivém hodnocení rizik, nezbytných pro vytvoření a udržení odolné a bezpečné infrastruktury.</w:t>
      </w:r>
    </w:p>
    <w:p w:rsidR="3EFC1473" w:rsidP="0FB7C3A6" w:rsidRDefault="3EFC1473" w14:paraId="73EEA594" w14:textId="6F951B55">
      <w:pPr>
        <w:spacing w:line="257" w:lineRule="auto"/>
        <w:jc w:val="both"/>
        <w:rPr>
          <w:color w:val="000000" w:themeColor="text1"/>
          <w:sz w:val="20"/>
          <w:szCs w:val="20"/>
        </w:rPr>
      </w:pPr>
      <w:r w:rsidRPr="0FB7C3A6">
        <w:rPr>
          <w:color w:val="000000" w:themeColor="text1"/>
          <w:sz w:val="20"/>
          <w:szCs w:val="20"/>
        </w:rPr>
        <w:t>V tomto ohledu je zásadní zejména reforma 1.</w:t>
      </w:r>
      <w:r w:rsidRPr="0FB7C3A6" w:rsidR="0644C5F9">
        <w:rPr>
          <w:color w:val="000000" w:themeColor="text1"/>
          <w:sz w:val="20"/>
          <w:szCs w:val="20"/>
        </w:rPr>
        <w:t>4.</w:t>
      </w:r>
      <w:r w:rsidRPr="0FB7C3A6">
        <w:rPr>
          <w:color w:val="000000" w:themeColor="text1"/>
          <w:sz w:val="20"/>
          <w:szCs w:val="20"/>
        </w:rPr>
        <w:t xml:space="preserve">1, která vytváří integrovaný Výbor pro digitální transformaci, jehož jedním z hlavních úkolů bude </w:t>
      </w:r>
      <w:r w:rsidRPr="0FB7C3A6" w:rsidR="3C581A07">
        <w:rPr>
          <w:color w:val="000000" w:themeColor="text1"/>
          <w:sz w:val="20"/>
          <w:szCs w:val="20"/>
        </w:rPr>
        <w:t xml:space="preserve">právě koordinace zajištění bezpečnosti a otevřené strategické autonomie ve spolupráci veřejných a soukromých subjektů. Z tohoto pohledu bude významná </w:t>
      </w:r>
      <w:r w:rsidRPr="0FB7C3A6" w:rsidR="749668D4">
        <w:rPr>
          <w:color w:val="000000" w:themeColor="text1"/>
          <w:sz w:val="20"/>
          <w:szCs w:val="20"/>
        </w:rPr>
        <w:t>zejména investice 1.</w:t>
      </w:r>
      <w:r w:rsidRPr="0FB7C3A6" w:rsidR="2CE1DBBA">
        <w:rPr>
          <w:color w:val="000000" w:themeColor="text1"/>
          <w:sz w:val="20"/>
          <w:szCs w:val="20"/>
        </w:rPr>
        <w:t>4</w:t>
      </w:r>
      <w:r w:rsidRPr="0FB7C3A6" w:rsidR="749668D4">
        <w:rPr>
          <w:color w:val="000000" w:themeColor="text1"/>
          <w:sz w:val="20"/>
          <w:szCs w:val="20"/>
        </w:rPr>
        <w:t>.1</w:t>
      </w:r>
      <w:r w:rsidRPr="0FB7C3A6" w:rsidR="6DD0AD3F">
        <w:rPr>
          <w:color w:val="000000" w:themeColor="text1"/>
          <w:sz w:val="20"/>
          <w:szCs w:val="20"/>
        </w:rPr>
        <w:t>.1</w:t>
      </w:r>
      <w:r w:rsidRPr="0FB7C3A6" w:rsidR="749668D4">
        <w:rPr>
          <w:color w:val="000000" w:themeColor="text1"/>
          <w:sz w:val="20"/>
          <w:szCs w:val="20"/>
        </w:rPr>
        <w:t xml:space="preserve"> a vybudování Evropského centra excelence v AI </w:t>
      </w:r>
      <w:r w:rsidRPr="0FB7C3A6" w:rsidR="333B4E06">
        <w:rPr>
          <w:color w:val="000000" w:themeColor="text1"/>
          <w:sz w:val="20"/>
          <w:szCs w:val="20"/>
        </w:rPr>
        <w:t xml:space="preserve">přímo </w:t>
      </w:r>
      <w:r w:rsidRPr="0FB7C3A6" w:rsidR="749668D4">
        <w:rPr>
          <w:color w:val="000000" w:themeColor="text1"/>
          <w:sz w:val="20"/>
          <w:szCs w:val="20"/>
        </w:rPr>
        <w:t xml:space="preserve">v oblasti “umělá inteligence pro bezpečnější společnost” a </w:t>
      </w:r>
      <w:r w:rsidRPr="0FB7C3A6" w:rsidR="3FF49279">
        <w:rPr>
          <w:color w:val="000000" w:themeColor="text1"/>
          <w:sz w:val="20"/>
          <w:szCs w:val="20"/>
        </w:rPr>
        <w:t>1.</w:t>
      </w:r>
      <w:r w:rsidRPr="0FB7C3A6" w:rsidR="2CEC3581">
        <w:rPr>
          <w:color w:val="000000" w:themeColor="text1"/>
          <w:sz w:val="20"/>
          <w:szCs w:val="20"/>
        </w:rPr>
        <w:t>4.</w:t>
      </w:r>
      <w:r w:rsidRPr="0FB7C3A6" w:rsidR="3FF49279">
        <w:rPr>
          <w:color w:val="000000" w:themeColor="text1"/>
          <w:sz w:val="20"/>
          <w:szCs w:val="20"/>
        </w:rPr>
        <w:t>1.</w:t>
      </w:r>
      <w:r w:rsidRPr="0FB7C3A6" w:rsidR="03EC5C35">
        <w:rPr>
          <w:color w:val="000000" w:themeColor="text1"/>
          <w:sz w:val="20"/>
          <w:szCs w:val="20"/>
        </w:rPr>
        <w:t>2 která prostřednictvím vybudování rozšířeného EDMO hubu přímo adresuje hrozbu desinformací. Stejně tak investice 1.4.</w:t>
      </w:r>
      <w:r w:rsidRPr="0FB7C3A6" w:rsidR="5132A5D0">
        <w:rPr>
          <w:color w:val="000000" w:themeColor="text1"/>
          <w:sz w:val="20"/>
          <w:szCs w:val="20"/>
        </w:rPr>
        <w:t xml:space="preserve">1.3 jejímž výsledkem bude přenos nejlepší praxe i právě v oblasti bezpečnosti. K </w:t>
      </w:r>
      <w:r w:rsidRPr="0FB7C3A6" w:rsidR="03EC5C35">
        <w:rPr>
          <w:color w:val="000000" w:themeColor="text1"/>
          <w:sz w:val="20"/>
          <w:szCs w:val="20"/>
        </w:rPr>
        <w:t xml:space="preserve">zajištění tohoto cíle jsou </w:t>
      </w:r>
      <w:r w:rsidRPr="0FB7C3A6" w:rsidR="49170DB5">
        <w:rPr>
          <w:color w:val="000000" w:themeColor="text1"/>
          <w:sz w:val="20"/>
          <w:szCs w:val="20"/>
        </w:rPr>
        <w:t xml:space="preserve">nicméně </w:t>
      </w:r>
      <w:r w:rsidRPr="0FB7C3A6" w:rsidR="03EC5C35">
        <w:rPr>
          <w:color w:val="000000" w:themeColor="text1"/>
          <w:sz w:val="20"/>
          <w:szCs w:val="20"/>
        </w:rPr>
        <w:t xml:space="preserve">významné </w:t>
      </w:r>
      <w:r w:rsidRPr="0FB7C3A6" w:rsidR="752B45C4">
        <w:rPr>
          <w:color w:val="000000" w:themeColor="text1"/>
          <w:sz w:val="20"/>
          <w:szCs w:val="20"/>
        </w:rPr>
        <w:t xml:space="preserve">a směřují </w:t>
      </w:r>
      <w:r w:rsidRPr="0FB7C3A6" w:rsidR="03EC5C35">
        <w:rPr>
          <w:color w:val="000000" w:themeColor="text1"/>
          <w:sz w:val="20"/>
          <w:szCs w:val="20"/>
        </w:rPr>
        <w:t xml:space="preserve">všechny </w:t>
      </w:r>
      <w:r w:rsidRPr="0FB7C3A6" w:rsidR="6E0DB787">
        <w:rPr>
          <w:color w:val="000000" w:themeColor="text1"/>
          <w:sz w:val="20"/>
          <w:szCs w:val="20"/>
        </w:rPr>
        <w:t xml:space="preserve">investice v </w:t>
      </w:r>
      <w:r w:rsidRPr="0FB7C3A6" w:rsidR="505F2A04">
        <w:rPr>
          <w:color w:val="000000" w:themeColor="text1"/>
          <w:sz w:val="20"/>
          <w:szCs w:val="20"/>
        </w:rPr>
        <w:t xml:space="preserve">rámci komponenty. Nepřímo je cílem i reformy 1.4.2 a implementace standardu EU </w:t>
      </w:r>
      <w:proofErr w:type="spellStart"/>
      <w:r w:rsidRPr="0FB7C3A6" w:rsidR="505F2A04">
        <w:rPr>
          <w:color w:val="000000" w:themeColor="text1"/>
          <w:sz w:val="20"/>
          <w:szCs w:val="20"/>
        </w:rPr>
        <w:t>Startup</w:t>
      </w:r>
      <w:proofErr w:type="spellEnd"/>
      <w:r w:rsidRPr="0FB7C3A6" w:rsidR="505F2A04">
        <w:rPr>
          <w:color w:val="000000" w:themeColor="text1"/>
          <w:sz w:val="20"/>
          <w:szCs w:val="20"/>
        </w:rPr>
        <w:t xml:space="preserve"> </w:t>
      </w:r>
      <w:proofErr w:type="spellStart"/>
      <w:r w:rsidRPr="0FB7C3A6" w:rsidR="505F2A04">
        <w:rPr>
          <w:color w:val="000000" w:themeColor="text1"/>
          <w:sz w:val="20"/>
          <w:szCs w:val="20"/>
        </w:rPr>
        <w:t>Nation</w:t>
      </w:r>
      <w:proofErr w:type="spellEnd"/>
      <w:r w:rsidRPr="0FB7C3A6" w:rsidR="505F2A04">
        <w:rPr>
          <w:color w:val="000000" w:themeColor="text1"/>
          <w:sz w:val="20"/>
          <w:szCs w:val="20"/>
        </w:rPr>
        <w:t xml:space="preserve"> a z navazujících investic zejména program Cz</w:t>
      </w:r>
      <w:r w:rsidRPr="0FB7C3A6" w:rsidR="5225A09C">
        <w:rPr>
          <w:color w:val="000000" w:themeColor="text1"/>
          <w:sz w:val="20"/>
          <w:szCs w:val="20"/>
        </w:rPr>
        <w:t xml:space="preserve">ech </w:t>
      </w:r>
      <w:proofErr w:type="spellStart"/>
      <w:r w:rsidRPr="0FB7C3A6" w:rsidR="5225A09C">
        <w:rPr>
          <w:color w:val="000000" w:themeColor="text1"/>
          <w:sz w:val="20"/>
          <w:szCs w:val="20"/>
        </w:rPr>
        <w:t>Rise</w:t>
      </w:r>
      <w:proofErr w:type="spellEnd"/>
      <w:r w:rsidRPr="0FB7C3A6" w:rsidR="5225A09C">
        <w:rPr>
          <w:color w:val="000000" w:themeColor="text1"/>
          <w:sz w:val="20"/>
          <w:szCs w:val="20"/>
        </w:rPr>
        <w:t xml:space="preserve"> Up (1.4.2.1</w:t>
      </w:r>
      <w:r w:rsidRPr="0FB7C3A6" w:rsidR="5CFE9EB2">
        <w:rPr>
          <w:color w:val="000000" w:themeColor="text1"/>
          <w:sz w:val="20"/>
          <w:szCs w:val="20"/>
        </w:rPr>
        <w:t xml:space="preserve">) </w:t>
      </w:r>
      <w:r w:rsidRPr="0FB7C3A6" w:rsidR="5225A09C">
        <w:rPr>
          <w:color w:val="000000" w:themeColor="text1"/>
          <w:sz w:val="20"/>
          <w:szCs w:val="20"/>
        </w:rPr>
        <w:t xml:space="preserve">podporující </w:t>
      </w:r>
      <w:proofErr w:type="spellStart"/>
      <w:r w:rsidRPr="0FB7C3A6" w:rsidR="5225A09C">
        <w:rPr>
          <w:color w:val="000000" w:themeColor="text1"/>
          <w:sz w:val="20"/>
          <w:szCs w:val="20"/>
        </w:rPr>
        <w:t>resilentní</w:t>
      </w:r>
      <w:proofErr w:type="spellEnd"/>
      <w:r w:rsidRPr="0FB7C3A6" w:rsidR="5225A09C">
        <w:rPr>
          <w:color w:val="000000" w:themeColor="text1"/>
          <w:sz w:val="20"/>
          <w:szCs w:val="20"/>
        </w:rPr>
        <w:t xml:space="preserve"> technologie a fond fondů pro strategické digitální technologie</w:t>
      </w:r>
      <w:r w:rsidRPr="0FB7C3A6" w:rsidR="4ED685D5">
        <w:rPr>
          <w:color w:val="000000" w:themeColor="text1"/>
          <w:sz w:val="20"/>
          <w:szCs w:val="20"/>
        </w:rPr>
        <w:t xml:space="preserve"> (1.4.2.3)</w:t>
      </w:r>
      <w:r w:rsidRPr="0FB7C3A6" w:rsidR="5225A09C">
        <w:rPr>
          <w:color w:val="000000" w:themeColor="text1"/>
          <w:sz w:val="20"/>
          <w:szCs w:val="20"/>
        </w:rPr>
        <w:t>, který míří přímo k tomuto cíli.</w:t>
      </w:r>
      <w:r w:rsidRPr="0FB7C3A6" w:rsidR="3A17DD72">
        <w:rPr>
          <w:color w:val="000000" w:themeColor="text1"/>
          <w:sz w:val="20"/>
          <w:szCs w:val="20"/>
        </w:rPr>
        <w:t xml:space="preserve"> Úplně danému cíli pak odpovídá reforma 1.4.3 mířící přímo na podporu </w:t>
      </w:r>
      <w:r w:rsidRPr="0FB7C3A6" w:rsidR="5400E178">
        <w:rPr>
          <w:color w:val="000000" w:themeColor="text1"/>
          <w:sz w:val="20"/>
          <w:szCs w:val="20"/>
        </w:rPr>
        <w:t xml:space="preserve">a certifikace </w:t>
      </w:r>
      <w:r w:rsidRPr="0FB7C3A6" w:rsidR="3A17DD72">
        <w:rPr>
          <w:color w:val="000000" w:themeColor="text1"/>
          <w:sz w:val="20"/>
          <w:szCs w:val="20"/>
        </w:rPr>
        <w:t xml:space="preserve">strategických technologií a </w:t>
      </w:r>
      <w:r w:rsidRPr="0FB7C3A6" w:rsidR="5458B520">
        <w:rPr>
          <w:color w:val="000000" w:themeColor="text1"/>
          <w:sz w:val="20"/>
          <w:szCs w:val="20"/>
        </w:rPr>
        <w:t>vytvoření společné skupiny s Radou pro</w:t>
      </w:r>
      <w:r w:rsidRPr="0FB7C3A6" w:rsidR="355D06B5">
        <w:rPr>
          <w:color w:val="000000" w:themeColor="text1"/>
          <w:sz w:val="20"/>
          <w:szCs w:val="20"/>
        </w:rPr>
        <w:t xml:space="preserve"> </w:t>
      </w:r>
      <w:r w:rsidRPr="0FB7C3A6" w:rsidR="5458B520">
        <w:rPr>
          <w:color w:val="000000" w:themeColor="text1"/>
          <w:sz w:val="20"/>
          <w:szCs w:val="20"/>
        </w:rPr>
        <w:t xml:space="preserve">strategické technologie vzniklou </w:t>
      </w:r>
      <w:r w:rsidRPr="0FB7C3A6" w:rsidR="560A941C">
        <w:rPr>
          <w:color w:val="000000" w:themeColor="text1"/>
          <w:sz w:val="20"/>
          <w:szCs w:val="20"/>
        </w:rPr>
        <w:t>i v souvislosti s přijetím zákona 34/2021 Sb. o prověřování zahraničních investic.</w:t>
      </w:r>
    </w:p>
    <w:p w:rsidR="30807DC6" w:rsidP="0FB7C3A6" w:rsidRDefault="560A941C" w14:paraId="5524CAF8" w14:textId="67BDC818">
      <w:pPr>
        <w:spacing w:line="257" w:lineRule="auto"/>
        <w:jc w:val="both"/>
        <w:rPr>
          <w:color w:val="000000" w:themeColor="text1"/>
          <w:sz w:val="20"/>
          <w:szCs w:val="20"/>
        </w:rPr>
      </w:pPr>
      <w:r w:rsidRPr="0FB7C3A6">
        <w:rPr>
          <w:color w:val="000000" w:themeColor="text1"/>
          <w:sz w:val="20"/>
          <w:szCs w:val="20"/>
        </w:rPr>
        <w:t xml:space="preserve">Veškeré investice budou z podstaty kofinancování evropských programů nebo zajištění národních strategických cílů v digitální </w:t>
      </w:r>
      <w:r w:rsidRPr="0FB7C3A6" w:rsidR="6D9B5582">
        <w:rPr>
          <w:color w:val="000000" w:themeColor="text1"/>
          <w:sz w:val="20"/>
          <w:szCs w:val="20"/>
        </w:rPr>
        <w:t>a</w:t>
      </w:r>
      <w:r w:rsidRPr="0FB7C3A6">
        <w:rPr>
          <w:color w:val="000000" w:themeColor="text1"/>
          <w:sz w:val="20"/>
          <w:szCs w:val="20"/>
        </w:rPr>
        <w:t>gendě</w:t>
      </w:r>
      <w:r w:rsidRPr="0FB7C3A6" w:rsidR="1110A8A1">
        <w:rPr>
          <w:color w:val="000000" w:themeColor="text1"/>
          <w:sz w:val="20"/>
          <w:szCs w:val="20"/>
        </w:rPr>
        <w:t xml:space="preserve">, vedeny v souladu se zásadami </w:t>
      </w:r>
      <w:proofErr w:type="spellStart"/>
      <w:r w:rsidRPr="0FB7C3A6" w:rsidR="1110A8A1">
        <w:rPr>
          <w:color w:val="000000" w:themeColor="text1"/>
          <w:sz w:val="20"/>
          <w:szCs w:val="20"/>
        </w:rPr>
        <w:t>multi-vendor</w:t>
      </w:r>
      <w:proofErr w:type="spellEnd"/>
      <w:r w:rsidRPr="0FB7C3A6" w:rsidR="1110A8A1">
        <w:rPr>
          <w:color w:val="000000" w:themeColor="text1"/>
          <w:sz w:val="20"/>
          <w:szCs w:val="20"/>
        </w:rPr>
        <w:t xml:space="preserve"> oslovení a výběru, a to s ohledem na dodržení nejvyšších standardů kvality a zhodnocení bezpečnostních rizik. Relev</w:t>
      </w:r>
      <w:r w:rsidRPr="0FB7C3A6" w:rsidR="7401EBE6">
        <w:rPr>
          <w:color w:val="000000" w:themeColor="text1"/>
          <w:sz w:val="20"/>
          <w:szCs w:val="20"/>
        </w:rPr>
        <w:t xml:space="preserve">antní postupy a doporučení EK budou vzaty v potaz zejména, nikoliv však pouze, u investic do </w:t>
      </w:r>
      <w:r w:rsidRPr="0FB7C3A6" w:rsidR="72A64961">
        <w:rPr>
          <w:color w:val="000000" w:themeColor="text1"/>
          <w:sz w:val="20"/>
          <w:szCs w:val="20"/>
        </w:rPr>
        <w:t>demonstračních</w:t>
      </w:r>
      <w:r w:rsidRPr="0FB7C3A6" w:rsidR="7401EBE6">
        <w:rPr>
          <w:color w:val="000000" w:themeColor="text1"/>
          <w:sz w:val="20"/>
          <w:szCs w:val="20"/>
        </w:rPr>
        <w:t xml:space="preserve"> projektů 5G (1.4.1.6) a vybudování kvantové komunikační infrastruktury</w:t>
      </w:r>
      <w:r w:rsidRPr="0FB7C3A6" w:rsidR="6D6A1FA7">
        <w:rPr>
          <w:color w:val="000000" w:themeColor="text1"/>
          <w:sz w:val="20"/>
          <w:szCs w:val="20"/>
        </w:rPr>
        <w:t xml:space="preserve"> (1.4.3.1)</w:t>
      </w:r>
    </w:p>
    <w:p w:rsidR="0FB7C3A6" w:rsidP="0FB7C3A6" w:rsidRDefault="0FB7C3A6" w14:paraId="2FE1A9E1" w14:textId="13DB1883">
      <w:pPr>
        <w:spacing w:line="257" w:lineRule="auto"/>
        <w:jc w:val="both"/>
        <w:rPr>
          <w:color w:val="000000" w:themeColor="text1"/>
          <w:sz w:val="20"/>
          <w:szCs w:val="20"/>
        </w:rPr>
      </w:pPr>
    </w:p>
    <w:p w:rsidR="00BA47DA" w:rsidP="4AA51CF6" w:rsidRDefault="00BA47DA" w14:paraId="6FE08E03" w14:textId="3BA2F142">
      <w:pPr>
        <w:spacing w:line="240" w:lineRule="auto"/>
        <w:rPr>
          <w:b/>
          <w:bCs/>
          <w:sz w:val="20"/>
          <w:szCs w:val="20"/>
        </w:rPr>
      </w:pPr>
      <w:r w:rsidRPr="0FB7C3A6">
        <w:rPr>
          <w:b/>
          <w:bCs/>
          <w:sz w:val="20"/>
          <w:szCs w:val="20"/>
        </w:rPr>
        <w:t xml:space="preserve">5. Přeshraniční a mezinárodní projekty  </w:t>
      </w:r>
    </w:p>
    <w:p w:rsidR="4AA51CF6" w:rsidP="0FB7C3A6" w:rsidRDefault="027E72A2" w14:paraId="6752E135" w14:textId="77B77DB9">
      <w:pPr>
        <w:spacing w:line="257" w:lineRule="auto"/>
        <w:rPr>
          <w:color w:val="000000" w:themeColor="text1"/>
          <w:sz w:val="20"/>
          <w:szCs w:val="20"/>
        </w:rPr>
      </w:pPr>
      <w:r w:rsidRPr="0FB7C3A6">
        <w:rPr>
          <w:color w:val="000000" w:themeColor="text1"/>
          <w:sz w:val="20"/>
          <w:szCs w:val="20"/>
        </w:rPr>
        <w:t xml:space="preserve">Většina investic v rámci komponenty je z podstaty přeshraniční, neb se jedná o kofinancování projektů z evropských programů (např. Evropské centrum excelence v AI, </w:t>
      </w:r>
      <w:proofErr w:type="spellStart"/>
      <w:r w:rsidRPr="0FB7C3A6">
        <w:rPr>
          <w:color w:val="000000" w:themeColor="text1"/>
          <w:sz w:val="20"/>
          <w:szCs w:val="20"/>
        </w:rPr>
        <w:t>European</w:t>
      </w:r>
      <w:proofErr w:type="spellEnd"/>
      <w:r w:rsidRPr="0FB7C3A6">
        <w:rPr>
          <w:color w:val="000000" w:themeColor="text1"/>
          <w:sz w:val="20"/>
          <w:szCs w:val="20"/>
        </w:rPr>
        <w:t xml:space="preserve"> Digital Media </w:t>
      </w:r>
      <w:proofErr w:type="spellStart"/>
      <w:r w:rsidRPr="0FB7C3A6">
        <w:rPr>
          <w:color w:val="000000" w:themeColor="text1"/>
          <w:sz w:val="20"/>
          <w:szCs w:val="20"/>
        </w:rPr>
        <w:t>Observatory</w:t>
      </w:r>
      <w:proofErr w:type="spellEnd"/>
      <w:r w:rsidRPr="0FB7C3A6">
        <w:rPr>
          <w:color w:val="000000" w:themeColor="text1"/>
          <w:sz w:val="20"/>
          <w:szCs w:val="20"/>
        </w:rPr>
        <w:t xml:space="preserve">, </w:t>
      </w:r>
      <w:proofErr w:type="spellStart"/>
      <w:r w:rsidRPr="0FB7C3A6" w:rsidR="15257256">
        <w:rPr>
          <w:color w:val="000000" w:themeColor="text1"/>
          <w:sz w:val="20"/>
          <w:szCs w:val="20"/>
        </w:rPr>
        <w:t>European</w:t>
      </w:r>
      <w:proofErr w:type="spellEnd"/>
      <w:r w:rsidRPr="0FB7C3A6" w:rsidR="15257256">
        <w:rPr>
          <w:color w:val="000000" w:themeColor="text1"/>
          <w:sz w:val="20"/>
          <w:szCs w:val="20"/>
        </w:rPr>
        <w:t xml:space="preserve"> </w:t>
      </w:r>
      <w:proofErr w:type="spellStart"/>
      <w:r w:rsidRPr="0FB7C3A6" w:rsidR="15257256">
        <w:rPr>
          <w:color w:val="000000" w:themeColor="text1"/>
          <w:sz w:val="20"/>
          <w:szCs w:val="20"/>
        </w:rPr>
        <w:t>Blockchain</w:t>
      </w:r>
      <w:proofErr w:type="spellEnd"/>
      <w:r w:rsidRPr="0FB7C3A6" w:rsidR="15257256">
        <w:rPr>
          <w:color w:val="000000" w:themeColor="text1"/>
          <w:sz w:val="20"/>
          <w:szCs w:val="20"/>
        </w:rPr>
        <w:t xml:space="preserve"> </w:t>
      </w:r>
      <w:proofErr w:type="spellStart"/>
      <w:r w:rsidRPr="0FB7C3A6" w:rsidR="15257256">
        <w:rPr>
          <w:color w:val="000000" w:themeColor="text1"/>
          <w:sz w:val="20"/>
          <w:szCs w:val="20"/>
        </w:rPr>
        <w:t>Services</w:t>
      </w:r>
      <w:proofErr w:type="spellEnd"/>
      <w:r w:rsidRPr="0FB7C3A6" w:rsidR="15257256">
        <w:rPr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FB7C3A6" w:rsidR="15257256">
        <w:rPr>
          <w:color w:val="000000" w:themeColor="text1"/>
          <w:sz w:val="20"/>
          <w:szCs w:val="20"/>
        </w:rPr>
        <w:t>Infrastructure</w:t>
      </w:r>
      <w:proofErr w:type="spellEnd"/>
      <w:r w:rsidRPr="0FB7C3A6" w:rsidR="15257256">
        <w:rPr>
          <w:color w:val="000000" w:themeColor="text1"/>
          <w:sz w:val="20"/>
          <w:szCs w:val="20"/>
        </w:rPr>
        <w:t>,</w:t>
      </w:r>
      <w:proofErr w:type="gramEnd"/>
      <w:r w:rsidRPr="0FB7C3A6" w:rsidR="15257256">
        <w:rPr>
          <w:color w:val="000000" w:themeColor="text1"/>
          <w:sz w:val="20"/>
          <w:szCs w:val="20"/>
        </w:rPr>
        <w:t xml:space="preserve"> </w:t>
      </w:r>
      <w:r w:rsidRPr="0FB7C3A6">
        <w:rPr>
          <w:color w:val="000000" w:themeColor="text1"/>
          <w:sz w:val="20"/>
          <w:szCs w:val="20"/>
        </w:rPr>
        <w:t>atd.)</w:t>
      </w:r>
      <w:r w:rsidRPr="0FB7C3A6" w:rsidR="6502BBA3">
        <w:rPr>
          <w:color w:val="000000" w:themeColor="text1"/>
          <w:sz w:val="20"/>
          <w:szCs w:val="20"/>
        </w:rPr>
        <w:t xml:space="preserve">. Nebo posílení bilaterální a multilaterální spolupráce a přenosu nejlepší zahraniční praxe a know-how. Stejně tak je tomu i v případě reforem (např. Implementace EU </w:t>
      </w:r>
      <w:proofErr w:type="spellStart"/>
      <w:r w:rsidRPr="0FB7C3A6" w:rsidR="6502BBA3">
        <w:rPr>
          <w:color w:val="000000" w:themeColor="text1"/>
          <w:sz w:val="20"/>
          <w:szCs w:val="20"/>
        </w:rPr>
        <w:t>Startup</w:t>
      </w:r>
      <w:proofErr w:type="spellEnd"/>
      <w:r w:rsidRPr="0FB7C3A6" w:rsidR="6502BBA3">
        <w:rPr>
          <w:color w:val="000000" w:themeColor="text1"/>
          <w:sz w:val="20"/>
          <w:szCs w:val="20"/>
        </w:rPr>
        <w:t xml:space="preserve"> </w:t>
      </w:r>
      <w:proofErr w:type="spellStart"/>
      <w:r w:rsidRPr="0FB7C3A6" w:rsidR="6502BBA3">
        <w:rPr>
          <w:color w:val="000000" w:themeColor="text1"/>
          <w:sz w:val="20"/>
          <w:szCs w:val="20"/>
        </w:rPr>
        <w:t>Nation</w:t>
      </w:r>
      <w:proofErr w:type="spellEnd"/>
      <w:r w:rsidRPr="0FB7C3A6" w:rsidR="6502BBA3">
        <w:rPr>
          <w:color w:val="000000" w:themeColor="text1"/>
          <w:sz w:val="20"/>
          <w:szCs w:val="20"/>
        </w:rPr>
        <w:t xml:space="preserve"> Standard</w:t>
      </w:r>
      <w:r w:rsidRPr="0FB7C3A6" w:rsidR="383A6716">
        <w:rPr>
          <w:color w:val="000000" w:themeColor="text1"/>
          <w:sz w:val="20"/>
          <w:szCs w:val="20"/>
        </w:rPr>
        <w:t>). Detaily jsou obsaženy u konkrétních reforem a investic.</w:t>
      </w:r>
    </w:p>
    <w:p w:rsidR="0FB7C3A6" w:rsidP="0FB7C3A6" w:rsidRDefault="0FB7C3A6" w14:paraId="3A040C90" w14:textId="2BFB1E6F">
      <w:pPr>
        <w:spacing w:line="257" w:lineRule="auto"/>
        <w:rPr>
          <w:color w:val="000000" w:themeColor="text1"/>
          <w:sz w:val="20"/>
          <w:szCs w:val="20"/>
        </w:rPr>
      </w:pPr>
    </w:p>
    <w:p w:rsidRPr="00BE74BF" w:rsidR="433EDF11" w:rsidP="4AA51CF6" w:rsidRDefault="433EDF11" w14:paraId="6B41BB41" w14:textId="472257E9">
      <w:pPr>
        <w:spacing w:line="240" w:lineRule="auto"/>
        <w:rPr>
          <w:b/>
          <w:bCs/>
          <w:sz w:val="20"/>
          <w:szCs w:val="20"/>
        </w:rPr>
      </w:pPr>
      <w:r w:rsidRPr="4AA51CF6">
        <w:rPr>
          <w:b/>
          <w:bCs/>
          <w:sz w:val="20"/>
          <w:szCs w:val="20"/>
        </w:rPr>
        <w:t xml:space="preserve">6. </w:t>
      </w:r>
      <w:proofErr w:type="gramStart"/>
      <w:r w:rsidRPr="4AA51CF6">
        <w:rPr>
          <w:b/>
          <w:bCs/>
          <w:sz w:val="20"/>
          <w:szCs w:val="20"/>
        </w:rPr>
        <w:t>Zelený</w:t>
      </w:r>
      <w:proofErr w:type="gramEnd"/>
      <w:r w:rsidRPr="4AA51CF6">
        <w:rPr>
          <w:b/>
          <w:bCs/>
          <w:sz w:val="20"/>
          <w:szCs w:val="20"/>
        </w:rPr>
        <w:t xml:space="preserve"> rozměr </w:t>
      </w:r>
      <w:r w:rsidRPr="4AA51CF6">
        <w:rPr>
          <w:b/>
          <w:bCs/>
          <w:color w:val="000000" w:themeColor="text1"/>
          <w:sz w:val="20"/>
          <w:szCs w:val="20"/>
        </w:rPr>
        <w:t>komponenty</w:t>
      </w:r>
    </w:p>
    <w:p w:rsidRPr="00AB51BB" w:rsidR="007D49E4" w:rsidP="4AA51CF6" w:rsidRDefault="00603083" w14:paraId="000001E6" w14:textId="19BFABB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sz w:val="20"/>
          <w:szCs w:val="20"/>
        </w:rPr>
      </w:pPr>
      <w:r w:rsidRPr="4AA51CF6">
        <w:rPr>
          <w:sz w:val="20"/>
          <w:szCs w:val="20"/>
        </w:rPr>
        <w:t>Inovace v technologii jsou klíčem k řešení globálních výzev změny klimatu, pomáhají podnikům a společnosti obecně bojovat a připravovat se na jejich dopady a přechodu k nízkouhlíkové budoucnosti. Pro mnoho společností je boj proti změně klimatu společenským i ekonomickým imperativem: snaží se budovat schopnosti, které potřebují pro udržitelnější výrobu zboží a služeb, podporovat jejich nízkouhlíkovou transformaci, ale také spravovat finanční problémy spojené s klimatem. rizika na ochranu životaschopnosti jejich podnikání. Plánujeme pomocí technologie a inovací podpořit nová řešení pro řešení obtížných environmentálních výzev. Řešení založená na datech a výpočetní výkon jsou klíčem k podpoře přechodu k udržitelnějším ekonomikám.</w:t>
      </w:r>
    </w:p>
    <w:p w:rsidR="4AA51CF6" w:rsidP="4AA51CF6" w:rsidRDefault="4AA51CF6" w14:paraId="1149E066" w14:textId="2AB09883">
      <w:pPr>
        <w:spacing w:before="80" w:after="0" w:line="240" w:lineRule="auto"/>
        <w:rPr>
          <w:b/>
          <w:bCs/>
          <w:sz w:val="20"/>
          <w:szCs w:val="20"/>
        </w:rPr>
      </w:pPr>
    </w:p>
    <w:p w:rsidRPr="00AB51BB" w:rsidR="007D49E4" w:rsidP="4AA51CF6" w:rsidRDefault="5030D852" w14:paraId="3074A96E" w14:textId="4B83BB17">
      <w:p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rPr>
          <w:b/>
          <w:bCs/>
          <w:sz w:val="20"/>
          <w:szCs w:val="20"/>
        </w:rPr>
      </w:pPr>
      <w:r w:rsidRPr="4AA51CF6">
        <w:rPr>
          <w:b/>
          <w:bCs/>
          <w:sz w:val="20"/>
          <w:szCs w:val="20"/>
        </w:rPr>
        <w:t xml:space="preserve">7. Digitální rozměr komponenty </w:t>
      </w:r>
    </w:p>
    <w:p w:rsidRPr="00AB51BB" w:rsidR="007D49E4" w:rsidP="4AA51CF6" w:rsidRDefault="5030D852" w14:paraId="3A02865E" w14:textId="67AAAD1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sz w:val="20"/>
          <w:szCs w:val="20"/>
        </w:rPr>
      </w:pPr>
      <w:r w:rsidRPr="4AA51CF6">
        <w:rPr>
          <w:sz w:val="20"/>
          <w:szCs w:val="20"/>
        </w:rPr>
        <w:t>Komponenta naplňuje Digitální agendu. Její obsah je zcela v souladu s Programem Digitální Česko – koncepcí Digitální ekonomika a společnost jako základních strategických dokumentů národního digitálního plánu.</w:t>
      </w:r>
    </w:p>
    <w:p w:rsidRPr="00AB51BB" w:rsidR="007D49E4" w:rsidP="4AA51CF6" w:rsidRDefault="5030D852" w14:paraId="694BCF82" w14:textId="4E24F61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sz w:val="20"/>
          <w:szCs w:val="20"/>
        </w:rPr>
      </w:pPr>
      <w:r w:rsidRPr="4AA51CF6">
        <w:rPr>
          <w:sz w:val="20"/>
          <w:szCs w:val="20"/>
        </w:rPr>
        <w:t>Komponenta dále naplňuje veškeré cíle Národní strategie umělé inteligence ČR, jejímž hlavním cílem je vybudování AI ekosystému, který je součástí digitálního ekosystému. Inovační strategie 2019-2030 je také zásadním dokumentem, který zavádí potřebu vytvořit digitální ekosystém včetně všech důležitých aktérů, jako jsou Evropská centra pro digitální inovace, Centra excelence v AI či Testovacích a experimentálních zařízení. Je zcela evidentní, že propojení Národního plánu obnovy v oblasti digitalizace je v souladu se všemi významnými a klíčovými dokumenty České republiky.</w:t>
      </w:r>
    </w:p>
    <w:p w:rsidR="4AA51CF6" w:rsidP="4AA51CF6" w:rsidRDefault="4AA51CF6" w14:paraId="2171E9DF" w14:textId="20DAAD64">
      <w:pPr>
        <w:spacing w:after="120" w:line="240" w:lineRule="auto"/>
        <w:jc w:val="both"/>
        <w:rPr>
          <w:sz w:val="20"/>
          <w:szCs w:val="20"/>
        </w:rPr>
      </w:pPr>
    </w:p>
    <w:p w:rsidR="1369D8E4" w:rsidP="4AA51CF6" w:rsidRDefault="1369D8E4" w14:paraId="24008FEA" w14:textId="21F703E9">
      <w:pPr>
        <w:spacing w:line="240" w:lineRule="auto"/>
        <w:jc w:val="both"/>
      </w:pPr>
      <w:r w:rsidRPr="4AA51CF6">
        <w:rPr>
          <w:b/>
          <w:bCs/>
          <w:sz w:val="20"/>
          <w:szCs w:val="20"/>
        </w:rPr>
        <w:t>8. Uplatnění zásady „významně nepoškozovat“</w:t>
      </w:r>
      <w:r w:rsidRPr="4AA51CF6">
        <w:rPr>
          <w:b/>
          <w:bCs/>
          <w:color w:val="000000" w:themeColor="text1"/>
          <w:sz w:val="20"/>
          <w:szCs w:val="20"/>
        </w:rPr>
        <w:t xml:space="preserve"> </w:t>
      </w:r>
    </w:p>
    <w:p w:rsidR="1369D8E4" w:rsidP="4AA51CF6" w:rsidRDefault="1369D8E4" w14:paraId="2ADD6932" w14:textId="5A56D38B">
      <w:pPr>
        <w:spacing w:line="240" w:lineRule="auto"/>
        <w:jc w:val="both"/>
        <w:rPr>
          <w:sz w:val="20"/>
          <w:szCs w:val="20"/>
        </w:rPr>
      </w:pPr>
      <w:r w:rsidRPr="4AA51CF6">
        <w:rPr>
          <w:sz w:val="20"/>
          <w:szCs w:val="20"/>
        </w:rPr>
        <w:t xml:space="preserve">Princip DNSH je popsán v příloze. </w:t>
      </w:r>
    </w:p>
    <w:p w:rsidR="4AA51CF6" w:rsidP="4AA51CF6" w:rsidRDefault="4AA51CF6" w14:paraId="583B5493" w14:textId="42A8CBDE"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1369D8E4" w:rsidP="4AA51CF6" w:rsidRDefault="1369D8E4" w14:paraId="5DF797FD" w14:textId="2E8073B3">
      <w:pPr>
        <w:spacing w:line="240" w:lineRule="auto"/>
        <w:jc w:val="both"/>
        <w:rPr>
          <w:b/>
          <w:bCs/>
          <w:sz w:val="20"/>
          <w:szCs w:val="20"/>
        </w:rPr>
      </w:pPr>
      <w:r w:rsidRPr="4AA51CF6">
        <w:rPr>
          <w:b/>
          <w:bCs/>
          <w:sz w:val="20"/>
          <w:szCs w:val="20"/>
        </w:rPr>
        <w:t xml:space="preserve">9. Milníky, cíle a harmonogram  </w:t>
      </w:r>
    </w:p>
    <w:p w:rsidR="1369D8E4" w:rsidP="4AA51CF6" w:rsidRDefault="1369D8E4" w14:paraId="5C420B76" w14:textId="63EF7825">
      <w:pPr>
        <w:spacing w:line="240" w:lineRule="auto"/>
        <w:jc w:val="both"/>
        <w:rPr>
          <w:sz w:val="20"/>
          <w:szCs w:val="20"/>
        </w:rPr>
      </w:pPr>
      <w:r w:rsidRPr="4AA51CF6">
        <w:rPr>
          <w:sz w:val="20"/>
          <w:szCs w:val="20"/>
        </w:rPr>
        <w:t xml:space="preserve">Milníky, cíle a časová osa jsou popsány v tabulce v příloze. </w:t>
      </w:r>
    </w:p>
    <w:p w:rsidR="1369D8E4" w:rsidP="4AA51CF6" w:rsidRDefault="1369D8E4" w14:paraId="75733F64" w14:textId="4DC438B3">
      <w:pPr>
        <w:spacing w:line="240" w:lineRule="auto"/>
        <w:jc w:val="both"/>
      </w:pPr>
      <w:r w:rsidRPr="4AA51CF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1369D8E4" w:rsidP="4AA51CF6" w:rsidRDefault="1369D8E4" w14:paraId="31E17F61" w14:textId="114C556C">
      <w:pPr>
        <w:spacing w:line="240" w:lineRule="auto"/>
        <w:jc w:val="both"/>
        <w:rPr>
          <w:b/>
          <w:bCs/>
          <w:sz w:val="20"/>
          <w:szCs w:val="20"/>
        </w:rPr>
      </w:pPr>
      <w:r w:rsidRPr="4AA51CF6">
        <w:rPr>
          <w:b/>
          <w:bCs/>
          <w:sz w:val="20"/>
          <w:szCs w:val="20"/>
        </w:rPr>
        <w:t>10. Financování a </w:t>
      </w:r>
      <w:proofErr w:type="spellStart"/>
      <w:r w:rsidRPr="4AA51CF6">
        <w:rPr>
          <w:b/>
          <w:bCs/>
          <w:sz w:val="20"/>
          <w:szCs w:val="20"/>
        </w:rPr>
        <w:t>costing</w:t>
      </w:r>
      <w:proofErr w:type="spellEnd"/>
      <w:r w:rsidRPr="4AA51CF6">
        <w:rPr>
          <w:b/>
          <w:bCs/>
          <w:sz w:val="20"/>
          <w:szCs w:val="20"/>
        </w:rPr>
        <w:t xml:space="preserve">  </w:t>
      </w:r>
    </w:p>
    <w:p w:rsidRPr="0060344B" w:rsidR="000A579A" w:rsidP="000A579A" w:rsidRDefault="000A579A" w14:paraId="1C3F8C90" w14:textId="77777777">
      <w:pPr>
        <w:rPr>
          <w:rFonts w:eastAsiaTheme="minorEastAsia"/>
          <w:szCs w:val="20"/>
        </w:rPr>
      </w:pPr>
      <w:bookmarkStart w:name="_Hlk73448929" w:id="2"/>
      <w:r w:rsidRPr="7A858C9C">
        <w:rPr>
          <w:rFonts w:eastAsiaTheme="minorEastAsia"/>
          <w:szCs w:val="20"/>
          <w:shd w:val="clear" w:color="auto" w:fill="FFFFFF"/>
        </w:rPr>
        <w:t>Financování a náklady jsou popsány v tabulce v</w:t>
      </w:r>
      <w:r>
        <w:rPr>
          <w:rFonts w:eastAsiaTheme="minorEastAsia"/>
          <w:szCs w:val="20"/>
          <w:shd w:val="clear" w:color="auto" w:fill="FFFFFF"/>
        </w:rPr>
        <w:t> </w:t>
      </w:r>
      <w:r w:rsidRPr="7A858C9C">
        <w:rPr>
          <w:rFonts w:eastAsiaTheme="minorEastAsia"/>
          <w:szCs w:val="20"/>
          <w:shd w:val="clear" w:color="auto" w:fill="FFFFFF"/>
        </w:rPr>
        <w:t>příloze</w:t>
      </w:r>
      <w:r>
        <w:rPr>
          <w:rFonts w:eastAsiaTheme="minorEastAsia"/>
          <w:szCs w:val="20"/>
          <w:shd w:val="clear" w:color="auto" w:fill="FFFFFF"/>
        </w:rPr>
        <w:t xml:space="preserve"> a v přiložených souborech prokazujících věrohodnost stanovených nákladů</w:t>
      </w:r>
      <w:r w:rsidRPr="7A858C9C">
        <w:rPr>
          <w:rFonts w:eastAsiaTheme="minorEastAsia"/>
          <w:szCs w:val="20"/>
          <w:shd w:val="clear" w:color="auto" w:fill="FFFFFF"/>
        </w:rPr>
        <w:t>.</w:t>
      </w:r>
      <w:bookmarkStart w:name="_nj1ks6p3kwye" w:id="3"/>
      <w:bookmarkStart w:name="_30j0zll" w:id="4"/>
      <w:bookmarkStart w:name="_1fob9te" w:colFirst="0" w:colLast="0" w:id="5"/>
      <w:bookmarkStart w:name="_Toc68035740" w:id="6"/>
      <w:bookmarkStart w:name="_Toc68035916" w:id="7"/>
      <w:bookmarkStart w:name="_Toc68035741" w:id="8"/>
      <w:bookmarkStart w:name="_Toc68035917" w:id="9"/>
      <w:bookmarkStart w:name="_Toc68035746" w:id="10"/>
      <w:bookmarkStart w:name="_Toc68035922" w:id="11"/>
      <w:bookmarkStart w:name="_Toc68035762" w:id="12"/>
      <w:bookmarkStart w:name="_Toc68035938" w:id="13"/>
      <w:bookmarkStart w:name="_Toc68035763" w:id="14"/>
      <w:bookmarkStart w:name="_Toc68035939" w:id="15"/>
      <w:bookmarkStart w:name="_Toc68035764" w:id="16"/>
      <w:bookmarkStart w:name="_Toc68035940" w:id="17"/>
      <w:bookmarkStart w:name="_Toc68035765" w:id="18"/>
      <w:bookmarkStart w:name="_Toc68035941" w:id="19"/>
      <w:bookmarkStart w:name="_Toc68035766" w:id="20"/>
      <w:bookmarkStart w:name="_Toc68035942" w:id="21"/>
      <w:bookmarkStart w:name="_Toc68035767" w:id="22"/>
      <w:bookmarkStart w:name="_Toc68035943" w:id="23"/>
      <w:bookmarkStart w:name="_Toc68035768" w:id="24"/>
      <w:bookmarkStart w:name="_Toc68035944" w:id="25"/>
      <w:bookmarkStart w:name="_Toc68035769" w:id="26"/>
      <w:bookmarkStart w:name="_Toc68035945" w:id="27"/>
      <w:bookmarkStart w:name="_Toc68035770" w:id="28"/>
      <w:bookmarkStart w:name="_Toc68035946" w:id="29"/>
      <w:bookmarkStart w:name="_Toc68035771" w:id="30"/>
      <w:bookmarkStart w:name="_Toc68035947" w:id="31"/>
      <w:bookmarkStart w:name="_Toc68035773" w:id="32"/>
      <w:bookmarkStart w:name="_Toc68035949" w:id="33"/>
      <w:bookmarkStart w:name="_Toc68035774" w:id="34"/>
      <w:bookmarkStart w:name="_Toc68035950" w:id="35"/>
      <w:bookmarkStart w:name="_Toc68035778" w:id="36"/>
      <w:bookmarkStart w:name="_Toc68035954" w:id="37"/>
      <w:bookmarkStart w:name="_Toc68035779" w:id="38"/>
      <w:bookmarkStart w:name="_Toc68035955" w:id="39"/>
      <w:bookmarkStart w:name="_Toc68035780" w:id="40"/>
      <w:bookmarkStart w:name="_Toc68035956" w:id="41"/>
      <w:bookmarkStart w:name="_Toc68035781" w:id="42"/>
      <w:bookmarkStart w:name="_Toc68035957" w:id="43"/>
      <w:bookmarkStart w:name="_Toc68035782" w:id="44"/>
      <w:bookmarkStart w:name="_Toc68035958" w:id="45"/>
      <w:bookmarkStart w:name="_Toc68035783" w:id="46"/>
      <w:bookmarkStart w:name="_Toc68035959" w:id="47"/>
      <w:bookmarkStart w:name="_Toc68035784" w:id="48"/>
      <w:bookmarkStart w:name="_Toc68035960" w:id="49"/>
      <w:bookmarkStart w:name="_Toc68035785" w:id="50"/>
      <w:bookmarkStart w:name="_Toc68035961" w:id="51"/>
      <w:bookmarkStart w:name="_Toc68035786" w:id="52"/>
      <w:bookmarkStart w:name="_Toc68035962" w:id="53"/>
      <w:bookmarkStart w:name="_Toc68035787" w:id="54"/>
      <w:bookmarkStart w:name="_Toc68035963" w:id="55"/>
      <w:bookmarkStart w:name="_Toc68035788" w:id="56"/>
      <w:bookmarkStart w:name="_Toc68035964" w:id="57"/>
      <w:bookmarkStart w:name="_Toc68035789" w:id="58"/>
      <w:bookmarkStart w:name="_Toc68035965" w:id="59"/>
      <w:bookmarkStart w:name="_Toc68035790" w:id="60"/>
      <w:bookmarkStart w:name="_Toc68035966" w:id="61"/>
      <w:bookmarkStart w:name="_Toc68035791" w:id="62"/>
      <w:bookmarkStart w:name="_Toc68035967" w:id="63"/>
      <w:bookmarkStart w:name="_Toc68035792" w:id="64"/>
      <w:bookmarkStart w:name="_Toc68035968" w:id="65"/>
      <w:bookmarkStart w:name="_Toc68035793" w:id="66"/>
      <w:bookmarkStart w:name="_Toc68035969" w:id="67"/>
      <w:bookmarkStart w:name="_Toc68035794" w:id="68"/>
      <w:bookmarkStart w:name="_Toc68035970" w:id="69"/>
      <w:bookmarkStart w:name="_Toc68035795" w:id="70"/>
      <w:bookmarkStart w:name="_Toc68035971" w:id="71"/>
      <w:bookmarkStart w:name="_Toc68035796" w:id="72"/>
      <w:bookmarkStart w:name="_Toc68035972" w:id="73"/>
      <w:bookmarkStart w:name="_Toc68035797" w:id="74"/>
      <w:bookmarkStart w:name="_Toc68035973" w:id="75"/>
      <w:bookmarkStart w:name="_Toc68035798" w:id="76"/>
      <w:bookmarkStart w:name="_Toc68035974" w:id="77"/>
      <w:bookmarkStart w:name="_Toc68035799" w:id="78"/>
      <w:bookmarkStart w:name="_Toc68035975" w:id="79"/>
      <w:bookmarkStart w:name="_Toc68035800" w:id="80"/>
      <w:bookmarkStart w:name="_Toc68035976" w:id="81"/>
      <w:bookmarkStart w:name="_Toc68035801" w:id="82"/>
      <w:bookmarkStart w:name="_Toc68035977" w:id="83"/>
      <w:bookmarkStart w:name="_Toc68035802" w:id="84"/>
      <w:bookmarkStart w:name="_Toc68035978" w:id="85"/>
      <w:bookmarkStart w:name="_Toc68035803" w:id="86"/>
      <w:bookmarkStart w:name="_Toc68035979" w:id="87"/>
      <w:bookmarkStart w:name="_Toc68035804" w:id="88"/>
      <w:bookmarkStart w:name="_Toc68035980" w:id="89"/>
      <w:bookmarkStart w:name="_Toc68035805" w:id="90"/>
      <w:bookmarkStart w:name="_Toc68035981" w:id="91"/>
      <w:bookmarkStart w:name="_Toc68035806" w:id="92"/>
      <w:bookmarkStart w:name="_Toc68035982" w:id="93"/>
      <w:bookmarkStart w:name="_Toc68035807" w:id="94"/>
      <w:bookmarkStart w:name="_Toc68035983" w:id="95"/>
      <w:bookmarkStart w:name="_Toc68035808" w:id="96"/>
      <w:bookmarkStart w:name="_Toc68035984" w:id="97"/>
      <w:bookmarkStart w:name="_Toc68035809" w:id="98"/>
      <w:bookmarkStart w:name="_Toc68035985" w:id="99"/>
      <w:bookmarkStart w:name="_Toc68035810" w:id="100"/>
      <w:bookmarkStart w:name="_Toc68035986" w:id="101"/>
      <w:bookmarkStart w:name="_Toc68035811" w:id="102"/>
      <w:bookmarkStart w:name="_Toc68035987" w:id="103"/>
      <w:bookmarkStart w:name="_Toc68035812" w:id="104"/>
      <w:bookmarkStart w:name="_Toc68035988" w:id="105"/>
      <w:bookmarkStart w:name="_Toc68035813" w:id="106"/>
      <w:bookmarkStart w:name="_Toc68035989" w:id="107"/>
      <w:bookmarkStart w:name="_Toc68035814" w:id="108"/>
      <w:bookmarkStart w:name="_Toc68035990" w:id="109"/>
      <w:bookmarkStart w:name="_Toc68035815" w:id="110"/>
      <w:bookmarkStart w:name="_Toc68035991" w:id="111"/>
      <w:bookmarkStart w:name="_Toc68035816" w:id="112"/>
      <w:bookmarkStart w:name="_Toc68035992" w:id="113"/>
      <w:bookmarkStart w:name="_Toc68035817" w:id="114"/>
      <w:bookmarkStart w:name="_Toc68035993" w:id="115"/>
      <w:bookmarkStart w:name="_Toc68035818" w:id="116"/>
      <w:bookmarkStart w:name="_Toc68035994" w:id="117"/>
      <w:bookmarkStart w:name="_Toc68035819" w:id="118"/>
      <w:bookmarkStart w:name="_Toc68035995" w:id="119"/>
      <w:bookmarkStart w:name="_Toc66646721" w:id="120"/>
      <w:bookmarkStart w:name="_Toc66647251" w:id="121"/>
      <w:bookmarkStart w:name="_Toc66647613" w:id="122"/>
      <w:bookmarkStart w:name="_Toc66647739" w:id="123"/>
      <w:bookmarkStart w:name="_Toc66647788" w:id="124"/>
      <w:bookmarkStart w:name="_Toc66860970" w:id="125"/>
      <w:bookmarkStart w:name="_Toc66862914" w:id="126"/>
      <w:bookmarkStart w:name="_Toc66900245" w:id="127"/>
      <w:bookmarkStart w:name="_Toc66901827" w:id="128"/>
      <w:bookmarkStart w:name="_Toc67437533" w:id="129"/>
      <w:bookmarkStart w:name="_Toc67437571" w:id="130"/>
      <w:bookmarkStart w:name="_Toc67457119" w:id="131"/>
      <w:bookmarkStart w:name="_Toc67464643" w:id="132"/>
      <w:bookmarkStart w:name="_Toc67474540" w:id="133"/>
      <w:bookmarkStart w:name="_Toc68035820" w:id="134"/>
      <w:bookmarkStart w:name="_Toc68035996" w:id="135"/>
      <w:bookmarkStart w:name="_Toc66647740" w:id="136"/>
      <w:bookmarkStart w:name="_Toc66647789" w:id="137"/>
      <w:bookmarkStart w:name="_Toc66860971" w:id="138"/>
      <w:bookmarkStart w:name="_Toc66862915" w:id="139"/>
      <w:bookmarkStart w:name="_Toc66900246" w:id="140"/>
      <w:bookmarkStart w:name="_Toc66901828" w:id="141"/>
      <w:bookmarkStart w:name="_Toc67437534" w:id="142"/>
      <w:bookmarkStart w:name="_Toc67437572" w:id="143"/>
      <w:bookmarkStart w:name="_Toc67457120" w:id="144"/>
      <w:bookmarkStart w:name="_Toc67464644" w:id="145"/>
      <w:bookmarkStart w:name="_Toc67474541" w:id="146"/>
      <w:bookmarkStart w:name="_Toc68035821" w:id="147"/>
      <w:bookmarkStart w:name="_Toc68035997" w:id="148"/>
      <w:bookmarkStart w:name="_Toc68035822" w:id="149"/>
      <w:bookmarkStart w:name="_Toc68035998" w:id="150"/>
      <w:bookmarkStart w:name="_Toc68035823" w:id="151"/>
      <w:bookmarkStart w:name="_Toc68035999" w:id="152"/>
      <w:bookmarkStart w:name="_Toc68035824" w:id="153"/>
      <w:bookmarkStart w:name="_Toc68036000" w:id="154"/>
      <w:bookmarkStart w:name="_Toc68035825" w:id="155"/>
      <w:bookmarkStart w:name="_Toc68036001" w:id="156"/>
      <w:bookmarkStart w:name="_Toc68035826" w:id="157"/>
      <w:bookmarkStart w:name="_Toc68036002" w:id="158"/>
      <w:bookmarkStart w:name="_Toc68035827" w:id="159"/>
      <w:bookmarkStart w:name="_Toc68036003" w:id="160"/>
      <w:bookmarkStart w:name="_Toc68035828" w:id="161"/>
      <w:bookmarkStart w:name="_Toc68036004" w:id="162"/>
      <w:bookmarkStart w:name="_Toc68035829" w:id="163"/>
      <w:bookmarkStart w:name="_Toc68036005" w:id="164"/>
      <w:bookmarkStart w:name="_Toc68035830" w:id="165"/>
      <w:bookmarkStart w:name="_Toc68036006" w:id="166"/>
      <w:bookmarkStart w:name="_Toc68035831" w:id="167"/>
      <w:bookmarkStart w:name="_Toc68036007" w:id="168"/>
      <w:bookmarkStart w:name="_Toc68035832" w:id="169"/>
      <w:bookmarkStart w:name="_Toc68036008" w:id="170"/>
      <w:bookmarkStart w:name="_Toc68035833" w:id="171"/>
      <w:bookmarkStart w:name="_Toc68036009" w:id="172"/>
      <w:bookmarkStart w:name="_Toc68035834" w:id="173"/>
      <w:bookmarkStart w:name="_Toc68036010" w:id="174"/>
      <w:bookmarkStart w:name="_Toc68035835" w:id="175"/>
      <w:bookmarkStart w:name="_Toc68036011" w:id="176"/>
      <w:bookmarkStart w:name="_Toc68035836" w:id="177"/>
      <w:bookmarkStart w:name="_Toc68036012" w:id="178"/>
      <w:bookmarkStart w:name="_Toc68035837" w:id="179"/>
      <w:bookmarkStart w:name="_Toc68036013" w:id="180"/>
      <w:bookmarkStart w:name="_Toc68035838" w:id="181"/>
      <w:bookmarkStart w:name="_Toc68036014" w:id="182"/>
      <w:bookmarkStart w:name="_Toc68035839" w:id="183"/>
      <w:bookmarkStart w:name="_Toc68036015" w:id="184"/>
      <w:bookmarkStart w:name="_Toc68035841" w:id="185"/>
      <w:bookmarkStart w:name="_Toc68036017" w:id="186"/>
      <w:bookmarkStart w:name="_Toc68035842" w:id="187"/>
      <w:bookmarkStart w:name="_Toc68036018" w:id="188"/>
      <w:bookmarkStart w:name="_Toc68035843" w:id="189"/>
      <w:bookmarkStart w:name="_Toc68036019" w:id="190"/>
      <w:bookmarkStart w:name="_Toc66647256" w:id="191"/>
      <w:bookmarkStart w:name="_Toc66647618" w:id="192"/>
      <w:bookmarkStart w:name="_Toc66647745" w:id="193"/>
      <w:bookmarkStart w:name="_Toc66647794" w:id="194"/>
      <w:bookmarkStart w:name="_Toc66860976" w:id="195"/>
      <w:bookmarkStart w:name="_Toc66862920" w:id="196"/>
      <w:bookmarkStart w:name="_Toc66900251" w:id="197"/>
      <w:bookmarkStart w:name="_Toc66901833" w:id="198"/>
      <w:bookmarkStart w:name="_Toc67437539" w:id="199"/>
      <w:bookmarkStart w:name="_Toc67437577" w:id="200"/>
      <w:bookmarkStart w:name="_Toc67457125" w:id="201"/>
      <w:bookmarkStart w:name="_Toc67464646" w:id="202"/>
      <w:bookmarkStart w:name="_Toc68035844" w:id="203"/>
      <w:bookmarkStart w:name="_Toc68036020" w:id="204"/>
      <w:bookmarkStart w:name="_Toc66647257" w:id="205"/>
      <w:bookmarkStart w:name="_Toc66647619" w:id="206"/>
      <w:bookmarkStart w:name="_Toc66647746" w:id="207"/>
      <w:bookmarkStart w:name="_Toc66647795" w:id="208"/>
      <w:bookmarkStart w:name="_Toc66860977" w:id="209"/>
      <w:bookmarkStart w:name="_Toc66862921" w:id="210"/>
      <w:bookmarkStart w:name="_Toc66900252" w:id="211"/>
      <w:bookmarkStart w:name="_Toc66901834" w:id="212"/>
      <w:bookmarkStart w:name="_Toc67437540" w:id="213"/>
      <w:bookmarkStart w:name="_Toc67437578" w:id="214"/>
      <w:bookmarkStart w:name="_Toc67457126" w:id="215"/>
      <w:bookmarkStart w:name="_Toc67464647" w:id="216"/>
      <w:bookmarkStart w:name="_Toc68035845" w:id="217"/>
      <w:bookmarkStart w:name="_Toc68036021" w:id="218"/>
      <w:bookmarkStart w:name="_Toc68035846" w:id="219"/>
      <w:bookmarkStart w:name="_Toc68036022" w:id="220"/>
      <w:bookmarkStart w:name="_Toc68035847" w:id="221"/>
      <w:bookmarkStart w:name="_Toc68036023" w:id="222"/>
      <w:bookmarkStart w:name="_Toc68035848" w:id="223"/>
      <w:bookmarkStart w:name="_Toc68036024" w:id="224"/>
      <w:bookmarkStart w:name="_Toc68035849" w:id="225"/>
      <w:bookmarkStart w:name="_Toc68036025" w:id="226"/>
      <w:bookmarkStart w:name="_Toc68035850" w:id="227"/>
      <w:bookmarkStart w:name="_Toc68036026" w:id="228"/>
      <w:bookmarkStart w:name="_Toc68035851" w:id="229"/>
      <w:bookmarkStart w:name="_Toc68036027" w:id="230"/>
      <w:bookmarkStart w:name="_Toc68035852" w:id="231"/>
      <w:bookmarkStart w:name="_Toc68036028" w:id="232"/>
      <w:bookmarkStart w:name="_Toc68035853" w:id="233"/>
      <w:bookmarkStart w:name="_Toc68036029" w:id="234"/>
      <w:bookmarkStart w:name="_Toc68035854" w:id="235"/>
      <w:bookmarkStart w:name="_Toc68036030" w:id="236"/>
      <w:bookmarkStart w:name="_Toc68035855" w:id="237"/>
      <w:bookmarkStart w:name="_Toc68036031" w:id="238"/>
      <w:bookmarkStart w:name="_Toc68035856" w:id="239"/>
      <w:bookmarkStart w:name="_Toc68036032" w:id="240"/>
      <w:bookmarkStart w:name="_Toc68035857" w:id="241"/>
      <w:bookmarkStart w:name="_Toc68036033" w:id="242"/>
      <w:bookmarkStart w:name="_Toc68035858" w:id="243"/>
      <w:bookmarkStart w:name="_Toc68036034" w:id="244"/>
      <w:bookmarkStart w:name="_Toc68035859" w:id="245"/>
      <w:bookmarkStart w:name="_Toc68036035" w:id="246"/>
      <w:bookmarkStart w:name="_Toc68035860" w:id="247"/>
      <w:bookmarkStart w:name="_Toc68036036" w:id="248"/>
      <w:bookmarkStart w:name="_Toc68035861" w:id="249"/>
      <w:bookmarkStart w:name="_Toc68036037" w:id="250"/>
      <w:bookmarkStart w:name="_Toc68035862" w:id="251"/>
      <w:bookmarkStart w:name="_Toc68036038" w:id="25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</w:p>
    <w:bookmarkEnd w:id="2"/>
    <w:p w:rsidR="4AA51CF6" w:rsidP="4AA51CF6" w:rsidRDefault="4AA51CF6" w14:paraId="4B354A56" w14:textId="1D21983F">
      <w:pPr>
        <w:spacing w:after="120" w:line="240" w:lineRule="auto"/>
        <w:jc w:val="both"/>
        <w:rPr>
          <w:sz w:val="20"/>
          <w:szCs w:val="20"/>
        </w:rPr>
      </w:pPr>
    </w:p>
    <w:p w:rsidRPr="00AB51BB" w:rsidR="007D49E4" w:rsidP="4AA51CF6" w:rsidRDefault="007D49E4" w14:paraId="00000217" w14:textId="78DA472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sz w:val="20"/>
          <w:szCs w:val="20"/>
        </w:rPr>
      </w:pPr>
    </w:p>
    <w:sectPr w:rsidRPr="00AB51BB" w:rsidR="007D49E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orient="portrait"/>
      <w:pgMar w:top="1440" w:right="1080" w:bottom="1440" w:left="108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851" w:rsidRDefault="00F82851" w14:paraId="40A87CE3" w14:textId="77777777">
      <w:pPr>
        <w:spacing w:after="0" w:line="240" w:lineRule="auto"/>
      </w:pPr>
      <w:r>
        <w:separator/>
      </w:r>
    </w:p>
  </w:endnote>
  <w:endnote w:type="continuationSeparator" w:id="0">
    <w:p w:rsidR="00F82851" w:rsidRDefault="00F82851" w14:paraId="1AE2EFC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851" w:rsidRDefault="00F82851" w14:paraId="0000021D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851" w:rsidP="229268F3" w:rsidRDefault="00F82851" w14:paraId="7AF701BD" w14:textId="437E7724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19</w:t>
    </w:r>
    <w:r>
      <w:fldChar w:fldCharType="end"/>
    </w:r>
  </w:p>
  <w:p w:rsidR="00F82851" w:rsidRDefault="00F82851" w14:paraId="0000021C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851" w:rsidRDefault="00F82851" w14:paraId="0000021E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851" w:rsidRDefault="00F82851" w14:paraId="6479A317" w14:textId="77777777">
      <w:pPr>
        <w:spacing w:after="0" w:line="240" w:lineRule="auto"/>
      </w:pPr>
      <w:r>
        <w:separator/>
      </w:r>
    </w:p>
  </w:footnote>
  <w:footnote w:type="continuationSeparator" w:id="0">
    <w:p w:rsidR="00F82851" w:rsidRDefault="00F82851" w14:paraId="2DA092FA" w14:textId="77777777">
      <w:pPr>
        <w:spacing w:after="0" w:line="240" w:lineRule="auto"/>
      </w:pPr>
      <w:r>
        <w:continuationSeparator/>
      </w:r>
    </w:p>
  </w:footnote>
  <w:footnote w:id="1">
    <w:p w:rsidR="00F82851" w:rsidP="4AA51CF6" w:rsidRDefault="00F82851" w14:paraId="0B8813EA" w14:textId="46C644EE">
      <w:pPr>
        <w:spacing w:after="0" w:line="240" w:lineRule="auto"/>
        <w:rPr>
          <w:sz w:val="16"/>
          <w:szCs w:val="16"/>
        </w:rPr>
      </w:pPr>
      <w:r w:rsidRPr="4AA51CF6">
        <w:rPr>
          <w:sz w:val="16"/>
          <w:szCs w:val="16"/>
          <w:vertAlign w:val="superscript"/>
        </w:rPr>
        <w:footnoteRef/>
      </w:r>
      <w:r w:rsidRPr="4AA51CF6">
        <w:rPr>
          <w:sz w:val="16"/>
          <w:szCs w:val="16"/>
        </w:rPr>
        <w:t xml:space="preserve"> OECD předpokládá, že český HDP poklesne v roce 2020 o 6,8 %, poté v roce 2021 růst jen o 1,5 % a v roce 2022 o 3,3 %, HDP však v příštích dvou letech zůstane pod úrovní před krizí.</w:t>
      </w:r>
    </w:p>
  </w:footnote>
  <w:footnote w:id="2">
    <w:p w:rsidRPr="00BA6439" w:rsidR="00F82851" w:rsidP="0097007C" w:rsidRDefault="00F82851" w14:paraId="5CFBDF83" w14:textId="1D6524E0">
      <w:pPr>
        <w:pStyle w:val="Textpoznpodarou"/>
        <w:rPr>
          <w:sz w:val="16"/>
          <w:szCs w:val="16"/>
        </w:rPr>
      </w:pPr>
      <w:r w:rsidRPr="00BA6439">
        <w:rPr>
          <w:rStyle w:val="Znakapoznpodarou"/>
          <w:sz w:val="16"/>
          <w:szCs w:val="16"/>
        </w:rPr>
        <w:footnoteRef/>
      </w:r>
      <w:r w:rsidRPr="00BA6439">
        <w:rPr>
          <w:sz w:val="16"/>
          <w:szCs w:val="16"/>
        </w:rPr>
        <w:t xml:space="preserve"> Příklad: V Olomouckém kra</w:t>
      </w:r>
      <w:r>
        <w:rPr>
          <w:sz w:val="16"/>
          <w:szCs w:val="16"/>
        </w:rPr>
        <w:t>ji</w:t>
      </w:r>
      <w:r w:rsidRPr="00BA6439">
        <w:rPr>
          <w:sz w:val="16"/>
          <w:szCs w:val="16"/>
        </w:rPr>
        <w:t xml:space="preserve"> je</w:t>
      </w:r>
      <w:r w:rsidRPr="00BA6439">
        <w:rPr>
          <w:b/>
          <w:bCs/>
          <w:sz w:val="16"/>
          <w:szCs w:val="16"/>
        </w:rPr>
        <w:t xml:space="preserve"> </w:t>
      </w:r>
      <w:r w:rsidRPr="00BA6439">
        <w:rPr>
          <w:sz w:val="16"/>
          <w:szCs w:val="16"/>
        </w:rPr>
        <w:t>92 středních škol – pouze 2 % žáků uvažují podle průzkumu o podnikání (šetření proběhlo v roce 2019; viz údaje od zástupce Olomouckého inovační centra)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w:rsidR="00F82851" w:rsidRDefault="00F82851" w14:paraId="0000021B" w14:textId="0B7A19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6364D4A" wp14:editId="521BF965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3175" b="9525"/>
              <wp:wrapSquare wrapText="bothSides"/>
              <wp:docPr id="3" name="Textové pole 3" descr="Veřejně přístupné informac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CB6237" w:rsidR="00F82851" w:rsidRDefault="00F82851" w14:paraId="4AF83FEE" w14:textId="30B95C70">
                          <w:pPr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 w:rsidRPr="00CB6237">
                            <w:rPr>
                              <w:color w:val="000000"/>
                              <w:sz w:val="20"/>
                              <w:szCs w:val="20"/>
                            </w:rPr>
                            <w:t>Veřejně přístupné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66364D4A">
              <v:stroke joinstyle="miter"/>
              <v:path gradientshapeok="t" o:connecttype="rect"/>
            </v:shapetype>
            <v:shape id="Textové pole 3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alt="Veřejně přístupné informace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">
              <v:textbox style="mso-fit-shape-to-text:t" inset="5pt,0,0,0">
                <w:txbxContent>
                  <w:p w:rsidRPr="00CB6237" w:rsidR="00F82851" w:rsidRDefault="00F82851" w14:paraId="4AF83FEE" w14:textId="30B95C70">
                    <w:pPr>
                      <w:rPr>
                        <w:color w:val="000000"/>
                        <w:sz w:val="20"/>
                        <w:szCs w:val="20"/>
                      </w:rPr>
                    </w:pPr>
                    <w:r w:rsidRPr="00CB6237">
                      <w:rPr>
                        <w:color w:val="000000"/>
                        <w:sz w:val="20"/>
                        <w:szCs w:val="20"/>
                      </w:rPr>
                      <w:t>Veřejně přístupné informace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851" w:rsidRDefault="00F82851" w14:paraId="0000021A" w14:textId="04BDFA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w:rsidR="00F82851" w:rsidRDefault="00F82851" w14:paraId="00000219" w14:textId="2E8059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CFDB49E" wp14:editId="597C16C5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3175" b="9525"/>
              <wp:wrapSquare wrapText="bothSides"/>
              <wp:docPr id="1" name="Textové pole 1" descr="Veřejně přístupné informac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CB6237" w:rsidR="00F82851" w:rsidRDefault="00F82851" w14:paraId="323BB409" w14:textId="3776893F">
                          <w:pPr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 w:rsidRPr="00CB6237">
                            <w:rPr>
                              <w:color w:val="000000"/>
                              <w:sz w:val="20"/>
                              <w:szCs w:val="20"/>
                            </w:rPr>
                            <w:t>Veřejně přístupné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0CFDB49E">
              <v:stroke joinstyle="miter"/>
              <v:path gradientshapeok="t" o:connecttype="rect"/>
            </v:shapetype>
            <v:shape id="Textové pole 1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alt="Veřejně přístupné informace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">
              <v:textbox style="mso-fit-shape-to-text:t" inset="5pt,0,0,0">
                <w:txbxContent>
                  <w:p w:rsidRPr="00CB6237" w:rsidR="00F82851" w:rsidRDefault="00F82851" w14:paraId="323BB409" w14:textId="3776893F">
                    <w:pPr>
                      <w:rPr>
                        <w:color w:val="000000"/>
                        <w:sz w:val="20"/>
                        <w:szCs w:val="20"/>
                      </w:rPr>
                    </w:pPr>
                    <w:r w:rsidRPr="00CB6237">
                      <w:rPr>
                        <w:color w:val="000000"/>
                        <w:sz w:val="20"/>
                        <w:szCs w:val="20"/>
                      </w:rPr>
                      <w:t>Veřejně přístupné informace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8357A"/>
    <w:multiLevelType w:val="hybridMultilevel"/>
    <w:tmpl w:val="78501300"/>
    <w:lvl w:ilvl="0" w:tplc="6304F780">
      <w:start w:val="1"/>
      <w:numFmt w:val="bullet"/>
      <w:lvlText w:val="―"/>
      <w:lvlJc w:val="left"/>
      <w:pPr>
        <w:ind w:left="720" w:hanging="360"/>
      </w:pPr>
      <w:rPr>
        <w:rFonts w:hint="default" w:ascii="Arial" w:hAnsi="Arial"/>
      </w:rPr>
    </w:lvl>
    <w:lvl w:ilvl="1" w:tplc="ABF67CD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05279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8C62E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C828F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B723B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3E45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DAE40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7D478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BF554A"/>
    <w:multiLevelType w:val="hybridMultilevel"/>
    <w:tmpl w:val="9FA27C26"/>
    <w:lvl w:ilvl="0" w:tplc="1BDAE3B6">
      <w:start w:val="1"/>
      <w:numFmt w:val="bullet"/>
      <w:lvlText w:val="―"/>
      <w:lvlJc w:val="left"/>
      <w:pPr>
        <w:ind w:left="720" w:hanging="360"/>
      </w:pPr>
      <w:rPr>
        <w:rFonts w:hint="default" w:ascii="Arial" w:hAnsi="Arial"/>
      </w:rPr>
    </w:lvl>
    <w:lvl w:ilvl="1" w:tplc="7E9E05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BC237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D4422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006FF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93092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C04BF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7089E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99262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BF49C0"/>
    <w:multiLevelType w:val="multilevel"/>
    <w:tmpl w:val="1D84ABB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C862000"/>
    <w:multiLevelType w:val="multilevel"/>
    <w:tmpl w:val="953A6F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D971771"/>
    <w:multiLevelType w:val="multilevel"/>
    <w:tmpl w:val="DC6235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5" w15:restartNumberingAfterBreak="0">
    <w:nsid w:val="144C4F7C"/>
    <w:multiLevelType w:val="hybridMultilevel"/>
    <w:tmpl w:val="13AAA47A"/>
    <w:lvl w:ilvl="0" w:tplc="490A5F2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AA005E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1783E8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34A1B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C8D6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46859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8B083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78E57C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A5ECF6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DBC7352"/>
    <w:multiLevelType w:val="multilevel"/>
    <w:tmpl w:val="E8C2FB1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71FD6"/>
    <w:multiLevelType w:val="multilevel"/>
    <w:tmpl w:val="26563B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1EF0FFF"/>
    <w:multiLevelType w:val="multilevel"/>
    <w:tmpl w:val="C20825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9" w15:restartNumberingAfterBreak="0">
    <w:nsid w:val="24324E24"/>
    <w:multiLevelType w:val="multilevel"/>
    <w:tmpl w:val="053C3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26BF2DCB"/>
    <w:multiLevelType w:val="multilevel"/>
    <w:tmpl w:val="E084D5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1" w15:restartNumberingAfterBreak="0">
    <w:nsid w:val="2BC4273A"/>
    <w:multiLevelType w:val="multilevel"/>
    <w:tmpl w:val="314CA77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B47640B"/>
    <w:multiLevelType w:val="multilevel"/>
    <w:tmpl w:val="9DE4CF6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CE677E3"/>
    <w:multiLevelType w:val="hybridMultilevel"/>
    <w:tmpl w:val="410CF1A6"/>
    <w:lvl w:ilvl="0" w:tplc="0B0AF2EE">
      <w:start w:val="1"/>
      <w:numFmt w:val="decimal"/>
      <w:lvlText w:val="%1."/>
      <w:lvlJc w:val="left"/>
      <w:pPr>
        <w:ind w:left="720" w:hanging="360"/>
      </w:pPr>
    </w:lvl>
    <w:lvl w:ilvl="1" w:tplc="3E8278FC">
      <w:start w:val="1"/>
      <w:numFmt w:val="lowerLetter"/>
      <w:lvlText w:val="%2."/>
      <w:lvlJc w:val="left"/>
      <w:pPr>
        <w:ind w:left="1440" w:hanging="360"/>
      </w:pPr>
    </w:lvl>
    <w:lvl w:ilvl="2" w:tplc="CC54377E">
      <w:start w:val="1"/>
      <w:numFmt w:val="lowerRoman"/>
      <w:lvlText w:val="%3."/>
      <w:lvlJc w:val="right"/>
      <w:pPr>
        <w:ind w:left="2160" w:hanging="180"/>
      </w:pPr>
    </w:lvl>
    <w:lvl w:ilvl="3" w:tplc="3A34529E">
      <w:start w:val="1"/>
      <w:numFmt w:val="decimal"/>
      <w:lvlText w:val="%4."/>
      <w:lvlJc w:val="left"/>
      <w:pPr>
        <w:ind w:left="2880" w:hanging="360"/>
      </w:pPr>
    </w:lvl>
    <w:lvl w:ilvl="4" w:tplc="F23EBBFC">
      <w:start w:val="1"/>
      <w:numFmt w:val="lowerLetter"/>
      <w:lvlText w:val="%5."/>
      <w:lvlJc w:val="left"/>
      <w:pPr>
        <w:ind w:left="3600" w:hanging="360"/>
      </w:pPr>
    </w:lvl>
    <w:lvl w:ilvl="5" w:tplc="2BC227E2">
      <w:start w:val="1"/>
      <w:numFmt w:val="lowerRoman"/>
      <w:lvlText w:val="%6."/>
      <w:lvlJc w:val="right"/>
      <w:pPr>
        <w:ind w:left="4320" w:hanging="180"/>
      </w:pPr>
    </w:lvl>
    <w:lvl w:ilvl="6" w:tplc="6E7E6E46">
      <w:start w:val="1"/>
      <w:numFmt w:val="decimal"/>
      <w:lvlText w:val="%7."/>
      <w:lvlJc w:val="left"/>
      <w:pPr>
        <w:ind w:left="5040" w:hanging="360"/>
      </w:pPr>
    </w:lvl>
    <w:lvl w:ilvl="7" w:tplc="CF7AF0F0">
      <w:start w:val="1"/>
      <w:numFmt w:val="lowerLetter"/>
      <w:lvlText w:val="%8."/>
      <w:lvlJc w:val="left"/>
      <w:pPr>
        <w:ind w:left="5760" w:hanging="360"/>
      </w:pPr>
    </w:lvl>
    <w:lvl w:ilvl="8" w:tplc="BF14E0F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F3CA0"/>
    <w:multiLevelType w:val="multilevel"/>
    <w:tmpl w:val="0108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42A90A68"/>
    <w:multiLevelType w:val="multilevel"/>
    <w:tmpl w:val="F4DE6D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6" w15:restartNumberingAfterBreak="0">
    <w:nsid w:val="4714035D"/>
    <w:multiLevelType w:val="hybridMultilevel"/>
    <w:tmpl w:val="6D0CEE02"/>
    <w:lvl w:ilvl="0" w:tplc="59768C3E">
      <w:start w:val="1"/>
      <w:numFmt w:val="decimal"/>
      <w:lvlText w:val="%1."/>
      <w:lvlJc w:val="left"/>
      <w:pPr>
        <w:ind w:left="720" w:hanging="360"/>
      </w:pPr>
    </w:lvl>
    <w:lvl w:ilvl="1" w:tplc="AD4A8CE6">
      <w:start w:val="1"/>
      <w:numFmt w:val="lowerLetter"/>
      <w:lvlText w:val="%2."/>
      <w:lvlJc w:val="left"/>
      <w:pPr>
        <w:ind w:left="1440" w:hanging="360"/>
      </w:pPr>
    </w:lvl>
    <w:lvl w:ilvl="2" w:tplc="D7FC664E">
      <w:start w:val="1"/>
      <w:numFmt w:val="lowerRoman"/>
      <w:lvlText w:val="%3."/>
      <w:lvlJc w:val="right"/>
      <w:pPr>
        <w:ind w:left="2160" w:hanging="180"/>
      </w:pPr>
    </w:lvl>
    <w:lvl w:ilvl="3" w:tplc="59D8217C">
      <w:start w:val="1"/>
      <w:numFmt w:val="decimal"/>
      <w:lvlText w:val="%4."/>
      <w:lvlJc w:val="left"/>
      <w:pPr>
        <w:ind w:left="2880" w:hanging="360"/>
      </w:pPr>
    </w:lvl>
    <w:lvl w:ilvl="4" w:tplc="0FF0D406">
      <w:start w:val="1"/>
      <w:numFmt w:val="lowerLetter"/>
      <w:lvlText w:val="%5."/>
      <w:lvlJc w:val="left"/>
      <w:pPr>
        <w:ind w:left="3600" w:hanging="360"/>
      </w:pPr>
    </w:lvl>
    <w:lvl w:ilvl="5" w:tplc="6F266E82">
      <w:start w:val="1"/>
      <w:numFmt w:val="lowerRoman"/>
      <w:lvlText w:val="%6."/>
      <w:lvlJc w:val="right"/>
      <w:pPr>
        <w:ind w:left="4320" w:hanging="180"/>
      </w:pPr>
    </w:lvl>
    <w:lvl w:ilvl="6" w:tplc="F648E57A">
      <w:start w:val="1"/>
      <w:numFmt w:val="decimal"/>
      <w:lvlText w:val="%7."/>
      <w:lvlJc w:val="left"/>
      <w:pPr>
        <w:ind w:left="5040" w:hanging="360"/>
      </w:pPr>
    </w:lvl>
    <w:lvl w:ilvl="7" w:tplc="F5683740">
      <w:start w:val="1"/>
      <w:numFmt w:val="lowerLetter"/>
      <w:lvlText w:val="%8."/>
      <w:lvlJc w:val="left"/>
      <w:pPr>
        <w:ind w:left="5760" w:hanging="360"/>
      </w:pPr>
    </w:lvl>
    <w:lvl w:ilvl="8" w:tplc="023871F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9737E"/>
    <w:multiLevelType w:val="hybridMultilevel"/>
    <w:tmpl w:val="4B2059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710D75"/>
    <w:multiLevelType w:val="multilevel"/>
    <w:tmpl w:val="C88C44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9" w15:restartNumberingAfterBreak="0">
    <w:nsid w:val="6AF635D2"/>
    <w:multiLevelType w:val="hybridMultilevel"/>
    <w:tmpl w:val="031ED50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52E3C6C"/>
    <w:multiLevelType w:val="multilevel"/>
    <w:tmpl w:val="977869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7D874FA"/>
    <w:multiLevelType w:val="hybridMultilevel"/>
    <w:tmpl w:val="DB5A9E22"/>
    <w:lvl w:ilvl="0" w:tplc="11CE7984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2856CC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BF001B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EF05C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E6E67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E2614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30C39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7DA23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986E76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DAD1B12"/>
    <w:multiLevelType w:val="multilevel"/>
    <w:tmpl w:val="555E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7DEE61B0"/>
    <w:multiLevelType w:val="multilevel"/>
    <w:tmpl w:val="AD4A66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1"/>
  </w:num>
  <w:num w:numId="2">
    <w:abstractNumId w:val="5"/>
  </w:num>
  <w:num w:numId="3">
    <w:abstractNumId w:val="16"/>
  </w:num>
  <w:num w:numId="4">
    <w:abstractNumId w:val="13"/>
  </w:num>
  <w:num w:numId="5">
    <w:abstractNumId w:val="1"/>
  </w:num>
  <w:num w:numId="6">
    <w:abstractNumId w:val="0"/>
  </w:num>
  <w:num w:numId="7">
    <w:abstractNumId w:val="12"/>
  </w:num>
  <w:num w:numId="8">
    <w:abstractNumId w:val="15"/>
  </w:num>
  <w:num w:numId="9">
    <w:abstractNumId w:val="23"/>
  </w:num>
  <w:num w:numId="10">
    <w:abstractNumId w:val="10"/>
  </w:num>
  <w:num w:numId="11">
    <w:abstractNumId w:val="4"/>
  </w:num>
  <w:num w:numId="12">
    <w:abstractNumId w:val="18"/>
  </w:num>
  <w:num w:numId="13">
    <w:abstractNumId w:val="11"/>
  </w:num>
  <w:num w:numId="14">
    <w:abstractNumId w:val="2"/>
  </w:num>
  <w:num w:numId="15">
    <w:abstractNumId w:val="3"/>
  </w:num>
  <w:num w:numId="16">
    <w:abstractNumId w:val="20"/>
  </w:num>
  <w:num w:numId="17">
    <w:abstractNumId w:val="8"/>
  </w:num>
  <w:num w:numId="18">
    <w:abstractNumId w:val="6"/>
  </w:num>
  <w:num w:numId="19">
    <w:abstractNumId w:val="7"/>
  </w:num>
  <w:num w:numId="20">
    <w:abstractNumId w:val="19"/>
  </w:num>
  <w:num w:numId="21">
    <w:abstractNumId w:val="17"/>
  </w:num>
  <w:num w:numId="22">
    <w:abstractNumId w:val="14"/>
  </w:num>
  <w:num w:numId="23">
    <w:abstractNumId w:val="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9E4"/>
    <w:rsid w:val="0004176C"/>
    <w:rsid w:val="000424AA"/>
    <w:rsid w:val="00042529"/>
    <w:rsid w:val="0004312B"/>
    <w:rsid w:val="00054588"/>
    <w:rsid w:val="00054C0F"/>
    <w:rsid w:val="0009283F"/>
    <w:rsid w:val="000A579A"/>
    <w:rsid w:val="000B24C0"/>
    <w:rsid w:val="000D168E"/>
    <w:rsid w:val="000D349A"/>
    <w:rsid w:val="001222D7"/>
    <w:rsid w:val="00136DD0"/>
    <w:rsid w:val="001546C1"/>
    <w:rsid w:val="0017667B"/>
    <w:rsid w:val="00183C82"/>
    <w:rsid w:val="0019309D"/>
    <w:rsid w:val="001A234F"/>
    <w:rsid w:val="001C1041"/>
    <w:rsid w:val="001D60C1"/>
    <w:rsid w:val="00205D0D"/>
    <w:rsid w:val="00237B58"/>
    <w:rsid w:val="00243568"/>
    <w:rsid w:val="00245DA6"/>
    <w:rsid w:val="002664A4"/>
    <w:rsid w:val="002739AF"/>
    <w:rsid w:val="002A0C82"/>
    <w:rsid w:val="002A6376"/>
    <w:rsid w:val="002B4F36"/>
    <w:rsid w:val="002C662E"/>
    <w:rsid w:val="0031097D"/>
    <w:rsid w:val="003471DC"/>
    <w:rsid w:val="00361A0C"/>
    <w:rsid w:val="00365999"/>
    <w:rsid w:val="003B5833"/>
    <w:rsid w:val="003C5BA7"/>
    <w:rsid w:val="003D6504"/>
    <w:rsid w:val="00430F8B"/>
    <w:rsid w:val="0045092C"/>
    <w:rsid w:val="00454475"/>
    <w:rsid w:val="00466612"/>
    <w:rsid w:val="00474F69"/>
    <w:rsid w:val="004834F5"/>
    <w:rsid w:val="00484671"/>
    <w:rsid w:val="00523079"/>
    <w:rsid w:val="0053195C"/>
    <w:rsid w:val="00567530"/>
    <w:rsid w:val="005C63B0"/>
    <w:rsid w:val="005F4D09"/>
    <w:rsid w:val="00603083"/>
    <w:rsid w:val="00623093"/>
    <w:rsid w:val="006A10D7"/>
    <w:rsid w:val="006B311E"/>
    <w:rsid w:val="006F6788"/>
    <w:rsid w:val="007022F7"/>
    <w:rsid w:val="00717BCD"/>
    <w:rsid w:val="007A4BFB"/>
    <w:rsid w:val="007A5CD4"/>
    <w:rsid w:val="007D4313"/>
    <w:rsid w:val="007D49E4"/>
    <w:rsid w:val="007E27EE"/>
    <w:rsid w:val="0083189E"/>
    <w:rsid w:val="00845819"/>
    <w:rsid w:val="0087105F"/>
    <w:rsid w:val="008922B2"/>
    <w:rsid w:val="009048D3"/>
    <w:rsid w:val="00932F15"/>
    <w:rsid w:val="009413EB"/>
    <w:rsid w:val="00942708"/>
    <w:rsid w:val="0097007C"/>
    <w:rsid w:val="0097375C"/>
    <w:rsid w:val="00983AC6"/>
    <w:rsid w:val="009A4E40"/>
    <w:rsid w:val="009F668C"/>
    <w:rsid w:val="00A127B6"/>
    <w:rsid w:val="00A17AC8"/>
    <w:rsid w:val="00A37B2E"/>
    <w:rsid w:val="00A51492"/>
    <w:rsid w:val="00A52833"/>
    <w:rsid w:val="00A63654"/>
    <w:rsid w:val="00A67E3E"/>
    <w:rsid w:val="00A7078D"/>
    <w:rsid w:val="00A71FCD"/>
    <w:rsid w:val="00A81D30"/>
    <w:rsid w:val="00A837BD"/>
    <w:rsid w:val="00A87523"/>
    <w:rsid w:val="00AA6EFF"/>
    <w:rsid w:val="00AB51BB"/>
    <w:rsid w:val="00AE3565"/>
    <w:rsid w:val="00AEE749"/>
    <w:rsid w:val="00AF73AF"/>
    <w:rsid w:val="00B72E20"/>
    <w:rsid w:val="00B8553B"/>
    <w:rsid w:val="00B93517"/>
    <w:rsid w:val="00BA47DA"/>
    <w:rsid w:val="00BA7332"/>
    <w:rsid w:val="00BE2D38"/>
    <w:rsid w:val="00BE2FF4"/>
    <w:rsid w:val="00BE74BF"/>
    <w:rsid w:val="00C2416A"/>
    <w:rsid w:val="00C50A44"/>
    <w:rsid w:val="00C52F98"/>
    <w:rsid w:val="00C54206"/>
    <w:rsid w:val="00CB6237"/>
    <w:rsid w:val="00CE7CEC"/>
    <w:rsid w:val="00D0554D"/>
    <w:rsid w:val="00D06AB8"/>
    <w:rsid w:val="00DB1F14"/>
    <w:rsid w:val="00DD0E46"/>
    <w:rsid w:val="00DD147A"/>
    <w:rsid w:val="00DD4C89"/>
    <w:rsid w:val="00DF0BBB"/>
    <w:rsid w:val="00E060E0"/>
    <w:rsid w:val="00E73097"/>
    <w:rsid w:val="00E8748F"/>
    <w:rsid w:val="00EB5AC6"/>
    <w:rsid w:val="00EFCD2C"/>
    <w:rsid w:val="00F32653"/>
    <w:rsid w:val="00F82851"/>
    <w:rsid w:val="00FB1BDD"/>
    <w:rsid w:val="00FB767F"/>
    <w:rsid w:val="00FC5FED"/>
    <w:rsid w:val="00FE3BBA"/>
    <w:rsid w:val="014D5E14"/>
    <w:rsid w:val="01C8D4CC"/>
    <w:rsid w:val="01FC8A63"/>
    <w:rsid w:val="023DB05E"/>
    <w:rsid w:val="026F4D21"/>
    <w:rsid w:val="0278C8E3"/>
    <w:rsid w:val="027E72A2"/>
    <w:rsid w:val="035593E3"/>
    <w:rsid w:val="03EC5C35"/>
    <w:rsid w:val="0494BC49"/>
    <w:rsid w:val="04B2B8DD"/>
    <w:rsid w:val="05B9EAC2"/>
    <w:rsid w:val="06147736"/>
    <w:rsid w:val="0644C5F9"/>
    <w:rsid w:val="06C63D54"/>
    <w:rsid w:val="0802B1B1"/>
    <w:rsid w:val="08E76F77"/>
    <w:rsid w:val="0923BD46"/>
    <w:rsid w:val="0957DFE5"/>
    <w:rsid w:val="0A49D0B0"/>
    <w:rsid w:val="0AF6020A"/>
    <w:rsid w:val="0C363DF2"/>
    <w:rsid w:val="0CAA0E2D"/>
    <w:rsid w:val="0D09B489"/>
    <w:rsid w:val="0D4359F1"/>
    <w:rsid w:val="0D53CB25"/>
    <w:rsid w:val="0DC202B5"/>
    <w:rsid w:val="0EE11EE4"/>
    <w:rsid w:val="0EE9883D"/>
    <w:rsid w:val="0EF61130"/>
    <w:rsid w:val="0FB7C3A6"/>
    <w:rsid w:val="1110A8A1"/>
    <w:rsid w:val="118F5248"/>
    <w:rsid w:val="11B05BBD"/>
    <w:rsid w:val="11D39BB4"/>
    <w:rsid w:val="1319950A"/>
    <w:rsid w:val="13203099"/>
    <w:rsid w:val="1369D8E4"/>
    <w:rsid w:val="13B3CA10"/>
    <w:rsid w:val="13E5FDDE"/>
    <w:rsid w:val="1418C2B8"/>
    <w:rsid w:val="142E4359"/>
    <w:rsid w:val="145329E3"/>
    <w:rsid w:val="15257256"/>
    <w:rsid w:val="155254F9"/>
    <w:rsid w:val="1598C0C1"/>
    <w:rsid w:val="15BBCF4F"/>
    <w:rsid w:val="16419614"/>
    <w:rsid w:val="1666E123"/>
    <w:rsid w:val="16AD69FF"/>
    <w:rsid w:val="17579FB0"/>
    <w:rsid w:val="1770C80D"/>
    <w:rsid w:val="17F5E8AC"/>
    <w:rsid w:val="181C4A53"/>
    <w:rsid w:val="18EA2938"/>
    <w:rsid w:val="191564DB"/>
    <w:rsid w:val="19E3A918"/>
    <w:rsid w:val="1A23A2C7"/>
    <w:rsid w:val="1A3CD658"/>
    <w:rsid w:val="1A8F4072"/>
    <w:rsid w:val="1B0254A9"/>
    <w:rsid w:val="1B22402C"/>
    <w:rsid w:val="1B7037E0"/>
    <w:rsid w:val="1C7F7FE5"/>
    <w:rsid w:val="1C942B09"/>
    <w:rsid w:val="1CA0ED40"/>
    <w:rsid w:val="1CBFB85B"/>
    <w:rsid w:val="1CFDBBFA"/>
    <w:rsid w:val="1D28168E"/>
    <w:rsid w:val="1D5B8C40"/>
    <w:rsid w:val="1D7CBC02"/>
    <w:rsid w:val="1EC8BAB4"/>
    <w:rsid w:val="1EC92024"/>
    <w:rsid w:val="1ECED4E5"/>
    <w:rsid w:val="1EE36DBA"/>
    <w:rsid w:val="1F29D8F5"/>
    <w:rsid w:val="1F67152F"/>
    <w:rsid w:val="1FE6C1D2"/>
    <w:rsid w:val="203EA7B1"/>
    <w:rsid w:val="20B7F770"/>
    <w:rsid w:val="218D82D2"/>
    <w:rsid w:val="22001951"/>
    <w:rsid w:val="2250ACBE"/>
    <w:rsid w:val="229268F3"/>
    <w:rsid w:val="245655B4"/>
    <w:rsid w:val="2460C071"/>
    <w:rsid w:val="25A8B76E"/>
    <w:rsid w:val="263B6387"/>
    <w:rsid w:val="26D50842"/>
    <w:rsid w:val="26F93918"/>
    <w:rsid w:val="27953BDC"/>
    <w:rsid w:val="27C25F7F"/>
    <w:rsid w:val="285B713E"/>
    <w:rsid w:val="29404EC6"/>
    <w:rsid w:val="29DCD323"/>
    <w:rsid w:val="29E813A2"/>
    <w:rsid w:val="2AAD6BDA"/>
    <w:rsid w:val="2B932E34"/>
    <w:rsid w:val="2BAD21A9"/>
    <w:rsid w:val="2BD42C94"/>
    <w:rsid w:val="2C02979D"/>
    <w:rsid w:val="2CE1DBBA"/>
    <w:rsid w:val="2CEC3581"/>
    <w:rsid w:val="2D5D16AE"/>
    <w:rsid w:val="2DAAB25B"/>
    <w:rsid w:val="2E15CD8C"/>
    <w:rsid w:val="2E5F4735"/>
    <w:rsid w:val="2EB0635E"/>
    <w:rsid w:val="2FB72B21"/>
    <w:rsid w:val="2FF83B76"/>
    <w:rsid w:val="305845E8"/>
    <w:rsid w:val="30807DC6"/>
    <w:rsid w:val="30D64812"/>
    <w:rsid w:val="31C0E9CE"/>
    <w:rsid w:val="32C1EB7D"/>
    <w:rsid w:val="32F67264"/>
    <w:rsid w:val="333B4E06"/>
    <w:rsid w:val="33448631"/>
    <w:rsid w:val="3467C446"/>
    <w:rsid w:val="347F7DF5"/>
    <w:rsid w:val="34A786C8"/>
    <w:rsid w:val="351B376E"/>
    <w:rsid w:val="353E4F5F"/>
    <w:rsid w:val="355D06B5"/>
    <w:rsid w:val="35BDB1C6"/>
    <w:rsid w:val="35C38F2C"/>
    <w:rsid w:val="35D708A2"/>
    <w:rsid w:val="35E6F529"/>
    <w:rsid w:val="363BF4F4"/>
    <w:rsid w:val="36646B11"/>
    <w:rsid w:val="368DEC78"/>
    <w:rsid w:val="36C8BA59"/>
    <w:rsid w:val="372208BB"/>
    <w:rsid w:val="37D022FC"/>
    <w:rsid w:val="383A6716"/>
    <w:rsid w:val="385E81DA"/>
    <w:rsid w:val="38957E0F"/>
    <w:rsid w:val="38F55288"/>
    <w:rsid w:val="397561E3"/>
    <w:rsid w:val="39812D14"/>
    <w:rsid w:val="39B9E9E1"/>
    <w:rsid w:val="39C8FF05"/>
    <w:rsid w:val="39F561F1"/>
    <w:rsid w:val="3A17DD72"/>
    <w:rsid w:val="3A3EBD6A"/>
    <w:rsid w:val="3AC218F5"/>
    <w:rsid w:val="3AF2AF2D"/>
    <w:rsid w:val="3AFE294C"/>
    <w:rsid w:val="3B7FA7D1"/>
    <w:rsid w:val="3C581A07"/>
    <w:rsid w:val="3CB59B84"/>
    <w:rsid w:val="3D0D9465"/>
    <w:rsid w:val="3D43FD68"/>
    <w:rsid w:val="3DD6E93E"/>
    <w:rsid w:val="3DE4BAE3"/>
    <w:rsid w:val="3EFC1473"/>
    <w:rsid w:val="3F4FE127"/>
    <w:rsid w:val="3F73D1CA"/>
    <w:rsid w:val="3FF49279"/>
    <w:rsid w:val="406E0265"/>
    <w:rsid w:val="425DB39F"/>
    <w:rsid w:val="433EDF11"/>
    <w:rsid w:val="43EBF486"/>
    <w:rsid w:val="440058DC"/>
    <w:rsid w:val="444E6CEE"/>
    <w:rsid w:val="44B084D2"/>
    <w:rsid w:val="44FE0395"/>
    <w:rsid w:val="453DB632"/>
    <w:rsid w:val="4570E379"/>
    <w:rsid w:val="45BAAD33"/>
    <w:rsid w:val="45CABA8A"/>
    <w:rsid w:val="460CEFF9"/>
    <w:rsid w:val="4617CC0E"/>
    <w:rsid w:val="4684D1B3"/>
    <w:rsid w:val="46E0C2C9"/>
    <w:rsid w:val="476E0E08"/>
    <w:rsid w:val="476E301B"/>
    <w:rsid w:val="480835FC"/>
    <w:rsid w:val="481CE047"/>
    <w:rsid w:val="49113AB2"/>
    <w:rsid w:val="4915E882"/>
    <w:rsid w:val="49170DB5"/>
    <w:rsid w:val="49465AF7"/>
    <w:rsid w:val="496A0C9C"/>
    <w:rsid w:val="496CCC31"/>
    <w:rsid w:val="49725D69"/>
    <w:rsid w:val="4A18638B"/>
    <w:rsid w:val="4A4C97B8"/>
    <w:rsid w:val="4A6F35F9"/>
    <w:rsid w:val="4AA51CF6"/>
    <w:rsid w:val="4B61C9D2"/>
    <w:rsid w:val="4BFF526B"/>
    <w:rsid w:val="4C057A42"/>
    <w:rsid w:val="4CBFFF76"/>
    <w:rsid w:val="4DFD3CBA"/>
    <w:rsid w:val="4E0929B1"/>
    <w:rsid w:val="4E48DA46"/>
    <w:rsid w:val="4EAC0756"/>
    <w:rsid w:val="4ED685D5"/>
    <w:rsid w:val="4F215F39"/>
    <w:rsid w:val="4F2361F2"/>
    <w:rsid w:val="4F5B9FB3"/>
    <w:rsid w:val="4FC938A1"/>
    <w:rsid w:val="5030D852"/>
    <w:rsid w:val="50581AA9"/>
    <w:rsid w:val="505F2A04"/>
    <w:rsid w:val="5064F59A"/>
    <w:rsid w:val="50FEF497"/>
    <w:rsid w:val="5132A5D0"/>
    <w:rsid w:val="516A6228"/>
    <w:rsid w:val="51D1E5A0"/>
    <w:rsid w:val="51E8EC07"/>
    <w:rsid w:val="5225A09C"/>
    <w:rsid w:val="5258FFFB"/>
    <w:rsid w:val="526DFAC8"/>
    <w:rsid w:val="52C63E98"/>
    <w:rsid w:val="530BA714"/>
    <w:rsid w:val="53A296E9"/>
    <w:rsid w:val="53F4D05C"/>
    <w:rsid w:val="5400E178"/>
    <w:rsid w:val="5458B520"/>
    <w:rsid w:val="547DBC3C"/>
    <w:rsid w:val="548DB210"/>
    <w:rsid w:val="54905E57"/>
    <w:rsid w:val="54ABCC8E"/>
    <w:rsid w:val="54BB3150"/>
    <w:rsid w:val="54F27B9B"/>
    <w:rsid w:val="54FB634F"/>
    <w:rsid w:val="55960DA0"/>
    <w:rsid w:val="55A348C9"/>
    <w:rsid w:val="560A941C"/>
    <w:rsid w:val="56133D7B"/>
    <w:rsid w:val="56590A47"/>
    <w:rsid w:val="5680908A"/>
    <w:rsid w:val="5687485D"/>
    <w:rsid w:val="56B1D13C"/>
    <w:rsid w:val="5715DDE8"/>
    <w:rsid w:val="5716DF8D"/>
    <w:rsid w:val="5769965D"/>
    <w:rsid w:val="57A538A2"/>
    <w:rsid w:val="57BA4A0C"/>
    <w:rsid w:val="58142D43"/>
    <w:rsid w:val="5886C982"/>
    <w:rsid w:val="58E46D48"/>
    <w:rsid w:val="597B6817"/>
    <w:rsid w:val="59A23EBE"/>
    <w:rsid w:val="59BE3113"/>
    <w:rsid w:val="59CF9880"/>
    <w:rsid w:val="5AE6135D"/>
    <w:rsid w:val="5B25BCD2"/>
    <w:rsid w:val="5B65093B"/>
    <w:rsid w:val="5B9549E6"/>
    <w:rsid w:val="5B996457"/>
    <w:rsid w:val="5BB5E4E6"/>
    <w:rsid w:val="5CEB559A"/>
    <w:rsid w:val="5CFE9EB2"/>
    <w:rsid w:val="5D311A47"/>
    <w:rsid w:val="5DEF4B8A"/>
    <w:rsid w:val="5E568AD0"/>
    <w:rsid w:val="5F696138"/>
    <w:rsid w:val="600208A6"/>
    <w:rsid w:val="605F6B2B"/>
    <w:rsid w:val="60A0F464"/>
    <w:rsid w:val="60FC88CD"/>
    <w:rsid w:val="6117E6D1"/>
    <w:rsid w:val="61769D07"/>
    <w:rsid w:val="617CC709"/>
    <w:rsid w:val="6189C974"/>
    <w:rsid w:val="6231E639"/>
    <w:rsid w:val="637DA43E"/>
    <w:rsid w:val="646E0B45"/>
    <w:rsid w:val="648776D4"/>
    <w:rsid w:val="649C7606"/>
    <w:rsid w:val="64B467CB"/>
    <w:rsid w:val="64BDA2DF"/>
    <w:rsid w:val="64D942A0"/>
    <w:rsid w:val="6502BBA3"/>
    <w:rsid w:val="657F9DF1"/>
    <w:rsid w:val="6582195C"/>
    <w:rsid w:val="65AEB20D"/>
    <w:rsid w:val="65D99BAC"/>
    <w:rsid w:val="6629D7BC"/>
    <w:rsid w:val="6642FEF3"/>
    <w:rsid w:val="673A7A48"/>
    <w:rsid w:val="67E3881E"/>
    <w:rsid w:val="67E8DC0F"/>
    <w:rsid w:val="68438324"/>
    <w:rsid w:val="68736847"/>
    <w:rsid w:val="68EC526A"/>
    <w:rsid w:val="696110B8"/>
    <w:rsid w:val="69CBA0ED"/>
    <w:rsid w:val="69E1062E"/>
    <w:rsid w:val="6A4AE3E1"/>
    <w:rsid w:val="6A5AB915"/>
    <w:rsid w:val="6A69DB16"/>
    <w:rsid w:val="6B0424AD"/>
    <w:rsid w:val="6B1F45B5"/>
    <w:rsid w:val="6B23A94F"/>
    <w:rsid w:val="6BECDDDF"/>
    <w:rsid w:val="6C385ADF"/>
    <w:rsid w:val="6C9FF50E"/>
    <w:rsid w:val="6CF7F0D0"/>
    <w:rsid w:val="6D6A1FA7"/>
    <w:rsid w:val="6D9B5582"/>
    <w:rsid w:val="6DD0AD3F"/>
    <w:rsid w:val="6DD42B40"/>
    <w:rsid w:val="6E051FB4"/>
    <w:rsid w:val="6E0DB787"/>
    <w:rsid w:val="6E1AB731"/>
    <w:rsid w:val="6E3BC56F"/>
    <w:rsid w:val="6EC02CF7"/>
    <w:rsid w:val="6F25B24B"/>
    <w:rsid w:val="6F7A4A1C"/>
    <w:rsid w:val="6FEA345B"/>
    <w:rsid w:val="701D8310"/>
    <w:rsid w:val="708B5A1A"/>
    <w:rsid w:val="70D27B16"/>
    <w:rsid w:val="71C35906"/>
    <w:rsid w:val="71EC1E02"/>
    <w:rsid w:val="725E7250"/>
    <w:rsid w:val="726B5BEC"/>
    <w:rsid w:val="728F11BF"/>
    <w:rsid w:val="72A64961"/>
    <w:rsid w:val="7316F1B4"/>
    <w:rsid w:val="732E77F8"/>
    <w:rsid w:val="73311F60"/>
    <w:rsid w:val="7401EBE6"/>
    <w:rsid w:val="7419FDB8"/>
    <w:rsid w:val="749668D4"/>
    <w:rsid w:val="74BF2A84"/>
    <w:rsid w:val="74CCEFC1"/>
    <w:rsid w:val="74D26E77"/>
    <w:rsid w:val="751A060C"/>
    <w:rsid w:val="752A3DDA"/>
    <w:rsid w:val="752B45C4"/>
    <w:rsid w:val="75310D98"/>
    <w:rsid w:val="7561C32A"/>
    <w:rsid w:val="75C4E67A"/>
    <w:rsid w:val="75F676B7"/>
    <w:rsid w:val="77A60360"/>
    <w:rsid w:val="77E504BD"/>
    <w:rsid w:val="7867D773"/>
    <w:rsid w:val="7999B7D5"/>
    <w:rsid w:val="79AA8D31"/>
    <w:rsid w:val="79B9200F"/>
    <w:rsid w:val="7ABF558D"/>
    <w:rsid w:val="7ADDA422"/>
    <w:rsid w:val="7B623E67"/>
    <w:rsid w:val="7B942973"/>
    <w:rsid w:val="7BC4B7C2"/>
    <w:rsid w:val="7BD157A5"/>
    <w:rsid w:val="7BF7833C"/>
    <w:rsid w:val="7C63724D"/>
    <w:rsid w:val="7CA9A841"/>
    <w:rsid w:val="7CCEBE5A"/>
    <w:rsid w:val="7CDCC442"/>
    <w:rsid w:val="7D05E766"/>
    <w:rsid w:val="7DDB3A7D"/>
    <w:rsid w:val="7EB50248"/>
    <w:rsid w:val="7EC1729F"/>
    <w:rsid w:val="7EDE5C64"/>
    <w:rsid w:val="7F0E0185"/>
    <w:rsid w:val="7F70E346"/>
    <w:rsid w:val="7FB11545"/>
    <w:rsid w:val="7FE8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33035"/>
  <w15:docId w15:val="{40C2F387-BABD-4EDA-9190-23C4C150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Calibri"/>
        <w:sz w:val="22"/>
        <w:szCs w:val="22"/>
        <w:lang w:val="cs-CZ" w:eastAsia="cs-CZ" w:bidi="ar-SA"/>
      </w:rPr>
    </w:rPrDefault>
    <w:pPrDefault>
      <w:pPr>
        <w:spacing w:after="160" w:line="293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160" w:after="0"/>
      <w:outlineLvl w:val="0"/>
    </w:pPr>
    <w:rPr>
      <w:b/>
      <w:sz w:val="28"/>
      <w:szCs w:val="2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80" w:after="0"/>
      <w:outlineLvl w:val="1"/>
    </w:pPr>
    <w:rPr>
      <w:b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40" w:after="0"/>
      <w:outlineLvl w:val="2"/>
    </w:pPr>
    <w:rPr>
      <w:b/>
      <w:sz w:val="24"/>
      <w:szCs w:val="24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40" w:after="0"/>
      <w:outlineLvl w:val="3"/>
    </w:pPr>
    <w:rPr>
      <w:i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40" w:after="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40" w:after="0"/>
      <w:outlineLvl w:val="5"/>
    </w:pPr>
    <w:rPr>
      <w:i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pPr>
      <w:keepNext/>
      <w:keepLines/>
      <w:spacing w:after="0" w:line="240" w:lineRule="auto"/>
    </w:pPr>
    <w:rPr>
      <w:sz w:val="48"/>
      <w:szCs w:val="48"/>
    </w:rPr>
  </w:style>
  <w:style w:type="paragraph" w:styleId="Podnadpis">
    <w:name w:val="Subtitle"/>
    <w:basedOn w:val="Normln"/>
    <w:next w:val="Normln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color w:val="595959"/>
      <w:sz w:val="28"/>
      <w:szCs w:val="28"/>
    </w:rPr>
  </w:style>
  <w:style w:type="table" w:styleId="a" w:customStyle="1">
    <w:basedOn w:val="Normlntabulka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Normlntabulka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Normlntabulka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Normlntabulka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Normlntabulka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Normlntabulka"/>
    <w:pPr>
      <w:spacing w:after="0" w:line="240" w:lineRule="auto"/>
    </w:pPr>
    <w:tblPr>
      <w:tblStyleRowBandSize w:val="1"/>
      <w:tblStyleColBandSize w:val="1"/>
    </w:tblPr>
  </w:style>
  <w:style w:type="table" w:styleId="a5" w:customStyle="1">
    <w:basedOn w:val="Normlntabulka"/>
    <w:pPr>
      <w:spacing w:after="0" w:line="240" w:lineRule="auto"/>
    </w:pPr>
    <w:tblPr>
      <w:tblStyleRowBandSize w:val="1"/>
      <w:tblStyleColBandSize w:val="1"/>
    </w:tblPr>
  </w:style>
  <w:style w:type="table" w:styleId="a6" w:customStyle="1">
    <w:basedOn w:val="Normlntabulka"/>
    <w:pPr>
      <w:spacing w:after="0" w:line="240" w:lineRule="auto"/>
    </w:pPr>
    <w:tblPr>
      <w:tblStyleRowBandSize w:val="1"/>
      <w:tblStyleColBandSize w:val="1"/>
    </w:tblPr>
  </w:style>
  <w:style w:type="table" w:styleId="a7" w:customStyle="1">
    <w:basedOn w:val="Normlntabulka"/>
    <w:pPr>
      <w:spacing w:after="0" w:line="240" w:lineRule="auto"/>
    </w:pPr>
    <w:tblPr>
      <w:tblStyleRowBandSize w:val="1"/>
      <w:tblStyleColBandSize w:val="1"/>
    </w:tblPr>
  </w:style>
  <w:style w:type="table" w:styleId="a8" w:customStyle="1">
    <w:basedOn w:val="Normlntabulka"/>
    <w:pPr>
      <w:spacing w:after="0" w:line="240" w:lineRule="auto"/>
    </w:pPr>
    <w:tblPr>
      <w:tblStyleRowBandSize w:val="1"/>
      <w:tblStyleColBandSize w:val="1"/>
    </w:tblPr>
  </w:style>
  <w:style w:type="table" w:styleId="a9" w:customStyle="1">
    <w:basedOn w:val="Normlntabulka"/>
    <w:pPr>
      <w:spacing w:after="0" w:line="240" w:lineRule="auto"/>
    </w:pPr>
    <w:tblPr>
      <w:tblStyleRowBandSize w:val="1"/>
      <w:tblStyleColBandSize w:val="1"/>
    </w:tblPr>
  </w:style>
  <w:style w:type="table" w:styleId="aa" w:customStyle="1">
    <w:basedOn w:val="Normlntabulka"/>
    <w:pPr>
      <w:spacing w:after="0" w:line="240" w:lineRule="auto"/>
    </w:pPr>
    <w:tblPr>
      <w:tblStyleRowBandSize w:val="1"/>
      <w:tblStyleColBandSize w:val="1"/>
    </w:tblPr>
  </w:style>
  <w:style w:type="table" w:styleId="ab" w:customStyle="1">
    <w:basedOn w:val="Normlntabulka"/>
    <w:pPr>
      <w:spacing w:after="0" w:line="240" w:lineRule="auto"/>
    </w:pPr>
    <w:tblPr>
      <w:tblStyleRowBandSize w:val="1"/>
      <w:tblStyleColBandSize w:val="1"/>
    </w:tblPr>
  </w:style>
  <w:style w:type="table" w:styleId="ac" w:customStyle="1">
    <w:basedOn w:val="Normlntabulka"/>
    <w:pPr>
      <w:spacing w:after="0" w:line="240" w:lineRule="auto"/>
    </w:pPr>
    <w:tblPr>
      <w:tblStyleRowBandSize w:val="1"/>
      <w:tblStyleColBandSize w:val="1"/>
    </w:tblPr>
  </w:style>
  <w:style w:type="table" w:styleId="ad" w:customStyle="1">
    <w:basedOn w:val="Normlntabulka"/>
    <w:pPr>
      <w:spacing w:after="0" w:line="240" w:lineRule="auto"/>
    </w:pPr>
    <w:tblPr>
      <w:tblStyleRowBandSize w:val="1"/>
      <w:tblStyleColBandSize w:val="1"/>
    </w:tblPr>
  </w:style>
  <w:style w:type="table" w:styleId="ae" w:customStyle="1">
    <w:basedOn w:val="Normlntabulka"/>
    <w:pPr>
      <w:spacing w:after="0" w:line="240" w:lineRule="auto"/>
    </w:pPr>
    <w:tblPr>
      <w:tblStyleRowBandSize w:val="1"/>
      <w:tblStyleColBandSize w:val="1"/>
    </w:tblPr>
  </w:style>
  <w:style w:type="table" w:styleId="af" w:customStyle="1">
    <w:basedOn w:val="Normlntabulka"/>
    <w:pPr>
      <w:spacing w:after="0" w:line="240" w:lineRule="auto"/>
    </w:pPr>
    <w:tblPr>
      <w:tblStyleRowBandSize w:val="1"/>
      <w:tblStyleColBandSize w:val="1"/>
    </w:tblPr>
  </w:style>
  <w:style w:type="character" w:styleId="Odkaznakoment">
    <w:name w:val="annotation reference"/>
    <w:basedOn w:val="Standardnpsmoodstavce"/>
    <w:uiPriority w:val="99"/>
    <w:semiHidden/>
    <w:unhideWhenUsed/>
    <w:rsid w:val="006030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3083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/>
    <w:rsid w:val="0060308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3083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60308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3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60308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5092C"/>
    <w:pPr>
      <w:spacing w:line="259" w:lineRule="auto"/>
      <w:ind w:left="720"/>
      <w:contextualSpacing/>
    </w:pPr>
    <w:rPr>
      <w:rFonts w:asciiTheme="minorHAnsi" w:hAnsiTheme="minorHAnsi" w:eastAsiaTheme="minorHAnsi" w:cstheme="minorBidi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007C"/>
    <w:pPr>
      <w:spacing w:after="0" w:line="240" w:lineRule="auto"/>
    </w:pPr>
    <w:rPr>
      <w:sz w:val="20"/>
      <w:szCs w:val="20"/>
    </w:rPr>
  </w:style>
  <w:style w:type="character" w:styleId="TextpoznpodarouChar" w:customStyle="1">
    <w:name w:val="Text pozn. pod čarou Char"/>
    <w:basedOn w:val="Standardnpsmoodstavce"/>
    <w:link w:val="Textpoznpodarou"/>
    <w:uiPriority w:val="99"/>
    <w:semiHidden/>
    <w:rsid w:val="0097007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7007C"/>
    <w:rPr>
      <w:vertAlign w:val="superscript"/>
    </w:rPr>
  </w:style>
  <w:style w:type="paragraph" w:styleId="Normlnweb">
    <w:name w:val="Normal (Web)"/>
    <w:basedOn w:val="Normln"/>
    <w:uiPriority w:val="99"/>
    <w:unhideWhenUsed/>
    <w:rsid w:val="0097375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Odrka" w:customStyle="1">
    <w:name w:val="Odrážka"/>
    <w:basedOn w:val="Normln"/>
    <w:link w:val="OdrkaChar"/>
    <w:qFormat/>
    <w:rsid w:val="7D05E766"/>
    <w:pPr>
      <w:ind w:left="720" w:hanging="360"/>
      <w:contextualSpacing/>
      <w:jc w:val="both"/>
    </w:pPr>
    <w:rPr>
      <w:color w:val="000000" w:themeColor="text1"/>
      <w:sz w:val="20"/>
      <w:szCs w:val="20"/>
    </w:rPr>
  </w:style>
  <w:style w:type="character" w:styleId="OdrkaChar" w:customStyle="1">
    <w:name w:val="Odrážka Char"/>
    <w:basedOn w:val="Standardnpsmoodstavce"/>
    <w:link w:val="Odrka"/>
    <w:rsid w:val="7D05E766"/>
    <w:rPr>
      <w:color w:val="000000" w:themeColor="text1"/>
      <w:sz w:val="20"/>
      <w:szCs w:val="20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ZpatChar" w:customStyle="1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0668E3FACC0A4D909754AED2896FA5" ma:contentTypeVersion="10" ma:contentTypeDescription="Vytvoří nový dokument" ma:contentTypeScope="" ma:versionID="98d6cc77a46b5b92d15fcdff8b361900">
  <xsd:schema xmlns:xsd="http://www.w3.org/2001/XMLSchema" xmlns:xs="http://www.w3.org/2001/XMLSchema" xmlns:p="http://schemas.microsoft.com/office/2006/metadata/properties" xmlns:ns2="c901dcab-5c60-4e8e-adc9-0c7b361f0e15" xmlns:ns3="513a4330-68e5-46ad-8e16-8cb7e185a001" targetNamespace="http://schemas.microsoft.com/office/2006/metadata/properties" ma:root="true" ma:fieldsID="1a18521a795ce75b392771daa3c97262" ns2:_="" ns3:_="">
    <xsd:import namespace="c901dcab-5c60-4e8e-adc9-0c7b361f0e15"/>
    <xsd:import namespace="513a4330-68e5-46ad-8e16-8cb7e185a0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1dcab-5c60-4e8e-adc9-0c7b361f0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a4330-68e5-46ad-8e16-8cb7e185a0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98AFE0-C569-4D56-9AFD-B9F8DCC6D0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0BE88E-AFF6-4FF0-B646-D77AA858482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901dcab-5c60-4e8e-adc9-0c7b361f0e15"/>
    <ds:schemaRef ds:uri="http://purl.org/dc/terms/"/>
    <ds:schemaRef ds:uri="http://schemas.openxmlformats.org/package/2006/metadata/core-properties"/>
    <ds:schemaRef ds:uri="513a4330-68e5-46ad-8e16-8cb7e185a00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49BD177-B9DF-4F81-9913-051235384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1dcab-5c60-4e8e-adc9-0c7b361f0e15"/>
    <ds:schemaRef ds:uri="513a4330-68e5-46ad-8e16-8cb7e185a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0C12A1-0537-410C-B29B-F9DE15AEB36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12FC105A.dotm</ap:Template>
  <ap:Application>Microsoft Word for the web</ap:Application>
  <ap:DocSecurity>0</ap:DocSecurity>
  <ap:ScaleCrop>false</ap:ScaleCrop>
  <ap:Company>Ministerstvo průmyslu a obchodu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Všetečka Daniel</dc:creator>
  <lastModifiedBy>Pápai Adam</lastModifiedBy>
  <revision>28</revision>
  <dcterms:created xsi:type="dcterms:W3CDTF">2021-05-14T07:55:00.0000000Z</dcterms:created>
  <dcterms:modified xsi:type="dcterms:W3CDTF">2021-09-07T07:55:03.0104787Z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0x0101008E0668E3FACC0A4D909754AED2896FA5</vt:lpwstr>
  </property>
  <property fmtid="{D5CDD505-2E9C-101B-9397-08002B2CF9AE}" pid="3" name="ClassificationContentMarkingHeaderShapeIds">
    <vt:lpwstr>1,3,4</vt:lpwstr>
  </property>
  <property fmtid="{D5CDD505-2E9C-101B-9397-08002B2CF9AE}" pid="4" name="ClassificationContentMarkingHeaderFontProps">
    <vt:lpwstr>#000000,10,Calibri</vt:lpwstr>
  </property>
  <property fmtid="{D5CDD505-2E9C-101B-9397-08002B2CF9AE}" pid="5" name="ClassificationContentMarkingHeaderText">
    <vt:lpwstr>Veřejně přístupné informace</vt:lpwstr>
  </property>
  <property fmtid="{D5CDD505-2E9C-101B-9397-08002B2CF9AE}" pid="6" name="MSIP_Label_8d94c5f0-83f8-4bf2-af20-ac59dfc3b7e2_Enabled">
    <vt:lpwstr>True</vt:lpwstr>
  </property>
  <property fmtid="{D5CDD505-2E9C-101B-9397-08002B2CF9AE}" pid="7" name="MSIP_Label_8d94c5f0-83f8-4bf2-af20-ac59dfc3b7e2_SiteId">
    <vt:lpwstr>1f9775f0-c6d0-40f3-b27c-91cb5bbd294a</vt:lpwstr>
  </property>
  <property fmtid="{D5CDD505-2E9C-101B-9397-08002B2CF9AE}" pid="8" name="MSIP_Label_8d94c5f0-83f8-4bf2-af20-ac59dfc3b7e2_ActionId">
    <vt:lpwstr>8b1b3805-f150-44c8-a15d-a6d132d9fbfb</vt:lpwstr>
  </property>
  <property fmtid="{D5CDD505-2E9C-101B-9397-08002B2CF9AE}" pid="9" name="MSIP_Label_8d94c5f0-83f8-4bf2-af20-ac59dfc3b7e2_Method">
    <vt:lpwstr>Privileged</vt:lpwstr>
  </property>
  <property fmtid="{D5CDD505-2E9C-101B-9397-08002B2CF9AE}" pid="10" name="MSIP_Label_8d94c5f0-83f8-4bf2-af20-ac59dfc3b7e2_SetDate">
    <vt:lpwstr>2021-05-14T07:55:27Z</vt:lpwstr>
  </property>
  <property fmtid="{D5CDD505-2E9C-101B-9397-08002B2CF9AE}" pid="11" name="MSIP_Label_8d94c5f0-83f8-4bf2-af20-ac59dfc3b7e2_Name">
    <vt:lpwstr>Veřejné</vt:lpwstr>
  </property>
  <property fmtid="{D5CDD505-2E9C-101B-9397-08002B2CF9AE}" pid="12" name="MSIP_Label_8d94c5f0-83f8-4bf2-af20-ac59dfc3b7e2_ContentBits">
    <vt:lpwstr>1</vt:lpwstr>
  </property>
</Properties>
</file>