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27E6F" w:rsidR="002C20CF" w:rsidP="00506CE5" w:rsidRDefault="008C235C" w14:paraId="125A1E11" w14:textId="75B8CD97">
      <w:pPr>
        <w:pStyle w:val="K-Nadpis1"/>
        <w:rPr>
          <w:rFonts w:asciiTheme="minorHAnsi" w:hAnsiTheme="minorHAnsi" w:cstheme="minorHAnsi"/>
          <w:color w:val="auto"/>
        </w:rPr>
      </w:pPr>
      <w:bookmarkStart w:name="_Hlk58308961" w:id="0"/>
      <w:r w:rsidRPr="00A27E6F">
        <w:rPr>
          <w:rFonts w:asciiTheme="minorHAnsi" w:hAnsiTheme="minorHAnsi" w:cstheme="minorHAnsi"/>
          <w:color w:val="auto"/>
        </w:rPr>
        <w:t>2</w:t>
      </w:r>
      <w:r w:rsidRPr="00A27E6F" w:rsidR="00154B73">
        <w:rPr>
          <w:rFonts w:asciiTheme="minorHAnsi" w:hAnsiTheme="minorHAnsi" w:cstheme="minorHAnsi"/>
          <w:color w:val="auto"/>
        </w:rPr>
        <w:t>.</w:t>
      </w:r>
      <w:r w:rsidRPr="00A27E6F">
        <w:rPr>
          <w:rFonts w:asciiTheme="minorHAnsi" w:hAnsiTheme="minorHAnsi" w:cstheme="minorHAnsi"/>
          <w:color w:val="auto"/>
        </w:rPr>
        <w:t>4</w:t>
      </w:r>
      <w:r w:rsidRPr="00A27E6F" w:rsidR="00154B73">
        <w:rPr>
          <w:rFonts w:asciiTheme="minorHAnsi" w:hAnsiTheme="minorHAnsi" w:cstheme="minorHAnsi"/>
          <w:color w:val="auto"/>
        </w:rPr>
        <w:t xml:space="preserve"> </w:t>
      </w:r>
      <w:r w:rsidRPr="00A27E6F">
        <w:rPr>
          <w:rFonts w:asciiTheme="minorHAnsi" w:hAnsiTheme="minorHAnsi" w:cstheme="minorHAnsi"/>
          <w:color w:val="auto"/>
        </w:rPr>
        <w:t>Rozvoj čisté mobility</w:t>
      </w:r>
      <w:bookmarkEnd w:id="0"/>
    </w:p>
    <w:p w:rsidRPr="00A27E6F" w:rsidR="002C20CF" w:rsidP="00D43F00" w:rsidRDefault="002C20CF" w14:paraId="26403E88" w14:textId="77777777">
      <w:pPr>
        <w:pStyle w:val="Nadpis2"/>
        <w:tabs>
          <w:tab w:val="center" w:pos="4819"/>
        </w:tabs>
        <w:spacing w:after="120"/>
        <w:rPr>
          <w:rFonts w:asciiTheme="minorHAnsi" w:hAnsiTheme="minorHAnsi" w:cstheme="minorHAnsi"/>
          <w:color w:val="auto"/>
          <w:sz w:val="20"/>
          <w:szCs w:val="20"/>
        </w:rPr>
      </w:pPr>
      <w:r w:rsidRPr="00A27E6F">
        <w:rPr>
          <w:rStyle w:val="K-Nadpis2Char"/>
          <w:rFonts w:asciiTheme="minorHAnsi" w:hAnsiTheme="minorHAnsi" w:cstheme="minorHAnsi"/>
          <w:b/>
          <w:color w:val="auto"/>
          <w:sz w:val="20"/>
          <w:szCs w:val="20"/>
        </w:rPr>
        <w:t xml:space="preserve">1. </w:t>
      </w:r>
      <w:r w:rsidRPr="00A27E6F" w:rsidR="00EF374D">
        <w:rPr>
          <w:rStyle w:val="K-Nadpis2Char"/>
          <w:rFonts w:asciiTheme="minorHAnsi" w:hAnsiTheme="minorHAnsi" w:cstheme="minorHAnsi"/>
          <w:b/>
          <w:color w:val="auto"/>
          <w:sz w:val="20"/>
          <w:szCs w:val="20"/>
        </w:rPr>
        <w:t>Popis</w:t>
      </w:r>
      <w:r w:rsidRPr="00A27E6F">
        <w:rPr>
          <w:rStyle w:val="K-Nadpis2Char"/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A27E6F" w:rsidR="00EF374D">
        <w:rPr>
          <w:rStyle w:val="K-Nadpis2Char"/>
          <w:rFonts w:asciiTheme="minorHAnsi" w:hAnsiTheme="minorHAnsi" w:cstheme="minorHAnsi"/>
          <w:b/>
          <w:color w:val="auto"/>
          <w:sz w:val="20"/>
          <w:szCs w:val="20"/>
        </w:rPr>
        <w:t>komponenty</w:t>
      </w:r>
      <w:r w:rsidRPr="00A27E6F" w:rsidR="00D43F00">
        <w:rPr>
          <w:rStyle w:val="K-Nadpis2Char"/>
          <w:rFonts w:asciiTheme="minorHAnsi" w:hAnsiTheme="minorHAnsi" w:cstheme="minorHAnsi"/>
          <w:b/>
          <w:color w:val="auto"/>
          <w:sz w:val="20"/>
          <w:szCs w:val="20"/>
        </w:rPr>
        <w:tab/>
      </w:r>
    </w:p>
    <w:p w:rsidRPr="00A27E6F" w:rsidR="002C20CF" w:rsidP="00950ADA" w:rsidRDefault="00EF374D" w14:paraId="09AB9E68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27E6F">
        <w:rPr>
          <w:rStyle w:val="K-TabulkaChar"/>
          <w:rFonts w:asciiTheme="minorHAnsi" w:hAnsiTheme="minorHAnsi" w:cstheme="minorHAnsi"/>
          <w:color w:val="auto"/>
          <w:sz w:val="20"/>
          <w:szCs w:val="20"/>
        </w:rPr>
        <w:t xml:space="preserve">Souhrnný box </w:t>
      </w:r>
      <w:r w:rsidRPr="00A27E6F" w:rsidR="0091766D">
        <w:rPr>
          <w:rStyle w:val="K-TabulkaChar"/>
          <w:rFonts w:asciiTheme="minorHAnsi" w:hAnsiTheme="minorHAnsi" w:cstheme="minorHAnsi"/>
          <w:color w:val="auto"/>
          <w:sz w:val="20"/>
          <w:szCs w:val="20"/>
        </w:rPr>
        <w:t xml:space="preserve">pro </w:t>
      </w:r>
      <w:r w:rsidRPr="00A27E6F" w:rsidR="00154B73">
        <w:rPr>
          <w:rStyle w:val="K-TabulkaChar"/>
          <w:rFonts w:asciiTheme="minorHAnsi" w:hAnsiTheme="minorHAnsi" w:cstheme="minorHAnsi"/>
          <w:color w:val="auto"/>
          <w:sz w:val="20"/>
          <w:szCs w:val="20"/>
        </w:rPr>
        <w:t xml:space="preserve">komponentu </w:t>
      </w:r>
      <w:r w:rsidRPr="00A27E6F" w:rsidR="00C21E4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2.4 Rozvoj čisté mobility </w:t>
      </w:r>
    </w:p>
    <w:p w:rsidRPr="00A27E6F" w:rsidR="00EF374D" w:rsidP="00950ADA" w:rsidRDefault="00EF374D" w14:paraId="17E8BBB3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/>
        <w:jc w:val="both"/>
        <w:rPr>
          <w:rStyle w:val="K-TextChar"/>
          <w:rFonts w:asciiTheme="minorHAnsi" w:hAnsiTheme="minorHAnsi" w:cstheme="minorHAnsi"/>
          <w:color w:val="auto"/>
          <w:sz w:val="20"/>
          <w:szCs w:val="20"/>
        </w:rPr>
      </w:pPr>
      <w:r w:rsidRPr="00A27E6F">
        <w:rPr>
          <w:rStyle w:val="K-TextChar"/>
          <w:rFonts w:asciiTheme="minorHAnsi" w:hAnsiTheme="minorHAnsi" w:cstheme="minorHAnsi"/>
          <w:b/>
          <w:color w:val="auto"/>
          <w:sz w:val="20"/>
          <w:szCs w:val="20"/>
        </w:rPr>
        <w:t>Oblast politiky/obor zájmu</w:t>
      </w:r>
      <w:r w:rsidRPr="00A27E6F" w:rsidR="0015052B">
        <w:rPr>
          <w:rStyle w:val="K-TextInfoChar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27E6F" w:rsidR="0015052B">
        <w:rPr>
          <w:rStyle w:val="K-TextInfoChar"/>
          <w:rFonts w:asciiTheme="minorHAnsi" w:hAnsiTheme="minorHAnsi" w:cstheme="minorHAnsi"/>
          <w:i w:val="0"/>
          <w:iCs w:val="0"/>
          <w:color w:val="auto"/>
          <w:sz w:val="20"/>
          <w:szCs w:val="20"/>
          <w:lang w:val="en-GB"/>
        </w:rPr>
        <w:t xml:space="preserve">EK: </w:t>
      </w:r>
      <w:r w:rsidRPr="00A27E6F" w:rsidR="00C46EB1">
        <w:rPr>
          <w:rStyle w:val="K-TextInfoChar"/>
          <w:rFonts w:asciiTheme="minorHAnsi" w:hAnsiTheme="minorHAnsi" w:cstheme="minorHAnsi"/>
          <w:i w:val="0"/>
          <w:iCs w:val="0"/>
          <w:color w:val="auto"/>
          <w:sz w:val="20"/>
          <w:szCs w:val="20"/>
          <w:lang w:val="en-GB"/>
        </w:rPr>
        <w:t xml:space="preserve">clean </w:t>
      </w:r>
      <w:r w:rsidRPr="00A27E6F" w:rsidR="0015052B">
        <w:rPr>
          <w:rStyle w:val="K-TextInfoChar"/>
          <w:rFonts w:asciiTheme="minorHAnsi" w:hAnsiTheme="minorHAnsi" w:cstheme="minorHAnsi"/>
          <w:i w:val="0"/>
          <w:iCs w:val="0"/>
          <w:color w:val="auto"/>
          <w:sz w:val="20"/>
          <w:szCs w:val="20"/>
          <w:lang w:val="en-GB"/>
        </w:rPr>
        <w:t>mobility and transport;</w:t>
      </w:r>
      <w:r w:rsidRPr="00A27E6F" w:rsidR="00A64EEF">
        <w:rPr>
          <w:rStyle w:val="K-TextInfoChar"/>
          <w:rFonts w:asciiTheme="minorHAnsi" w:hAnsiTheme="minorHAnsi" w:cstheme="minorHAnsi"/>
          <w:i w:val="0"/>
          <w:iCs w:val="0"/>
          <w:color w:val="auto"/>
          <w:sz w:val="20"/>
          <w:szCs w:val="20"/>
          <w:lang w:val="en-GB"/>
        </w:rPr>
        <w:t xml:space="preserve"> </w:t>
      </w:r>
      <w:r w:rsidRPr="00A27E6F" w:rsidR="00F054D8">
        <w:rPr>
          <w:rStyle w:val="K-TextInfoChar"/>
          <w:rFonts w:asciiTheme="minorHAnsi" w:hAnsiTheme="minorHAnsi" w:cstheme="minorHAnsi"/>
          <w:i w:val="0"/>
          <w:iCs w:val="0"/>
          <w:color w:val="auto"/>
          <w:sz w:val="20"/>
          <w:szCs w:val="20"/>
          <w:lang w:val="en-GB"/>
        </w:rPr>
        <w:t xml:space="preserve">urban mobility and transport; </w:t>
      </w:r>
      <w:r w:rsidRPr="00A27E6F" w:rsidR="00C46EB1">
        <w:rPr>
          <w:rStyle w:val="K-TextInfoChar"/>
          <w:rFonts w:asciiTheme="minorHAnsi" w:hAnsiTheme="minorHAnsi" w:cstheme="minorHAnsi"/>
          <w:i w:val="0"/>
          <w:iCs w:val="0"/>
          <w:color w:val="auto"/>
          <w:sz w:val="20"/>
          <w:szCs w:val="20"/>
          <w:lang w:val="en-GB"/>
        </w:rPr>
        <w:t>deployment of alternative fuels</w:t>
      </w:r>
      <w:r w:rsidRPr="00A27E6F" w:rsidR="00636E0D">
        <w:rPr>
          <w:rStyle w:val="K-TextInfoChar"/>
          <w:rFonts w:asciiTheme="minorHAnsi" w:hAnsiTheme="minorHAnsi" w:cstheme="minorHAnsi"/>
          <w:i w:val="0"/>
          <w:iCs w:val="0"/>
          <w:color w:val="auto"/>
          <w:sz w:val="20"/>
          <w:szCs w:val="20"/>
          <w:lang w:val="en-GB"/>
        </w:rPr>
        <w:t xml:space="preserve"> infrastructure</w:t>
      </w:r>
      <w:r w:rsidRPr="00A27E6F" w:rsidR="00C46EB1">
        <w:rPr>
          <w:rStyle w:val="K-TextInfoChar"/>
          <w:rFonts w:asciiTheme="minorHAnsi" w:hAnsiTheme="minorHAnsi" w:cstheme="minorHAnsi"/>
          <w:i w:val="0"/>
          <w:iCs w:val="0"/>
          <w:color w:val="auto"/>
          <w:sz w:val="20"/>
          <w:szCs w:val="20"/>
          <w:lang w:val="en-GB"/>
        </w:rPr>
        <w:t xml:space="preserve">; </w:t>
      </w:r>
      <w:r w:rsidRPr="00A27E6F" w:rsidR="00A84F7F">
        <w:rPr>
          <w:rStyle w:val="K-TextInfoChar"/>
          <w:rFonts w:asciiTheme="minorHAnsi" w:hAnsiTheme="minorHAnsi" w:cstheme="minorHAnsi"/>
          <w:i w:val="0"/>
          <w:iCs w:val="0"/>
          <w:color w:val="auto"/>
          <w:sz w:val="20"/>
          <w:szCs w:val="20"/>
          <w:lang w:val="en-GB"/>
        </w:rPr>
        <w:t>CO2 emission performance standards for new passenger cars and for new light commercial vehicles</w:t>
      </w:r>
      <w:r w:rsidRPr="00A27E6F" w:rsidR="008F4DAB">
        <w:rPr>
          <w:rStyle w:val="K-TextInfoChar"/>
          <w:rFonts w:asciiTheme="minorHAnsi" w:hAnsiTheme="minorHAnsi" w:cstheme="minorHAnsi"/>
          <w:i w:val="0"/>
          <w:iCs w:val="0"/>
          <w:color w:val="auto"/>
          <w:sz w:val="20"/>
          <w:szCs w:val="20"/>
          <w:lang w:val="en-GB"/>
        </w:rPr>
        <w:t xml:space="preserve">; energy from renewable sources; </w:t>
      </w:r>
      <w:r w:rsidRPr="00A27E6F" w:rsidR="00406F22">
        <w:rPr>
          <w:rStyle w:val="K-TextInfoChar"/>
          <w:rFonts w:asciiTheme="minorHAnsi" w:hAnsiTheme="minorHAnsi" w:cstheme="minorHAnsi"/>
          <w:i w:val="0"/>
          <w:iCs w:val="0"/>
          <w:color w:val="auto"/>
          <w:sz w:val="20"/>
          <w:szCs w:val="20"/>
          <w:lang w:val="en-GB"/>
        </w:rPr>
        <w:t>e</w:t>
      </w:r>
      <w:r w:rsidRPr="00A27E6F" w:rsidR="0015052B">
        <w:rPr>
          <w:rStyle w:val="K-TextInfoChar"/>
          <w:rFonts w:asciiTheme="minorHAnsi" w:hAnsiTheme="minorHAnsi" w:cstheme="minorHAnsi"/>
          <w:i w:val="0"/>
          <w:iCs w:val="0"/>
          <w:color w:val="auto"/>
          <w:sz w:val="20"/>
          <w:szCs w:val="20"/>
          <w:lang w:val="en-GB"/>
        </w:rPr>
        <w:t>nergy efficiency</w:t>
      </w:r>
      <w:r w:rsidRPr="00A27E6F" w:rsidR="00F054D8">
        <w:rPr>
          <w:rStyle w:val="K-TextInfoChar"/>
          <w:rFonts w:asciiTheme="minorHAnsi" w:hAnsiTheme="minorHAnsi" w:cstheme="minorHAnsi"/>
          <w:i w:val="0"/>
          <w:iCs w:val="0"/>
          <w:color w:val="auto"/>
          <w:sz w:val="20"/>
          <w:szCs w:val="20"/>
          <w:lang w:val="en-GB"/>
        </w:rPr>
        <w:t>;</w:t>
      </w:r>
      <w:r w:rsidRPr="00A27E6F" w:rsidR="0015052B">
        <w:rPr>
          <w:rStyle w:val="K-TextInfoChar"/>
          <w:rFonts w:asciiTheme="minorHAnsi" w:hAnsiTheme="minorHAnsi" w:cstheme="minorHAnsi"/>
          <w:i w:val="0"/>
          <w:iCs w:val="0"/>
          <w:color w:val="auto"/>
          <w:sz w:val="20"/>
          <w:szCs w:val="20"/>
          <w:lang w:val="en-GB"/>
        </w:rPr>
        <w:t xml:space="preserve"> climate policy</w:t>
      </w:r>
      <w:r w:rsidRPr="00A27E6F" w:rsidR="00F054D8">
        <w:rPr>
          <w:rStyle w:val="K-TextInfoChar"/>
          <w:rFonts w:asciiTheme="minorHAnsi" w:hAnsiTheme="minorHAnsi" w:cstheme="minorHAnsi"/>
          <w:i w:val="0"/>
          <w:iCs w:val="0"/>
          <w:color w:val="auto"/>
          <w:sz w:val="20"/>
          <w:szCs w:val="20"/>
          <w:lang w:val="en-GB"/>
        </w:rPr>
        <w:t>;</w:t>
      </w:r>
      <w:r w:rsidRPr="00A27E6F" w:rsidR="0015052B">
        <w:rPr>
          <w:rStyle w:val="K-TextInfoChar"/>
          <w:rFonts w:asciiTheme="minorHAnsi" w:hAnsiTheme="minorHAnsi" w:cstheme="minorHAnsi"/>
          <w:i w:val="0"/>
          <w:iCs w:val="0"/>
          <w:color w:val="auto"/>
          <w:sz w:val="20"/>
          <w:szCs w:val="20"/>
          <w:lang w:val="en-GB"/>
        </w:rPr>
        <w:t xml:space="preserve"> </w:t>
      </w:r>
      <w:r w:rsidRPr="00A27E6F" w:rsidR="00406F22">
        <w:rPr>
          <w:rStyle w:val="K-TextInfoChar"/>
          <w:rFonts w:asciiTheme="minorHAnsi" w:hAnsiTheme="minorHAnsi" w:cstheme="minorHAnsi"/>
          <w:i w:val="0"/>
          <w:iCs w:val="0"/>
          <w:color w:val="auto"/>
          <w:sz w:val="20"/>
          <w:szCs w:val="20"/>
          <w:lang w:val="en-GB"/>
        </w:rPr>
        <w:t>e</w:t>
      </w:r>
      <w:r w:rsidRPr="00A27E6F" w:rsidR="0015052B">
        <w:rPr>
          <w:rStyle w:val="K-TextInfoChar"/>
          <w:rFonts w:asciiTheme="minorHAnsi" w:hAnsiTheme="minorHAnsi" w:cstheme="minorHAnsi"/>
          <w:i w:val="0"/>
          <w:iCs w:val="0"/>
          <w:color w:val="auto"/>
          <w:sz w:val="20"/>
          <w:szCs w:val="20"/>
          <w:lang w:val="en-GB"/>
        </w:rPr>
        <w:t>nergy policy</w:t>
      </w:r>
      <w:r w:rsidRPr="00A27E6F" w:rsidR="00F054D8">
        <w:rPr>
          <w:rStyle w:val="K-TextInfoChar"/>
          <w:rFonts w:asciiTheme="minorHAnsi" w:hAnsiTheme="minorHAnsi" w:cstheme="minorHAnsi"/>
          <w:i w:val="0"/>
          <w:iCs w:val="0"/>
          <w:color w:val="auto"/>
          <w:sz w:val="20"/>
          <w:szCs w:val="20"/>
          <w:lang w:val="en-GB"/>
        </w:rPr>
        <w:t>;</w:t>
      </w:r>
      <w:r w:rsidRPr="00A27E6F" w:rsidR="00A64EEF">
        <w:rPr>
          <w:rStyle w:val="K-TextInfoChar"/>
          <w:rFonts w:asciiTheme="minorHAnsi" w:hAnsiTheme="minorHAnsi" w:cstheme="minorHAnsi"/>
          <w:i w:val="0"/>
          <w:iCs w:val="0"/>
          <w:color w:val="auto"/>
          <w:sz w:val="20"/>
          <w:szCs w:val="20"/>
          <w:lang w:val="en-GB"/>
        </w:rPr>
        <w:t xml:space="preserve"> </w:t>
      </w:r>
      <w:r w:rsidRPr="00A27E6F" w:rsidR="0015052B">
        <w:rPr>
          <w:rStyle w:val="K-TextInfoChar"/>
          <w:rFonts w:asciiTheme="minorHAnsi" w:hAnsiTheme="minorHAnsi" w:cstheme="minorHAnsi"/>
          <w:i w:val="0"/>
          <w:iCs w:val="0"/>
          <w:color w:val="auto"/>
          <w:sz w:val="20"/>
          <w:szCs w:val="20"/>
          <w:lang w:val="en-GB"/>
        </w:rPr>
        <w:t>industrial policy</w:t>
      </w:r>
      <w:r w:rsidRPr="00A27E6F" w:rsidR="00F054D8">
        <w:rPr>
          <w:rStyle w:val="K-TextInfoChar"/>
          <w:rFonts w:asciiTheme="minorHAnsi" w:hAnsiTheme="minorHAnsi" w:cstheme="minorHAnsi"/>
          <w:i w:val="0"/>
          <w:iCs w:val="0"/>
          <w:color w:val="auto"/>
          <w:sz w:val="20"/>
          <w:szCs w:val="20"/>
          <w:lang w:val="en-GB"/>
        </w:rPr>
        <w:t xml:space="preserve"> </w:t>
      </w:r>
    </w:p>
    <w:p w:rsidRPr="00A27E6F" w:rsidR="00C21E49" w:rsidP="00950ADA" w:rsidRDefault="00EF374D" w14:paraId="5675732E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/>
        <w:jc w:val="both"/>
        <w:rPr>
          <w:rStyle w:val="K-TextChar"/>
          <w:rFonts w:asciiTheme="minorHAnsi" w:hAnsiTheme="minorHAnsi" w:cstheme="minorHAnsi"/>
          <w:b/>
          <w:color w:val="auto"/>
          <w:sz w:val="20"/>
          <w:szCs w:val="20"/>
        </w:rPr>
      </w:pPr>
      <w:r w:rsidRPr="00A27E6F">
        <w:rPr>
          <w:rStyle w:val="K-TextChar"/>
          <w:rFonts w:asciiTheme="minorHAnsi" w:hAnsiTheme="minorHAnsi" w:cstheme="minorHAnsi"/>
          <w:b/>
          <w:color w:val="auto"/>
          <w:sz w:val="20"/>
          <w:szCs w:val="20"/>
        </w:rPr>
        <w:t>Cíl:</w:t>
      </w:r>
      <w:r w:rsidRPr="00A27E6F" w:rsidR="00095EBD">
        <w:rPr>
          <w:rStyle w:val="K-TextChar"/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</w:p>
    <w:p w:rsidRPr="00A27E6F" w:rsidR="000B75FA" w:rsidP="005905DC" w:rsidRDefault="00C40AA7" w14:paraId="72D08B8B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/>
        <w:jc w:val="both"/>
        <w:rPr>
          <w:rStyle w:val="K-TextChar"/>
          <w:rFonts w:asciiTheme="minorHAnsi" w:hAnsiTheme="minorHAnsi" w:cstheme="minorHAnsi"/>
          <w:bCs/>
          <w:color w:val="auto"/>
          <w:sz w:val="20"/>
          <w:szCs w:val="20"/>
        </w:rPr>
      </w:pPr>
      <w:r w:rsidRPr="00A27E6F">
        <w:rPr>
          <w:rStyle w:val="K-TextChar"/>
          <w:rFonts w:asciiTheme="minorHAnsi" w:hAnsiTheme="minorHAnsi" w:cstheme="minorHAnsi"/>
          <w:bCs/>
          <w:color w:val="auto"/>
          <w:sz w:val="20"/>
          <w:szCs w:val="20"/>
        </w:rPr>
        <w:t>Cílem je urychlit výstavbu dobíjecích a plnicích stanic pro alternativní paliva a zvýšit penetraci vozidel na alternativní paliva.</w:t>
      </w:r>
      <w:r w:rsidRPr="00A27E6F" w:rsidR="00342FEB">
        <w:rPr>
          <w:rStyle w:val="K-TextChar"/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:rsidRPr="00A27E6F" w:rsidR="00914682" w:rsidP="00EE6AFD" w:rsidRDefault="00022377" w14:paraId="4586398C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/>
        <w:jc w:val="both"/>
        <w:rPr>
          <w:rStyle w:val="K-TextChar"/>
          <w:rFonts w:asciiTheme="minorHAnsi" w:hAnsiTheme="minorHAnsi" w:cstheme="minorHAnsi"/>
          <w:bCs/>
          <w:color w:val="auto"/>
          <w:sz w:val="20"/>
          <w:szCs w:val="20"/>
        </w:rPr>
      </w:pPr>
      <w:r w:rsidRPr="00A27E6F">
        <w:rPr>
          <w:rStyle w:val="K-TextChar"/>
          <w:rFonts w:asciiTheme="minorHAnsi" w:hAnsiTheme="minorHAnsi" w:cstheme="minorHAnsi"/>
          <w:bCs/>
          <w:color w:val="auto"/>
          <w:sz w:val="20"/>
          <w:szCs w:val="20"/>
        </w:rPr>
        <w:t>Komponenta počítá s podporou zaměřenou na budování infrastruktury dobíjecích a plnících stanic a</w:t>
      </w:r>
      <w:r w:rsidRPr="00A27E6F" w:rsidR="00914682">
        <w:rPr>
          <w:rStyle w:val="K-TextChar"/>
          <w:rFonts w:asciiTheme="minorHAnsi" w:hAnsiTheme="minorHAnsi" w:cstheme="minorHAnsi"/>
          <w:bCs/>
          <w:color w:val="auto"/>
          <w:sz w:val="20"/>
          <w:szCs w:val="20"/>
        </w:rPr>
        <w:t> </w:t>
      </w:r>
      <w:r w:rsidRPr="00A27E6F">
        <w:rPr>
          <w:rStyle w:val="K-TextChar"/>
          <w:rFonts w:asciiTheme="minorHAnsi" w:hAnsiTheme="minorHAnsi" w:cstheme="minorHAnsi"/>
          <w:bCs/>
          <w:color w:val="auto"/>
          <w:sz w:val="20"/>
          <w:szCs w:val="20"/>
        </w:rPr>
        <w:t xml:space="preserve">pořízení </w:t>
      </w:r>
      <w:proofErr w:type="spellStart"/>
      <w:r w:rsidRPr="00A27E6F">
        <w:rPr>
          <w:rStyle w:val="K-TextChar"/>
          <w:rFonts w:asciiTheme="minorHAnsi" w:hAnsiTheme="minorHAnsi" w:cstheme="minorHAnsi"/>
          <w:bCs/>
          <w:color w:val="auto"/>
          <w:sz w:val="20"/>
          <w:szCs w:val="20"/>
        </w:rPr>
        <w:t>nízkoemisních</w:t>
      </w:r>
      <w:proofErr w:type="spellEnd"/>
      <w:r w:rsidRPr="00A27E6F">
        <w:rPr>
          <w:rStyle w:val="K-TextChar"/>
          <w:rFonts w:asciiTheme="minorHAnsi" w:hAnsiTheme="minorHAnsi" w:cstheme="minorHAnsi"/>
          <w:bCs/>
          <w:color w:val="auto"/>
          <w:sz w:val="20"/>
          <w:szCs w:val="20"/>
        </w:rPr>
        <w:t xml:space="preserve"> a bezemisních vozidel na alternativní paliva.</w:t>
      </w:r>
    </w:p>
    <w:p w:rsidRPr="00A27E6F" w:rsidR="00EF374D" w:rsidP="00950ADA" w:rsidRDefault="00EF374D" w14:paraId="495A98FC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/>
        <w:jc w:val="both"/>
        <w:rPr>
          <w:rStyle w:val="K-TextChar"/>
          <w:rFonts w:asciiTheme="minorHAnsi" w:hAnsiTheme="minorHAnsi" w:cstheme="minorHAnsi"/>
          <w:b/>
          <w:color w:val="auto"/>
          <w:sz w:val="20"/>
          <w:szCs w:val="20"/>
        </w:rPr>
      </w:pPr>
      <w:r w:rsidRPr="00A27E6F">
        <w:rPr>
          <w:rStyle w:val="K-TextChar"/>
          <w:rFonts w:asciiTheme="minorHAnsi" w:hAnsiTheme="minorHAnsi" w:cstheme="minorHAnsi"/>
          <w:b/>
          <w:color w:val="auto"/>
          <w:sz w:val="20"/>
          <w:szCs w:val="20"/>
        </w:rPr>
        <w:t>Reformy a/nebo investice</w:t>
      </w:r>
      <w:bookmarkStart w:name="_Ref63235425" w:id="1"/>
      <w:r w:rsidRPr="00A27E6F">
        <w:rPr>
          <w:rStyle w:val="K-TextChar"/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footnoteReference w:id="1"/>
      </w:r>
      <w:bookmarkEnd w:id="1"/>
      <w:r w:rsidRPr="00A27E6F">
        <w:rPr>
          <w:rStyle w:val="K-TextChar"/>
          <w:rFonts w:asciiTheme="minorHAnsi" w:hAnsiTheme="minorHAnsi" w:cstheme="minorHAnsi"/>
          <w:b/>
          <w:color w:val="auto"/>
          <w:sz w:val="20"/>
          <w:szCs w:val="20"/>
        </w:rPr>
        <w:t>:</w:t>
      </w:r>
      <w:r w:rsidRPr="00A27E6F" w:rsidR="00095EBD">
        <w:rPr>
          <w:rStyle w:val="K-TextChar"/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</w:p>
    <w:p w:rsidRPr="00A27E6F" w:rsidR="00C21E49" w:rsidP="00950ADA" w:rsidRDefault="00C21E49" w14:paraId="33ABCF51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/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</w:pPr>
      <w:r w:rsidRPr="00A27E6F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Reformy a/nebo investice v</w:t>
      </w:r>
      <w:r w:rsidRPr="00A27E6F" w:rsidR="00741E3B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 </w:t>
      </w:r>
      <w:r w:rsidRPr="00A27E6F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 xml:space="preserve">rámci této komponenty </w:t>
      </w:r>
    </w:p>
    <w:p w:rsidRPr="00A27E6F" w:rsidR="00C21E49" w:rsidP="00950ADA" w:rsidRDefault="00C21E49" w14:paraId="613D331C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iCs/>
          <w:color w:val="auto"/>
          <w:sz w:val="20"/>
          <w:szCs w:val="20"/>
          <w:u w:val="single"/>
        </w:rPr>
      </w:pPr>
      <w:bookmarkStart w:name="_Hlk58312537" w:id="2"/>
      <w:r w:rsidRPr="00A27E6F">
        <w:rPr>
          <w:rFonts w:asciiTheme="minorHAnsi" w:hAnsiTheme="minorHAnsi" w:cstheme="minorHAnsi"/>
          <w:iCs/>
          <w:color w:val="auto"/>
          <w:sz w:val="20"/>
          <w:szCs w:val="20"/>
          <w:u w:val="single"/>
        </w:rPr>
        <w:t xml:space="preserve">1. Budování infrastruktury </w:t>
      </w:r>
      <w:bookmarkEnd w:id="2"/>
    </w:p>
    <w:p w:rsidRPr="00A27E6F" w:rsidR="00C21E49" w:rsidP="5CEDD745" w:rsidRDefault="00C21E49" w14:paraId="03DEAD77" w14:textId="0FF6BF8E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Bidi"/>
          <w:color w:val="auto"/>
          <w:sz w:val="20"/>
          <w:szCs w:val="20"/>
        </w:rPr>
      </w:pPr>
      <w:r w:rsidRPr="5CEDD745">
        <w:rPr>
          <w:rFonts w:asciiTheme="minorHAnsi" w:hAnsiTheme="minorHAnsi" w:cstheme="minorBidi"/>
          <w:color w:val="auto"/>
          <w:sz w:val="20"/>
          <w:szCs w:val="20"/>
        </w:rPr>
        <w:t xml:space="preserve">Budování infrastruktury pro veřejnou dopravu (Praha) (gesce </w:t>
      </w:r>
      <w:r w:rsidRPr="5CEDD745" w:rsidR="11BA7152">
        <w:rPr>
          <w:rFonts w:asciiTheme="minorHAnsi" w:hAnsiTheme="minorHAnsi" w:cstheme="minorBidi"/>
          <w:color w:val="auto"/>
          <w:sz w:val="20"/>
          <w:szCs w:val="20"/>
        </w:rPr>
        <w:t>MD</w:t>
      </w:r>
      <w:r w:rsidRPr="5CEDD745">
        <w:rPr>
          <w:rFonts w:asciiTheme="minorHAnsi" w:hAnsiTheme="minorHAnsi" w:cstheme="minorBidi"/>
          <w:color w:val="auto"/>
          <w:sz w:val="20"/>
          <w:szCs w:val="20"/>
        </w:rPr>
        <w:t xml:space="preserve">) </w:t>
      </w:r>
    </w:p>
    <w:p w:rsidRPr="00A27E6F" w:rsidR="00C21E49" w:rsidP="00950ADA" w:rsidRDefault="00C21E49" w14:paraId="10B15E1D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A27E6F">
        <w:rPr>
          <w:rFonts w:asciiTheme="minorHAnsi" w:hAnsiTheme="minorHAnsi" w:cstheme="minorHAnsi"/>
          <w:iCs/>
          <w:color w:val="auto"/>
          <w:sz w:val="20"/>
          <w:szCs w:val="20"/>
        </w:rPr>
        <w:t>Budování neveřejné infrastruktury</w:t>
      </w:r>
      <w:r w:rsidRPr="00A27E6F" w:rsidR="00D656BF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pro podnikatele</w:t>
      </w:r>
      <w:r w:rsidRPr="00A27E6F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(gesce MPO) </w:t>
      </w:r>
    </w:p>
    <w:p w:rsidRPr="00A27E6F" w:rsidR="00C21E49" w:rsidP="5A5D6E64" w:rsidRDefault="00C21E49" w14:paraId="7F7434A1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color w:val="auto"/>
          <w:sz w:val="20"/>
          <w:szCs w:val="20"/>
        </w:rPr>
      </w:pPr>
      <w:r w:rsidRPr="00A27E6F">
        <w:rPr>
          <w:rFonts w:asciiTheme="minorHAnsi" w:hAnsiTheme="minorHAnsi" w:cstheme="minorHAnsi"/>
          <w:color w:val="auto"/>
          <w:sz w:val="20"/>
          <w:szCs w:val="20"/>
        </w:rPr>
        <w:t xml:space="preserve">Budování dobíjecích bodů pro obytné budovy (gesce </w:t>
      </w:r>
      <w:r w:rsidRPr="00A27E6F" w:rsidR="00327136">
        <w:rPr>
          <w:rFonts w:asciiTheme="minorHAnsi" w:hAnsiTheme="minorHAnsi" w:cstheme="minorHAnsi"/>
          <w:color w:val="auto"/>
          <w:sz w:val="20"/>
          <w:szCs w:val="20"/>
        </w:rPr>
        <w:t>MŽP</w:t>
      </w:r>
      <w:r w:rsidRPr="00A27E6F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</w:p>
    <w:p w:rsidRPr="00A27E6F" w:rsidR="00914682" w:rsidP="274C9896" w:rsidRDefault="00914682" w14:paraId="28140A3D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Calibri" w:asciiTheme="minorHAnsi" w:hAnsiTheme="minorHAnsi" w:cstheme="minorHAnsi"/>
          <w:color w:val="000000" w:themeColor="text1"/>
          <w:sz w:val="20"/>
          <w:szCs w:val="20"/>
        </w:rPr>
      </w:pPr>
    </w:p>
    <w:p w:rsidRPr="00A27E6F" w:rsidR="00C21E49" w:rsidP="00950ADA" w:rsidRDefault="00C21E49" w14:paraId="23D9827B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iCs/>
          <w:color w:val="auto"/>
          <w:sz w:val="20"/>
          <w:szCs w:val="20"/>
          <w:u w:val="single"/>
        </w:rPr>
      </w:pPr>
      <w:bookmarkStart w:name="_Hlk58312500" w:id="3"/>
      <w:r w:rsidRPr="00A27E6F">
        <w:rPr>
          <w:rFonts w:asciiTheme="minorHAnsi" w:hAnsiTheme="minorHAnsi" w:cstheme="minorHAnsi"/>
          <w:iCs/>
          <w:color w:val="auto"/>
          <w:sz w:val="20"/>
          <w:szCs w:val="20"/>
          <w:u w:val="single"/>
        </w:rPr>
        <w:t xml:space="preserve">2. Podpora nákupu vozidel </w:t>
      </w:r>
    </w:p>
    <w:bookmarkEnd w:id="3"/>
    <w:p w:rsidRPr="00A27E6F" w:rsidR="00C21E49" w:rsidP="00950ADA" w:rsidRDefault="00C21E49" w14:paraId="6A6F64A0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A27E6F">
        <w:rPr>
          <w:rFonts w:asciiTheme="minorHAnsi" w:hAnsiTheme="minorHAnsi" w:cstheme="minorHAnsi"/>
          <w:iCs/>
          <w:color w:val="auto"/>
          <w:sz w:val="20"/>
          <w:szCs w:val="20"/>
        </w:rPr>
        <w:t>Vozidla (el, H2) pro podnikatelské subjekty včetně e-</w:t>
      </w:r>
      <w:proofErr w:type="spellStart"/>
      <w:r w:rsidRPr="00A27E6F">
        <w:rPr>
          <w:rFonts w:asciiTheme="minorHAnsi" w:hAnsiTheme="minorHAnsi" w:cstheme="minorHAnsi"/>
          <w:iCs/>
          <w:color w:val="auto"/>
          <w:sz w:val="20"/>
          <w:szCs w:val="20"/>
        </w:rPr>
        <w:t>cargokol</w:t>
      </w:r>
      <w:proofErr w:type="spellEnd"/>
      <w:r w:rsidRPr="00A27E6F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(gesce MPO) </w:t>
      </w:r>
    </w:p>
    <w:p w:rsidRPr="00A27E6F" w:rsidR="00CC5B52" w:rsidP="00950ADA" w:rsidRDefault="207841FF" w14:paraId="4E7433F4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0"/>
          <w:szCs w:val="20"/>
        </w:rPr>
      </w:pPr>
      <w:r w:rsidRPr="00A27E6F">
        <w:rPr>
          <w:rFonts w:asciiTheme="minorHAnsi" w:hAnsiTheme="minorHAnsi" w:cstheme="minorHAnsi"/>
          <w:sz w:val="20"/>
          <w:szCs w:val="20"/>
        </w:rPr>
        <w:t>Podpora nákupu vozidel (el, H2) a neveřejné dobíjecí infrastruktury pro obce, kraje, státní správu</w:t>
      </w:r>
      <w:r w:rsidRPr="00A27E6F" w:rsidR="0025412D">
        <w:rPr>
          <w:rFonts w:asciiTheme="minorHAnsi" w:hAnsiTheme="minorHAnsi" w:cstheme="minorHAnsi"/>
          <w:sz w:val="20"/>
          <w:szCs w:val="20"/>
        </w:rPr>
        <w:t>, svazky obcí, státní příspěvkové organizace, příspěvkové organizace územních samosprávných celků, veřejné výzkumné instituce a další.</w:t>
      </w:r>
      <w:r w:rsidRPr="00A27E6F">
        <w:rPr>
          <w:rFonts w:asciiTheme="minorHAnsi" w:hAnsiTheme="minorHAnsi" w:cstheme="minorHAnsi"/>
          <w:sz w:val="20"/>
          <w:szCs w:val="20"/>
        </w:rPr>
        <w:t xml:space="preserve"> (gesce MŽP)</w:t>
      </w:r>
    </w:p>
    <w:p w:rsidRPr="00A27E6F" w:rsidR="00914682" w:rsidP="5CEDD745" w:rsidRDefault="00C21E49" w14:paraId="5AF9EBB5" w14:textId="10A5AE49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Bidi"/>
          <w:color w:val="auto"/>
          <w:sz w:val="20"/>
          <w:szCs w:val="20"/>
        </w:rPr>
      </w:pPr>
      <w:r w:rsidRPr="5CEDD745">
        <w:rPr>
          <w:rFonts w:asciiTheme="minorHAnsi" w:hAnsiTheme="minorHAnsi" w:cstheme="minorBidi"/>
          <w:color w:val="auto"/>
          <w:sz w:val="20"/>
          <w:szCs w:val="20"/>
        </w:rPr>
        <w:t>Vozidla (</w:t>
      </w:r>
      <w:r w:rsidRPr="5CEDD745" w:rsidR="001D72D6">
        <w:rPr>
          <w:rFonts w:asciiTheme="minorHAnsi" w:hAnsiTheme="minorHAnsi" w:cstheme="minorBidi"/>
          <w:color w:val="auto"/>
          <w:sz w:val="20"/>
          <w:szCs w:val="20"/>
        </w:rPr>
        <w:t>bateriové trolejbusy</w:t>
      </w:r>
      <w:r w:rsidRPr="5CEDD745" w:rsidR="00644661">
        <w:rPr>
          <w:rFonts w:asciiTheme="minorHAnsi" w:hAnsiTheme="minorHAnsi" w:cstheme="minorBidi"/>
          <w:color w:val="auto"/>
          <w:sz w:val="20"/>
          <w:szCs w:val="20"/>
        </w:rPr>
        <w:t xml:space="preserve"> a nízkopodlažní tramvaje</w:t>
      </w:r>
      <w:r w:rsidRPr="5CEDD745">
        <w:rPr>
          <w:rFonts w:asciiTheme="minorHAnsi" w:hAnsiTheme="minorHAnsi" w:cstheme="minorBidi"/>
          <w:color w:val="auto"/>
          <w:sz w:val="20"/>
          <w:szCs w:val="20"/>
        </w:rPr>
        <w:t>) pro veřejnou hromadnou dopravu v</w:t>
      </w:r>
      <w:r w:rsidRPr="5CEDD745" w:rsidR="00741E3B">
        <w:rPr>
          <w:rFonts w:asciiTheme="minorHAnsi" w:hAnsiTheme="minorHAnsi" w:cstheme="minorBidi"/>
          <w:color w:val="auto"/>
          <w:sz w:val="20"/>
          <w:szCs w:val="20"/>
        </w:rPr>
        <w:t> </w:t>
      </w:r>
      <w:r w:rsidRPr="5CEDD745">
        <w:rPr>
          <w:rFonts w:asciiTheme="minorHAnsi" w:hAnsiTheme="minorHAnsi" w:cstheme="minorBidi"/>
          <w:color w:val="auto"/>
          <w:sz w:val="20"/>
          <w:szCs w:val="20"/>
        </w:rPr>
        <w:t xml:space="preserve">Hlavním městě Praha (gesce </w:t>
      </w:r>
      <w:r w:rsidRPr="5CEDD745" w:rsidR="33285467">
        <w:rPr>
          <w:rFonts w:asciiTheme="minorHAnsi" w:hAnsiTheme="minorHAnsi" w:cstheme="minorBidi"/>
          <w:color w:val="auto"/>
          <w:sz w:val="20"/>
          <w:szCs w:val="20"/>
        </w:rPr>
        <w:t>MD</w:t>
      </w:r>
      <w:r w:rsidRPr="5CEDD745">
        <w:rPr>
          <w:rFonts w:asciiTheme="minorHAnsi" w:hAnsiTheme="minorHAnsi" w:cstheme="minorBidi"/>
          <w:color w:val="auto"/>
          <w:sz w:val="20"/>
          <w:szCs w:val="20"/>
        </w:rPr>
        <w:t>)</w:t>
      </w:r>
    </w:p>
    <w:p w:rsidRPr="00A27E6F" w:rsidR="005B3665" w:rsidP="00950ADA" w:rsidRDefault="005B3665" w14:paraId="40D47750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Pr="00A27E6F" w:rsidR="00914682" w:rsidP="00914682" w:rsidRDefault="00914682" w14:paraId="31F21BDE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proofErr w:type="spellStart"/>
      <w:r w:rsidRPr="00A27E6F">
        <w:rPr>
          <w:rFonts w:asciiTheme="minorHAnsi" w:hAnsiTheme="minorHAnsi" w:cstheme="minorHAnsi"/>
          <w:b/>
          <w:iCs/>
          <w:color w:val="auto"/>
          <w:sz w:val="20"/>
          <w:szCs w:val="20"/>
        </w:rPr>
        <w:t>Flagship</w:t>
      </w:r>
      <w:proofErr w:type="spellEnd"/>
      <w:r w:rsidRPr="00A27E6F">
        <w:rPr>
          <w:rFonts w:asciiTheme="minorHAnsi" w:hAnsiTheme="minorHAnsi" w:cstheme="minorHAnsi"/>
          <w:b/>
          <w:iCs/>
          <w:color w:val="auto"/>
          <w:sz w:val="20"/>
          <w:szCs w:val="20"/>
        </w:rPr>
        <w:t xml:space="preserve">: </w:t>
      </w:r>
      <w:proofErr w:type="spellStart"/>
      <w:r w:rsidRPr="00A27E6F">
        <w:rPr>
          <w:rFonts w:asciiTheme="minorHAnsi" w:hAnsiTheme="minorHAnsi" w:cstheme="minorHAnsi"/>
          <w:b/>
          <w:iCs/>
          <w:color w:val="auto"/>
          <w:sz w:val="20"/>
          <w:szCs w:val="20"/>
        </w:rPr>
        <w:t>Recharge</w:t>
      </w:r>
      <w:proofErr w:type="spellEnd"/>
      <w:r w:rsidRPr="00A27E6F">
        <w:rPr>
          <w:rFonts w:asciiTheme="minorHAnsi" w:hAnsiTheme="minorHAnsi" w:cstheme="minorHAnsi"/>
          <w:b/>
          <w:iCs/>
          <w:color w:val="auto"/>
          <w:sz w:val="20"/>
          <w:szCs w:val="20"/>
        </w:rPr>
        <w:t xml:space="preserve"> and </w:t>
      </w:r>
      <w:proofErr w:type="spellStart"/>
      <w:r w:rsidRPr="00A27E6F">
        <w:rPr>
          <w:rFonts w:asciiTheme="minorHAnsi" w:hAnsiTheme="minorHAnsi" w:cstheme="minorHAnsi"/>
          <w:b/>
          <w:iCs/>
          <w:color w:val="auto"/>
          <w:sz w:val="20"/>
          <w:szCs w:val="20"/>
        </w:rPr>
        <w:t>refuel</w:t>
      </w:r>
      <w:proofErr w:type="spellEnd"/>
      <w:r w:rsidRPr="00A27E6F">
        <w:rPr>
          <w:rFonts w:asciiTheme="minorHAnsi" w:hAnsiTheme="minorHAnsi" w:cstheme="minorHAnsi"/>
          <w:iCs/>
          <w:color w:val="auto"/>
          <w:sz w:val="20"/>
          <w:szCs w:val="20"/>
        </w:rPr>
        <w:t>. Komponenta váže mj. na vlajkovou iniciativu „Dobíjet a doplňovat palivo“ s cílem zvýšit počet dobíjecích a plnicích stanic pro alternativní paliva a vozidel s nulovými a nízkými emisemi, zrychlit využívání udržitelné, přístupné a inteligentní dopravy a podpořit rozvoj čistší, silnější a rozsáhlejší veřejné dopravy. V současnosti je v ČR (k 31.12.2020) dle statistiky Ministerstva průmyslu a obchodu 734 stanic, 1 516 dobíjecích bodů a 7 109 bateriových elektrických vozidel kategorie M1. Dle NAP CM je cílem pro rok 2030 - 220 000 – 500 000 elektromobilů a 19 000-35 000 dobíjecích bodů.</w:t>
      </w:r>
    </w:p>
    <w:p w:rsidRPr="00A27E6F" w:rsidR="00914682" w:rsidP="00950ADA" w:rsidRDefault="00914682" w14:paraId="3023EB64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Pr="00A27E6F" w:rsidR="00914682" w:rsidP="00914682" w:rsidRDefault="00914682" w14:paraId="6D0A29B3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Style w:val="K-TextInfoChar"/>
          <w:rFonts w:asciiTheme="minorHAnsi" w:hAnsiTheme="minorHAnsi" w:cstheme="minorHAnsi"/>
          <w:color w:val="auto"/>
          <w:sz w:val="20"/>
          <w:szCs w:val="20"/>
        </w:rPr>
      </w:pPr>
      <w:bookmarkStart w:name="_Hlk71623270" w:id="4"/>
      <w:bookmarkStart w:name="_Hlk58311783" w:id="5"/>
      <w:r w:rsidRPr="00A27E6F">
        <w:rPr>
          <w:rStyle w:val="K-TextChar"/>
          <w:rFonts w:asciiTheme="minorHAnsi" w:hAnsiTheme="minorHAnsi" w:cstheme="minorHAnsi"/>
          <w:b/>
          <w:color w:val="auto"/>
          <w:sz w:val="20"/>
          <w:szCs w:val="20"/>
        </w:rPr>
        <w:t xml:space="preserve">Odhadované náklady </w:t>
      </w:r>
    </w:p>
    <w:p w:rsidR="001D72D6" w:rsidP="5CEDD745" w:rsidRDefault="10DB1AC6" w14:paraId="39EEB815" w14:textId="6592013A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Bidi"/>
          <w:color w:val="auto"/>
          <w:sz w:val="20"/>
          <w:szCs w:val="20"/>
        </w:rPr>
      </w:pPr>
      <w:r w:rsidRPr="5CEDD745">
        <w:rPr>
          <w:rFonts w:asciiTheme="minorHAnsi" w:hAnsiTheme="minorHAnsi" w:cstheme="minorBidi"/>
          <w:color w:val="auto"/>
          <w:sz w:val="20"/>
          <w:szCs w:val="20"/>
        </w:rPr>
        <w:t>4 884</w:t>
      </w:r>
      <w:r w:rsidRPr="5CEDD745" w:rsidR="7C44719C">
        <w:rPr>
          <w:rFonts w:asciiTheme="minorHAnsi" w:hAnsiTheme="minorHAnsi" w:cstheme="minorBidi"/>
          <w:color w:val="auto"/>
          <w:sz w:val="20"/>
          <w:szCs w:val="20"/>
        </w:rPr>
        <w:t xml:space="preserve"> m</w:t>
      </w:r>
      <w:r w:rsidRPr="5CEDD745" w:rsidR="00A27E6F">
        <w:rPr>
          <w:rFonts w:asciiTheme="minorHAnsi" w:hAnsiTheme="minorHAnsi" w:cstheme="minorBidi"/>
          <w:color w:val="auto"/>
          <w:sz w:val="20"/>
          <w:szCs w:val="20"/>
        </w:rPr>
        <w:t>il</w:t>
      </w:r>
      <w:r w:rsidRPr="5CEDD745" w:rsidR="7C44719C">
        <w:rPr>
          <w:rFonts w:asciiTheme="minorHAnsi" w:hAnsiTheme="minorHAnsi" w:cstheme="minorBidi"/>
          <w:color w:val="auto"/>
          <w:sz w:val="20"/>
          <w:szCs w:val="20"/>
        </w:rPr>
        <w:t>. K</w:t>
      </w:r>
      <w:r w:rsidRPr="5CEDD745" w:rsidR="00A27E6F">
        <w:rPr>
          <w:rFonts w:asciiTheme="minorHAnsi" w:hAnsiTheme="minorHAnsi" w:cstheme="minorBidi"/>
          <w:color w:val="auto"/>
          <w:sz w:val="20"/>
          <w:szCs w:val="20"/>
        </w:rPr>
        <w:t>č (plně zahrnuto do RRF)</w:t>
      </w:r>
    </w:p>
    <w:p w:rsidRPr="00A27E6F" w:rsidR="00A27E6F" w:rsidP="001D72D6" w:rsidRDefault="00A27E6F" w14:paraId="1A4D4450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color w:val="auto"/>
          <w:sz w:val="20"/>
          <w:szCs w:val="20"/>
        </w:rPr>
      </w:pPr>
    </w:p>
    <w:bookmarkEnd w:id="4"/>
    <w:bookmarkEnd w:id="5"/>
    <w:p w:rsidR="00A27E6F" w:rsidP="00F177FD" w:rsidRDefault="00A27E6F" w14:paraId="2D1AF215" w14:textId="77777777">
      <w:pPr>
        <w:pStyle w:val="K-Text"/>
        <w:keepNext/>
        <w:rPr>
          <w:rFonts w:asciiTheme="minorHAnsi" w:hAnsiTheme="minorHAnsi" w:cstheme="minorHAnsi"/>
          <w:b/>
          <w:sz w:val="20"/>
          <w:szCs w:val="20"/>
        </w:rPr>
      </w:pPr>
    </w:p>
    <w:p w:rsidRPr="00A27E6F" w:rsidR="002C20CF" w:rsidP="00F177FD" w:rsidRDefault="002C20CF" w14:paraId="77962954" w14:textId="22C650EA">
      <w:pPr>
        <w:pStyle w:val="K-Text"/>
        <w:keepNext/>
        <w:rPr>
          <w:rFonts w:asciiTheme="minorHAnsi" w:hAnsiTheme="minorHAnsi" w:cstheme="minorHAnsi"/>
          <w:sz w:val="20"/>
          <w:szCs w:val="20"/>
        </w:rPr>
      </w:pPr>
      <w:r w:rsidRPr="00A27E6F">
        <w:rPr>
          <w:rFonts w:asciiTheme="minorHAnsi" w:hAnsiTheme="minorHAnsi" w:cstheme="minorHAnsi"/>
          <w:b/>
          <w:sz w:val="20"/>
          <w:szCs w:val="20"/>
        </w:rPr>
        <w:t xml:space="preserve">2. </w:t>
      </w:r>
      <w:r w:rsidRPr="00A27E6F" w:rsidR="00EF374D">
        <w:rPr>
          <w:rStyle w:val="K-Nadpis2Char"/>
          <w:rFonts w:asciiTheme="minorHAnsi" w:hAnsiTheme="minorHAnsi" w:cstheme="minorHAnsi"/>
          <w:color w:val="auto"/>
          <w:sz w:val="20"/>
          <w:szCs w:val="20"/>
        </w:rPr>
        <w:t>Hlavní výzvy a</w:t>
      </w:r>
      <w:r w:rsidRPr="00A27E6F" w:rsidR="00741E3B">
        <w:rPr>
          <w:rStyle w:val="K-Nadpis2Char"/>
          <w:rFonts w:asciiTheme="minorHAnsi" w:hAnsiTheme="minorHAnsi" w:cstheme="minorHAnsi"/>
          <w:color w:val="auto"/>
          <w:sz w:val="20"/>
          <w:szCs w:val="20"/>
        </w:rPr>
        <w:t> </w:t>
      </w:r>
      <w:r w:rsidRPr="00A27E6F" w:rsidR="00EF374D">
        <w:rPr>
          <w:rStyle w:val="K-Nadpis2Char"/>
          <w:rFonts w:asciiTheme="minorHAnsi" w:hAnsiTheme="minorHAnsi" w:cstheme="minorHAnsi"/>
          <w:color w:val="auto"/>
          <w:sz w:val="20"/>
          <w:szCs w:val="20"/>
        </w:rPr>
        <w:t>cíle</w:t>
      </w:r>
    </w:p>
    <w:p w:rsidRPr="00A27E6F" w:rsidR="002C20CF" w:rsidP="00A1242E" w:rsidRDefault="002C20CF" w14:paraId="56BC7858" w14:textId="77777777">
      <w:pPr>
        <w:pStyle w:val="Default"/>
        <w:spacing w:after="120" w:line="293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27E6F">
        <w:rPr>
          <w:rStyle w:val="K-Nadpis3Char"/>
          <w:rFonts w:asciiTheme="minorHAnsi" w:hAnsiTheme="minorHAnsi" w:cstheme="minorHAnsi"/>
          <w:color w:val="auto"/>
          <w:sz w:val="20"/>
          <w:szCs w:val="20"/>
        </w:rPr>
        <w:t xml:space="preserve">a) </w:t>
      </w:r>
      <w:r w:rsidRPr="00A27E6F" w:rsidR="00EF374D">
        <w:rPr>
          <w:rStyle w:val="K-Nadpis3Char"/>
          <w:rFonts w:asciiTheme="minorHAnsi" w:hAnsiTheme="minorHAnsi" w:cstheme="minorHAnsi"/>
          <w:color w:val="auto"/>
          <w:sz w:val="20"/>
          <w:szCs w:val="20"/>
        </w:rPr>
        <w:t>Hlavní výzvy</w:t>
      </w:r>
    </w:p>
    <w:p w:rsidRPr="00A27E6F" w:rsidR="003A6DFC" w:rsidP="00D10829" w:rsidRDefault="003A6DFC" w14:paraId="1761B97D" w14:textId="77777777">
      <w:pPr>
        <w:spacing w:after="120" w:line="240" w:lineRule="auto"/>
        <w:jc w:val="both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color w:val="auto"/>
          <w:sz w:val="20"/>
          <w:szCs w:val="20"/>
        </w:rPr>
        <w:t xml:space="preserve">Hlavní výzvou je učinit mobilitu udržitelnou, dostupnou více lidem a integrovat ji do multimodálního ekosystému ke zvýšení </w:t>
      </w:r>
      <w:r w:rsidRPr="00A27E6F" w:rsidR="002C7976">
        <w:rPr>
          <w:rFonts w:cstheme="minorHAnsi"/>
          <w:color w:val="auto"/>
          <w:sz w:val="20"/>
          <w:szCs w:val="20"/>
        </w:rPr>
        <w:t>efektivního dopravního řešení, která ulehčí stávající infrastruktuře, zkvalitní veřejný prostor a podpoří udržitelné druhy dopravy)</w:t>
      </w:r>
      <w:r w:rsidRPr="00A27E6F">
        <w:rPr>
          <w:rFonts w:cstheme="minorHAnsi"/>
          <w:color w:val="auto"/>
          <w:sz w:val="20"/>
          <w:szCs w:val="20"/>
        </w:rPr>
        <w:t>.</w:t>
      </w:r>
    </w:p>
    <w:p w:rsidRPr="00A27E6F" w:rsidR="003A6DFC" w:rsidP="00D10829" w:rsidRDefault="003A6DFC" w14:paraId="1B15AB02" w14:textId="77777777">
      <w:pPr>
        <w:spacing w:after="120" w:line="240" w:lineRule="auto"/>
        <w:jc w:val="both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color w:val="auto"/>
          <w:sz w:val="20"/>
          <w:szCs w:val="20"/>
        </w:rPr>
        <w:t xml:space="preserve">Za nejvýraznější změnu kontextu rozvoje čisté mobility lze považovat přijetí tzv. Pařížské dohody o změně klimatu.  V této dohodě se signatářské země zavázaly udržet nárůst globální průměrné teploty výrazně pod hranicí 2 °C oproti hodnotám před průmyslovou revolucí a vyvinout úsilí o to, aby nárůst teploty nepřekročil hranici 1,5 °C oproti hodnotám před průmyslovou revolucí. </w:t>
      </w:r>
    </w:p>
    <w:p w:rsidRPr="00A27E6F" w:rsidR="003A6DFC" w:rsidP="00D10829" w:rsidRDefault="003A6DFC" w14:paraId="294E20DA" w14:textId="77777777">
      <w:pPr>
        <w:spacing w:after="120" w:line="240" w:lineRule="auto"/>
        <w:jc w:val="both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color w:val="auto"/>
          <w:sz w:val="20"/>
          <w:szCs w:val="20"/>
        </w:rPr>
        <w:lastRenderedPageBreak/>
        <w:t>Na úrovni Evropské unie je přitom velká snaha tento závazek nejen splnit, ale být v této oblasti i jedním z „tahounů“ celého procesu. Tomu odpovídá celá řada přijatých strategických dokumentů Evropské komise, z nichž tím nejaktuálnějším je Sdělení Komise „Čistá planeta: Evropská dlouhodobá vize prosperující, moderní, konkurenceschopné a klimaticky neutrální ekonomiky“ zdůrazňující potřebu dosáhnout do roku 2050 tzv. klimatické neutrality. Současně Komise v tomto dokumentu připouští, že elektrifikace za použití obnovitelných zdrojů energie sama o sobě není jediným řešením pro všechny druhy dopravy.</w:t>
      </w:r>
    </w:p>
    <w:p w:rsidRPr="00A27E6F" w:rsidR="00143AA9" w:rsidP="00D10829" w:rsidRDefault="003A6DFC" w14:paraId="354F1CB8" w14:textId="77777777">
      <w:pPr>
        <w:spacing w:after="120" w:line="240" w:lineRule="auto"/>
        <w:jc w:val="both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color w:val="auto"/>
          <w:sz w:val="20"/>
          <w:szCs w:val="20"/>
        </w:rPr>
        <w:t>V návaznosti na výše uvedený mezinárodní smluvní závazek bylo na úrovni EU v posledních letech přijato i několik nových právních předpisů, které do budoucna zásadním způsobem ovlivní směřování čisté mobility. Jde zejména o dvě nová nařízení, která stanoví značně ambiciózní výkonnostní emisní normy CO</w:t>
      </w:r>
      <w:r w:rsidRPr="00A27E6F">
        <w:rPr>
          <w:rFonts w:cstheme="minorHAnsi"/>
          <w:color w:val="auto"/>
          <w:sz w:val="20"/>
          <w:szCs w:val="20"/>
          <w:vertAlign w:val="subscript"/>
        </w:rPr>
        <w:t>2</w:t>
      </w:r>
      <w:r w:rsidRPr="00A27E6F">
        <w:rPr>
          <w:rFonts w:cstheme="minorHAnsi"/>
          <w:color w:val="auto"/>
          <w:sz w:val="20"/>
          <w:szCs w:val="20"/>
        </w:rPr>
        <w:t xml:space="preserve"> pro nové osobní automobily, lehká užitková vozidla</w:t>
      </w:r>
      <w:r w:rsidRPr="00A27E6F" w:rsidR="00143AA9">
        <w:rPr>
          <w:rFonts w:cstheme="minorHAnsi"/>
          <w:color w:val="auto"/>
          <w:sz w:val="20"/>
          <w:szCs w:val="20"/>
        </w:rPr>
        <w:t xml:space="preserve"> (2019/631)</w:t>
      </w:r>
      <w:r w:rsidRPr="00A27E6F">
        <w:rPr>
          <w:rFonts w:cstheme="minorHAnsi"/>
          <w:color w:val="auto"/>
          <w:sz w:val="20"/>
          <w:szCs w:val="20"/>
        </w:rPr>
        <w:t xml:space="preserve"> a nově i těžká vozidla </w:t>
      </w:r>
      <w:r w:rsidRPr="00A27E6F" w:rsidR="00143AA9">
        <w:rPr>
          <w:rFonts w:cstheme="minorHAnsi"/>
          <w:color w:val="auto"/>
          <w:sz w:val="20"/>
          <w:szCs w:val="20"/>
        </w:rPr>
        <w:t xml:space="preserve">(2019/1242) </w:t>
      </w:r>
      <w:r w:rsidRPr="00A27E6F">
        <w:rPr>
          <w:rFonts w:cstheme="minorHAnsi"/>
          <w:color w:val="auto"/>
          <w:sz w:val="20"/>
          <w:szCs w:val="20"/>
        </w:rPr>
        <w:t xml:space="preserve">po roce 2020 a revizi směrnice 2009/33/ES o čistých vozidlech. Oblast </w:t>
      </w:r>
      <w:proofErr w:type="spellStart"/>
      <w:r w:rsidRPr="00A27E6F">
        <w:rPr>
          <w:rFonts w:cstheme="minorHAnsi"/>
          <w:color w:val="auto"/>
          <w:sz w:val="20"/>
          <w:szCs w:val="20"/>
        </w:rPr>
        <w:t>elektromobility</w:t>
      </w:r>
      <w:proofErr w:type="spellEnd"/>
      <w:r w:rsidRPr="00A27E6F">
        <w:rPr>
          <w:rFonts w:cstheme="minorHAnsi"/>
          <w:color w:val="auto"/>
          <w:sz w:val="20"/>
          <w:szCs w:val="20"/>
        </w:rPr>
        <w:t xml:space="preserve"> bude vedle toho do budoucna nově ovlivňovat regulace přijatá jako součást revize směrnice 2010/31/EU o energetické náročnosti budov.</w:t>
      </w:r>
    </w:p>
    <w:p w:rsidRPr="00A27E6F" w:rsidR="003A6DFC" w:rsidP="00D10829" w:rsidRDefault="003A6DFC" w14:paraId="370D8A4C" w14:textId="77777777">
      <w:pPr>
        <w:spacing w:after="120" w:line="240" w:lineRule="auto"/>
        <w:jc w:val="both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color w:val="auto"/>
          <w:sz w:val="20"/>
          <w:szCs w:val="20"/>
        </w:rPr>
        <w:t xml:space="preserve">Hlavní výzvou je rovněž sdělení </w:t>
      </w:r>
      <w:proofErr w:type="spellStart"/>
      <w:r w:rsidRPr="00A27E6F">
        <w:rPr>
          <w:rFonts w:cstheme="minorHAnsi"/>
          <w:color w:val="auto"/>
          <w:sz w:val="20"/>
          <w:szCs w:val="20"/>
        </w:rPr>
        <w:t>European</w:t>
      </w:r>
      <w:proofErr w:type="spellEnd"/>
      <w:r w:rsidRPr="00A27E6F">
        <w:rPr>
          <w:rFonts w:cstheme="minorHAnsi"/>
          <w:color w:val="auto"/>
          <w:sz w:val="20"/>
          <w:szCs w:val="20"/>
        </w:rPr>
        <w:t xml:space="preserve"> Green </w:t>
      </w:r>
      <w:proofErr w:type="spellStart"/>
      <w:r w:rsidRPr="00A27E6F">
        <w:rPr>
          <w:rFonts w:cstheme="minorHAnsi"/>
          <w:color w:val="auto"/>
          <w:sz w:val="20"/>
          <w:szCs w:val="20"/>
        </w:rPr>
        <w:t>Deal</w:t>
      </w:r>
      <w:proofErr w:type="spellEnd"/>
      <w:r w:rsidRPr="00A27E6F">
        <w:rPr>
          <w:rFonts w:cstheme="minorHAnsi"/>
          <w:color w:val="auto"/>
          <w:sz w:val="20"/>
          <w:szCs w:val="20"/>
        </w:rPr>
        <w:t xml:space="preserve">, které vydala EK v roce </w:t>
      </w:r>
      <w:r w:rsidRPr="00A27E6F" w:rsidR="00143AA9">
        <w:rPr>
          <w:rFonts w:cstheme="minorHAnsi"/>
          <w:color w:val="auto"/>
          <w:sz w:val="20"/>
          <w:szCs w:val="20"/>
        </w:rPr>
        <w:t>2019 a</w:t>
      </w:r>
      <w:r w:rsidRPr="00A27E6F">
        <w:rPr>
          <w:rFonts w:cstheme="minorHAnsi"/>
          <w:color w:val="auto"/>
          <w:sz w:val="20"/>
          <w:szCs w:val="20"/>
        </w:rPr>
        <w:t xml:space="preserve"> které také ovlivní další vývoj čisté mobility. Jde o komplexní dokument popisující potřebné politiky a opatření k dosažení cíle klimatické neutrality EU do r. 2050. EK hodlá do léta 202</w:t>
      </w:r>
      <w:r w:rsidRPr="00A27E6F" w:rsidR="00143AA9">
        <w:rPr>
          <w:rFonts w:cstheme="minorHAnsi"/>
          <w:color w:val="auto"/>
          <w:sz w:val="20"/>
          <w:szCs w:val="20"/>
        </w:rPr>
        <w:t>1</w:t>
      </w:r>
      <w:r w:rsidRPr="00A27E6F">
        <w:rPr>
          <w:rFonts w:cstheme="minorHAnsi"/>
          <w:color w:val="auto"/>
          <w:sz w:val="20"/>
          <w:szCs w:val="20"/>
        </w:rPr>
        <w:t xml:space="preserve"> navrhnout zpřísnění unijního cíle pro snížení emisí skleníkových plynů do r. 2030 (oproti r. 1990) ze stávajících -40 % na -50 % až -55 %.</w:t>
      </w:r>
    </w:p>
    <w:p w:rsidRPr="00A27E6F" w:rsidR="003A6DFC" w:rsidP="00D10829" w:rsidRDefault="003A6DFC" w14:paraId="1D7F5C14" w14:textId="4EDC5465">
      <w:pPr>
        <w:spacing w:after="120" w:line="240" w:lineRule="auto"/>
        <w:jc w:val="both"/>
        <w:rPr>
          <w:rFonts w:cstheme="minorHAnsi"/>
          <w:b/>
          <w:bCs/>
          <w:color w:val="auto"/>
          <w:sz w:val="20"/>
          <w:szCs w:val="20"/>
        </w:rPr>
      </w:pPr>
      <w:r w:rsidRPr="00A27E6F">
        <w:rPr>
          <w:rFonts w:cstheme="minorHAnsi"/>
          <w:color w:val="auto"/>
          <w:sz w:val="20"/>
          <w:szCs w:val="20"/>
        </w:rPr>
        <w:t xml:space="preserve">Podporu čisté mobility je třeba vnímat i v souvislosti s naplňováním vnitrostátního plánu České republiky v oblasti energetiky a klimatu (Vnitrostátní plán), jehož návrh byl zpracován v roce 2018 na základě požadavku nařízení Evropského parlamentu a Rady (EU) 2018/1999 o správě energetické unie. Vnitrostátní plán byl vládou schválen dne 13. ledna 2020 a obsahuje cíle a politiky ve všech pěti rozměrech energetické unie na období 2021-2030 s výhledem do roku 2050. Shrnuje také politiky a opatření pro splnění cílů Energetické unie a dlouhodobých závazků spojených se snižováním emisí skleníkových plynů, přičemž oblast čisté mobility spadá do kategorie těchto politik. </w:t>
      </w:r>
      <w:r w:rsidRPr="00A27E6F">
        <w:rPr>
          <w:rFonts w:cstheme="minorHAnsi"/>
          <w:bCs/>
          <w:color w:val="auto"/>
          <w:sz w:val="20"/>
          <w:szCs w:val="20"/>
        </w:rPr>
        <w:t>Návrh Vnitrostátního plánu v návaznosti na Směrnici EP a Rady 2018/2001 o podpoře využívání energie z OZE deklaruje dosažení podílu OZE na celkové spotřebě energií v dopravě v roce 2030 ve výši 14</w:t>
      </w:r>
      <w:r w:rsidR="00A45E06">
        <w:rPr>
          <w:rFonts w:cstheme="minorHAnsi"/>
          <w:bCs/>
          <w:color w:val="auto"/>
          <w:sz w:val="20"/>
          <w:szCs w:val="20"/>
        </w:rPr>
        <w:t xml:space="preserve"> </w:t>
      </w:r>
      <w:r w:rsidRPr="00A27E6F">
        <w:rPr>
          <w:rFonts w:cstheme="minorHAnsi"/>
          <w:bCs/>
          <w:color w:val="auto"/>
          <w:sz w:val="20"/>
          <w:szCs w:val="20"/>
        </w:rPr>
        <w:t>%, z čehož 7 % připadá na potravinářská biopaliva, 4,5 % na pokročilá biopaliva, 1,7 % na biopaliva dle části B (suroviny pro výrobu biopaliv a bioplynu pro dopravu) a 0,8 % na elektřinu.</w:t>
      </w:r>
    </w:p>
    <w:p w:rsidRPr="00A27E6F" w:rsidR="003A6DFC" w:rsidP="00D10829" w:rsidRDefault="003A6DFC" w14:paraId="39FC3645" w14:textId="77777777">
      <w:pPr>
        <w:spacing w:after="120" w:line="240" w:lineRule="auto"/>
        <w:jc w:val="both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color w:val="auto"/>
          <w:sz w:val="20"/>
          <w:szCs w:val="20"/>
        </w:rPr>
        <w:t xml:space="preserve">ČR reflektuje ambicióznost této nové EU legislativy a zohledňuje ji zejména při stanovení strategických cílů týkajících se rozvoje trhu vozidel pro jednotlivé typy alternativních paliv.  </w:t>
      </w:r>
    </w:p>
    <w:p w:rsidRPr="00A27E6F" w:rsidR="003A6DFC" w:rsidP="00D10829" w:rsidRDefault="003A6DFC" w14:paraId="1BBAC817" w14:textId="77777777">
      <w:pPr>
        <w:spacing w:after="120" w:line="240" w:lineRule="auto"/>
        <w:jc w:val="both"/>
        <w:rPr>
          <w:rFonts w:eastAsia="Times New Roman" w:cstheme="minorHAnsi"/>
          <w:bCs/>
          <w:color w:val="auto"/>
          <w:sz w:val="20"/>
          <w:szCs w:val="20"/>
        </w:rPr>
      </w:pPr>
      <w:r w:rsidRPr="00A27E6F">
        <w:rPr>
          <w:rFonts w:eastAsia="Times New Roman" w:cstheme="minorHAnsi"/>
          <w:bCs/>
          <w:color w:val="auto"/>
          <w:sz w:val="20"/>
          <w:szCs w:val="20"/>
        </w:rPr>
        <w:t xml:space="preserve">Investiční podpora výstavby dobíjecích a plnicích stanic a tím spojená podpora nákupu </w:t>
      </w:r>
      <w:proofErr w:type="spellStart"/>
      <w:r w:rsidRPr="00A27E6F">
        <w:rPr>
          <w:rFonts w:cstheme="minorHAnsi"/>
          <w:bCs/>
          <w:color w:val="auto"/>
          <w:sz w:val="20"/>
          <w:szCs w:val="20"/>
        </w:rPr>
        <w:t>nízkoemisních</w:t>
      </w:r>
      <w:proofErr w:type="spellEnd"/>
      <w:r w:rsidRPr="00A27E6F">
        <w:rPr>
          <w:rFonts w:cstheme="minorHAnsi"/>
          <w:bCs/>
          <w:color w:val="auto"/>
          <w:sz w:val="20"/>
          <w:szCs w:val="20"/>
        </w:rPr>
        <w:t xml:space="preserve"> a bezemisních vozidel </w:t>
      </w:r>
      <w:r w:rsidRPr="00A27E6F">
        <w:rPr>
          <w:rFonts w:eastAsia="Times New Roman" w:cstheme="minorHAnsi"/>
          <w:bCs/>
          <w:color w:val="auto"/>
          <w:sz w:val="20"/>
          <w:szCs w:val="20"/>
        </w:rPr>
        <w:t>má za cíl zvýšit motivaci subjektů investovat do výstavby infrastruktury pro alternativní paliva. Tyto aktivity jsou v současnosti zatím ztrátové. Podpora nákupu vozidel na alternativní paliva má za cíl kompenzovat vyšší pořizovací cenu těchto vozidel, a tak zvýšit motivaci potenciálních zájemců ke koupi o tato vozidla.</w:t>
      </w:r>
    </w:p>
    <w:p w:rsidRPr="00A27E6F" w:rsidR="003B0BC8" w:rsidP="00D10829" w:rsidRDefault="003B0BC8" w14:paraId="679AD7B8" w14:textId="77777777">
      <w:pPr>
        <w:spacing w:after="120" w:line="240" w:lineRule="auto"/>
        <w:jc w:val="both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color w:val="auto"/>
          <w:sz w:val="20"/>
          <w:szCs w:val="20"/>
        </w:rPr>
        <w:t>Skutečností je, že sektor dopravy je v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>ČR druhým největším zdrojem emisí skleníkových plynů. V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>období 2000–2018 se emise CO</w:t>
      </w:r>
      <w:r w:rsidRPr="00A27E6F">
        <w:rPr>
          <w:rFonts w:cstheme="minorHAnsi"/>
          <w:color w:val="auto"/>
          <w:sz w:val="20"/>
          <w:szCs w:val="20"/>
          <w:vertAlign w:val="subscript"/>
        </w:rPr>
        <w:t xml:space="preserve">2 </w:t>
      </w:r>
      <w:r w:rsidRPr="00A27E6F">
        <w:rPr>
          <w:rFonts w:cstheme="minorHAnsi"/>
          <w:color w:val="auto"/>
          <w:sz w:val="20"/>
          <w:szCs w:val="20"/>
        </w:rPr>
        <w:t>z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>dopravy zvýšily o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>66 %</w:t>
      </w:r>
      <w:r w:rsidRPr="00A27E6F" w:rsidR="0098436E">
        <w:rPr>
          <w:rStyle w:val="Znakapoznpodarou"/>
          <w:rFonts w:cstheme="minorHAnsi"/>
          <w:color w:val="auto"/>
          <w:sz w:val="20"/>
          <w:szCs w:val="20"/>
        </w:rPr>
        <w:footnoteReference w:id="2"/>
      </w:r>
      <w:r w:rsidRPr="00A27E6F">
        <w:rPr>
          <w:rFonts w:cstheme="minorHAnsi"/>
          <w:color w:val="auto"/>
          <w:sz w:val="20"/>
          <w:szCs w:val="20"/>
        </w:rPr>
        <w:t>. V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>rámci sektoru dopravy je pak největším producentem emisí CO</w:t>
      </w:r>
      <w:r w:rsidRPr="00A27E6F">
        <w:rPr>
          <w:rFonts w:cstheme="minorHAnsi"/>
          <w:color w:val="auto"/>
          <w:sz w:val="20"/>
          <w:szCs w:val="20"/>
          <w:vertAlign w:val="subscript"/>
        </w:rPr>
        <w:t>2</w:t>
      </w:r>
      <w:r w:rsidRPr="00A27E6F">
        <w:rPr>
          <w:rFonts w:cstheme="minorHAnsi"/>
          <w:color w:val="auto"/>
          <w:sz w:val="20"/>
          <w:szCs w:val="20"/>
        </w:rPr>
        <w:t xml:space="preserve"> individuální automobilová doprava, následovaná silniční nákladní dopravou a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>silniční veřejnou dopravou.</w:t>
      </w:r>
    </w:p>
    <w:p w:rsidRPr="00A27E6F" w:rsidR="00DC49F4" w:rsidP="00D10829" w:rsidRDefault="003B0BC8" w14:paraId="3A52A4FB" w14:textId="77777777">
      <w:pPr>
        <w:pStyle w:val="K-Text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27E6F">
        <w:rPr>
          <w:rFonts w:asciiTheme="minorHAnsi" w:hAnsiTheme="minorHAnsi" w:cstheme="minorHAnsi"/>
          <w:sz w:val="20"/>
          <w:szCs w:val="20"/>
        </w:rPr>
        <w:t>Doprava je v</w:t>
      </w:r>
      <w:r w:rsidRPr="00A27E6F" w:rsidR="00741E3B">
        <w:rPr>
          <w:rFonts w:asciiTheme="minorHAnsi" w:hAnsiTheme="minorHAnsi" w:cstheme="minorHAnsi"/>
          <w:sz w:val="20"/>
          <w:szCs w:val="20"/>
        </w:rPr>
        <w:t> </w:t>
      </w:r>
      <w:r w:rsidRPr="00A27E6F">
        <w:rPr>
          <w:rFonts w:asciiTheme="minorHAnsi" w:hAnsiTheme="minorHAnsi" w:cstheme="minorHAnsi"/>
          <w:sz w:val="20"/>
          <w:szCs w:val="20"/>
        </w:rPr>
        <w:t>ČR i</w:t>
      </w:r>
      <w:r w:rsidRPr="00A27E6F" w:rsidR="00741E3B">
        <w:rPr>
          <w:rFonts w:asciiTheme="minorHAnsi" w:hAnsiTheme="minorHAnsi" w:cstheme="minorHAnsi"/>
          <w:sz w:val="20"/>
          <w:szCs w:val="20"/>
        </w:rPr>
        <w:t> </w:t>
      </w:r>
      <w:r w:rsidRPr="00A27E6F">
        <w:rPr>
          <w:rFonts w:asciiTheme="minorHAnsi" w:hAnsiTheme="minorHAnsi" w:cstheme="minorHAnsi"/>
          <w:sz w:val="20"/>
          <w:szCs w:val="20"/>
        </w:rPr>
        <w:t>významným zdrojem znečišťujících látek (pevné částice frakce PM</w:t>
      </w:r>
      <w:r w:rsidRPr="00A27E6F">
        <w:rPr>
          <w:rFonts w:asciiTheme="minorHAnsi" w:hAnsiTheme="minorHAnsi" w:cstheme="minorHAnsi"/>
          <w:sz w:val="20"/>
          <w:szCs w:val="20"/>
          <w:vertAlign w:val="subscript"/>
        </w:rPr>
        <w:t>2,5</w:t>
      </w:r>
      <w:r w:rsidRPr="00A27E6F">
        <w:rPr>
          <w:rFonts w:asciiTheme="minorHAnsi" w:hAnsiTheme="minorHAnsi" w:cstheme="minorHAnsi"/>
          <w:sz w:val="20"/>
          <w:szCs w:val="20"/>
        </w:rPr>
        <w:t>, PM</w:t>
      </w:r>
      <w:r w:rsidRPr="00A27E6F">
        <w:rPr>
          <w:rFonts w:asciiTheme="minorHAnsi" w:hAnsiTheme="minorHAnsi" w:cstheme="minorHAnsi"/>
          <w:sz w:val="20"/>
          <w:szCs w:val="20"/>
          <w:vertAlign w:val="subscript"/>
        </w:rPr>
        <w:t>10</w:t>
      </w:r>
      <w:r w:rsidRPr="00A27E6F">
        <w:rPr>
          <w:rFonts w:asciiTheme="minorHAnsi" w:hAnsiTheme="minorHAnsi" w:cstheme="minorHAnsi"/>
          <w:sz w:val="20"/>
          <w:szCs w:val="20"/>
        </w:rPr>
        <w:t>, dále NO</w:t>
      </w:r>
      <w:r w:rsidRPr="00A27E6F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A27E6F">
        <w:rPr>
          <w:rFonts w:asciiTheme="minorHAnsi" w:hAnsiTheme="minorHAnsi" w:cstheme="minorHAnsi"/>
          <w:sz w:val="20"/>
          <w:szCs w:val="20"/>
        </w:rPr>
        <w:t>). Problém znečištění ze silniční dopravy se týká zejména velkých měst a</w:t>
      </w:r>
      <w:r w:rsidRPr="00A27E6F" w:rsidR="00741E3B">
        <w:rPr>
          <w:rFonts w:asciiTheme="minorHAnsi" w:hAnsiTheme="minorHAnsi" w:cstheme="minorHAnsi"/>
          <w:sz w:val="20"/>
          <w:szCs w:val="20"/>
        </w:rPr>
        <w:t> </w:t>
      </w:r>
      <w:r w:rsidRPr="00A27E6F">
        <w:rPr>
          <w:rFonts w:asciiTheme="minorHAnsi" w:hAnsiTheme="minorHAnsi" w:cstheme="minorHAnsi"/>
          <w:sz w:val="20"/>
          <w:szCs w:val="20"/>
        </w:rPr>
        <w:t>aglomerací, ale nevyhýbá se také menším sídlům s</w:t>
      </w:r>
      <w:r w:rsidRPr="00A27E6F" w:rsidR="00741E3B">
        <w:rPr>
          <w:rFonts w:asciiTheme="minorHAnsi" w:hAnsiTheme="minorHAnsi" w:cstheme="minorHAnsi"/>
          <w:sz w:val="20"/>
          <w:szCs w:val="20"/>
        </w:rPr>
        <w:t> </w:t>
      </w:r>
      <w:r w:rsidRPr="00A27E6F">
        <w:rPr>
          <w:rFonts w:asciiTheme="minorHAnsi" w:hAnsiTheme="minorHAnsi" w:cstheme="minorHAnsi"/>
          <w:sz w:val="20"/>
          <w:szCs w:val="20"/>
        </w:rPr>
        <w:t>vysokou intenzitou dopravy.</w:t>
      </w:r>
      <w:r w:rsidRPr="00A27E6F" w:rsidR="00110F85">
        <w:rPr>
          <w:rFonts w:asciiTheme="minorHAnsi" w:hAnsiTheme="minorHAnsi" w:cstheme="minorHAnsi"/>
          <w:sz w:val="20"/>
          <w:szCs w:val="20"/>
        </w:rPr>
        <w:t xml:space="preserve"> ČR je rovněž významnou tranzitní zemí.</w:t>
      </w:r>
    </w:p>
    <w:p w:rsidRPr="00A27E6F" w:rsidR="003B0BC8" w:rsidP="00D10829" w:rsidRDefault="003B0BC8" w14:paraId="0F9003AF" w14:textId="77777777">
      <w:pPr>
        <w:spacing w:after="120" w:line="240" w:lineRule="auto"/>
        <w:jc w:val="both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color w:val="auto"/>
          <w:sz w:val="20"/>
          <w:szCs w:val="20"/>
        </w:rPr>
        <w:t>Např. v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>Praze se doprava v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>roce 2016 podílela na celkových emisích PM</w:t>
      </w:r>
      <w:r w:rsidRPr="00A27E6F">
        <w:rPr>
          <w:rFonts w:cstheme="minorHAnsi"/>
          <w:color w:val="auto"/>
          <w:sz w:val="20"/>
          <w:szCs w:val="20"/>
          <w:vertAlign w:val="subscript"/>
        </w:rPr>
        <w:t>2,5</w:t>
      </w:r>
      <w:r w:rsidRPr="00A27E6F">
        <w:rPr>
          <w:rFonts w:cstheme="minorHAnsi"/>
          <w:color w:val="auto"/>
          <w:sz w:val="20"/>
          <w:szCs w:val="20"/>
        </w:rPr>
        <w:t xml:space="preserve"> téměř 50 % a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>na celkových emisích oxidů dusíku cca 75 %</w:t>
      </w:r>
      <w:r w:rsidRPr="00A27E6F" w:rsidR="0098436E">
        <w:rPr>
          <w:rStyle w:val="Znakapoznpodarou"/>
          <w:rFonts w:cstheme="minorHAnsi"/>
          <w:color w:val="auto"/>
          <w:sz w:val="20"/>
          <w:szCs w:val="20"/>
        </w:rPr>
        <w:footnoteReference w:id="3"/>
      </w:r>
      <w:r w:rsidRPr="00A27E6F">
        <w:rPr>
          <w:rFonts w:cstheme="minorHAnsi"/>
          <w:color w:val="auto"/>
          <w:sz w:val="20"/>
          <w:szCs w:val="20"/>
        </w:rPr>
        <w:t>.</w:t>
      </w:r>
    </w:p>
    <w:p w:rsidRPr="00A27E6F" w:rsidR="00904992" w:rsidP="00D10829" w:rsidRDefault="003B0BC8" w14:paraId="22EA0387" w14:textId="77777777">
      <w:pPr>
        <w:spacing w:after="120" w:line="240" w:lineRule="auto"/>
        <w:jc w:val="both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color w:val="auto"/>
          <w:sz w:val="20"/>
          <w:szCs w:val="20"/>
        </w:rPr>
        <w:t>Z výše uvedeného vyplývá, že pro zlepšení kvality ovzduší a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>snižování emisí z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>dopravy je žádoucí posílit zastoupení </w:t>
      </w:r>
      <w:proofErr w:type="spellStart"/>
      <w:r w:rsidRPr="00A27E6F">
        <w:rPr>
          <w:rFonts w:cstheme="minorHAnsi"/>
          <w:color w:val="auto"/>
          <w:sz w:val="20"/>
          <w:szCs w:val="20"/>
        </w:rPr>
        <w:t>nízkoemisních</w:t>
      </w:r>
      <w:proofErr w:type="spellEnd"/>
      <w:r w:rsidRPr="00A27E6F">
        <w:rPr>
          <w:rFonts w:cstheme="minorHAnsi"/>
          <w:color w:val="auto"/>
          <w:sz w:val="20"/>
          <w:szCs w:val="20"/>
        </w:rPr>
        <w:t xml:space="preserve"> způsobů dopravy, tedy čistou mobilitu. Tuto skutečnost zmiňují i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 xml:space="preserve">některé existující strategické dokumenty přijaté vládou ČR jako např. </w:t>
      </w:r>
      <w:bookmarkStart w:name="_Toc12540095" w:id="9"/>
      <w:bookmarkStart w:name="_Toc14039034" w:id="10"/>
      <w:r w:rsidRPr="00A27E6F">
        <w:rPr>
          <w:rFonts w:cstheme="minorHAnsi"/>
          <w:color w:val="auto"/>
          <w:sz w:val="20"/>
          <w:szCs w:val="20"/>
        </w:rPr>
        <w:t>Státní politika životního prostředí</w:t>
      </w:r>
      <w:bookmarkEnd w:id="9"/>
      <w:bookmarkEnd w:id="10"/>
      <w:r w:rsidRPr="00A27E6F">
        <w:rPr>
          <w:rFonts w:cstheme="minorHAnsi"/>
          <w:color w:val="auto"/>
          <w:sz w:val="20"/>
          <w:szCs w:val="20"/>
        </w:rPr>
        <w:t xml:space="preserve"> ČR, Politika ochrany klimatu v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>ČR,</w:t>
      </w:r>
      <w:bookmarkStart w:name="_Toc12540096" w:id="11"/>
      <w:bookmarkStart w:name="_Toc14039035" w:id="12"/>
      <w:r w:rsidRPr="00A27E6F">
        <w:rPr>
          <w:rFonts w:cstheme="minorHAnsi"/>
          <w:color w:val="auto"/>
          <w:sz w:val="20"/>
          <w:szCs w:val="20"/>
        </w:rPr>
        <w:t xml:space="preserve"> Národní program snižování emisí ČR</w:t>
      </w:r>
      <w:bookmarkEnd w:id="11"/>
      <w:bookmarkEnd w:id="12"/>
      <w:r w:rsidRPr="00A27E6F">
        <w:rPr>
          <w:rFonts w:cstheme="minorHAnsi"/>
          <w:color w:val="auto"/>
          <w:sz w:val="20"/>
          <w:szCs w:val="20"/>
        </w:rPr>
        <w:t>.</w:t>
      </w:r>
    </w:p>
    <w:p w:rsidRPr="00A27E6F" w:rsidR="002C20CF" w:rsidP="00D10829" w:rsidRDefault="002C20CF" w14:paraId="0696194E" w14:textId="77777777">
      <w:pPr>
        <w:pStyle w:val="K-Nadpis3"/>
        <w:keepNext/>
        <w:rPr>
          <w:rFonts w:asciiTheme="minorHAnsi" w:hAnsiTheme="minorHAnsi" w:cstheme="minorHAnsi"/>
          <w:color w:val="auto"/>
          <w:sz w:val="20"/>
          <w:szCs w:val="20"/>
        </w:rPr>
      </w:pPr>
      <w:r w:rsidRPr="00A27E6F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b) </w:t>
      </w:r>
      <w:r w:rsidRPr="00A27E6F" w:rsidR="00EF374D">
        <w:rPr>
          <w:rFonts w:asciiTheme="minorHAnsi" w:hAnsiTheme="minorHAnsi" w:cstheme="minorHAnsi"/>
          <w:color w:val="auto"/>
          <w:sz w:val="20"/>
          <w:szCs w:val="20"/>
        </w:rPr>
        <w:t>Cíle</w:t>
      </w:r>
      <w:r w:rsidRPr="00A27E6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Pr="00A27E6F" w:rsidR="00436A3E" w:rsidP="00D10829" w:rsidRDefault="00436A3E" w14:paraId="47556ED9" w14:textId="77777777">
      <w:pPr>
        <w:pStyle w:val="00Body"/>
        <w:spacing w:before="0" w:after="120" w:line="240" w:lineRule="auto"/>
        <w:jc w:val="both"/>
        <w:rPr>
          <w:rFonts w:asciiTheme="minorHAnsi" w:hAnsiTheme="minorHAnsi" w:cstheme="minorHAnsi"/>
          <w:bCs/>
          <w:sz w:val="20"/>
          <w:lang w:val="cs-CZ"/>
        </w:rPr>
      </w:pPr>
      <w:r w:rsidRPr="00A27E6F">
        <w:rPr>
          <w:rFonts w:asciiTheme="minorHAnsi" w:hAnsiTheme="minorHAnsi" w:cstheme="minorHAnsi"/>
          <w:bCs/>
          <w:sz w:val="20"/>
          <w:lang w:val="cs-CZ"/>
        </w:rPr>
        <w:t>Snahou České republiky je snížení emisí v</w:t>
      </w:r>
      <w:r w:rsidRPr="00A27E6F" w:rsidR="00741E3B">
        <w:rPr>
          <w:rFonts w:asciiTheme="minorHAnsi" w:hAnsiTheme="minorHAnsi" w:cstheme="minorHAnsi"/>
          <w:bCs/>
          <w:sz w:val="20"/>
          <w:lang w:val="cs-CZ"/>
        </w:rPr>
        <w:t> </w:t>
      </w:r>
      <w:r w:rsidRPr="00A27E6F">
        <w:rPr>
          <w:rFonts w:asciiTheme="minorHAnsi" w:hAnsiTheme="minorHAnsi" w:cstheme="minorHAnsi"/>
          <w:bCs/>
          <w:sz w:val="20"/>
          <w:lang w:val="cs-CZ"/>
        </w:rPr>
        <w:t>dopravě prostřednictvím opatření uvedených v</w:t>
      </w:r>
      <w:r w:rsidRPr="00A27E6F" w:rsidR="00741E3B">
        <w:rPr>
          <w:rFonts w:asciiTheme="minorHAnsi" w:hAnsiTheme="minorHAnsi" w:cstheme="minorHAnsi"/>
          <w:bCs/>
          <w:sz w:val="20"/>
          <w:lang w:val="cs-CZ"/>
        </w:rPr>
        <w:t> </w:t>
      </w:r>
      <w:r w:rsidRPr="00A27E6F" w:rsidR="00E16981">
        <w:rPr>
          <w:rFonts w:asciiTheme="minorHAnsi" w:hAnsiTheme="minorHAnsi" w:cstheme="minorHAnsi"/>
          <w:bCs/>
          <w:sz w:val="20"/>
          <w:lang w:val="cs-CZ"/>
        </w:rPr>
        <w:t xml:space="preserve">Aktualizaci </w:t>
      </w:r>
      <w:r w:rsidRPr="00A27E6F">
        <w:rPr>
          <w:rFonts w:asciiTheme="minorHAnsi" w:hAnsiTheme="minorHAnsi" w:cstheme="minorHAnsi"/>
          <w:bCs/>
          <w:sz w:val="20"/>
          <w:lang w:val="cs-CZ"/>
        </w:rPr>
        <w:t>Národní</w:t>
      </w:r>
      <w:r w:rsidRPr="00A27E6F" w:rsidR="00E16981">
        <w:rPr>
          <w:rFonts w:asciiTheme="minorHAnsi" w:hAnsiTheme="minorHAnsi" w:cstheme="minorHAnsi"/>
          <w:bCs/>
          <w:sz w:val="20"/>
          <w:lang w:val="cs-CZ"/>
        </w:rPr>
        <w:t>ho</w:t>
      </w:r>
      <w:r w:rsidRPr="00A27E6F">
        <w:rPr>
          <w:rFonts w:asciiTheme="minorHAnsi" w:hAnsiTheme="minorHAnsi" w:cstheme="minorHAnsi"/>
          <w:bCs/>
          <w:sz w:val="20"/>
          <w:lang w:val="cs-CZ"/>
        </w:rPr>
        <w:t xml:space="preserve"> akční</w:t>
      </w:r>
      <w:r w:rsidRPr="00A27E6F" w:rsidR="00E16981">
        <w:rPr>
          <w:rFonts w:asciiTheme="minorHAnsi" w:hAnsiTheme="minorHAnsi" w:cstheme="minorHAnsi"/>
          <w:bCs/>
          <w:sz w:val="20"/>
          <w:lang w:val="cs-CZ"/>
        </w:rPr>
        <w:t>ho</w:t>
      </w:r>
      <w:r w:rsidRPr="00A27E6F">
        <w:rPr>
          <w:rFonts w:asciiTheme="minorHAnsi" w:hAnsiTheme="minorHAnsi" w:cstheme="minorHAnsi"/>
          <w:bCs/>
          <w:sz w:val="20"/>
          <w:lang w:val="cs-CZ"/>
        </w:rPr>
        <w:t xml:space="preserve"> plánu čisté mobility, který vznikl na základě požadavku směrnice Evropského parlamentu a</w:t>
      </w:r>
      <w:r w:rsidRPr="00A27E6F" w:rsidR="00741E3B">
        <w:rPr>
          <w:rFonts w:asciiTheme="minorHAnsi" w:hAnsiTheme="minorHAnsi" w:cstheme="minorHAnsi"/>
          <w:bCs/>
          <w:sz w:val="20"/>
          <w:lang w:val="cs-CZ"/>
        </w:rPr>
        <w:t> </w:t>
      </w:r>
      <w:r w:rsidRPr="00A27E6F">
        <w:rPr>
          <w:rFonts w:asciiTheme="minorHAnsi" w:hAnsiTheme="minorHAnsi" w:cstheme="minorHAnsi"/>
          <w:bCs/>
          <w:sz w:val="20"/>
          <w:lang w:val="cs-CZ"/>
        </w:rPr>
        <w:t>Rady 2014/94/EU o</w:t>
      </w:r>
      <w:r w:rsidRPr="00A27E6F" w:rsidR="00741E3B">
        <w:rPr>
          <w:rFonts w:asciiTheme="minorHAnsi" w:hAnsiTheme="minorHAnsi" w:cstheme="minorHAnsi"/>
          <w:bCs/>
          <w:sz w:val="20"/>
          <w:lang w:val="cs-CZ"/>
        </w:rPr>
        <w:t> </w:t>
      </w:r>
      <w:r w:rsidRPr="00A27E6F">
        <w:rPr>
          <w:rFonts w:asciiTheme="minorHAnsi" w:hAnsiTheme="minorHAnsi" w:cstheme="minorHAnsi"/>
          <w:bCs/>
          <w:sz w:val="20"/>
          <w:lang w:val="cs-CZ"/>
        </w:rPr>
        <w:t>zavádění infrastruktury pro alternativní paliva</w:t>
      </w:r>
      <w:r w:rsidRPr="00A27E6F" w:rsidR="00641110">
        <w:rPr>
          <w:rFonts w:asciiTheme="minorHAnsi" w:hAnsiTheme="minorHAnsi" w:cstheme="minorHAnsi"/>
          <w:bCs/>
          <w:sz w:val="20"/>
          <w:lang w:val="cs-CZ"/>
        </w:rPr>
        <w:t>, a</w:t>
      </w:r>
      <w:r w:rsidRPr="00A27E6F" w:rsidR="00741E3B">
        <w:rPr>
          <w:rFonts w:asciiTheme="minorHAnsi" w:hAnsiTheme="minorHAnsi" w:cstheme="minorHAnsi"/>
          <w:bCs/>
          <w:sz w:val="20"/>
          <w:lang w:val="cs-CZ"/>
        </w:rPr>
        <w:t> </w:t>
      </w:r>
      <w:r w:rsidRPr="00A27E6F" w:rsidR="00641110">
        <w:rPr>
          <w:rFonts w:asciiTheme="minorHAnsi" w:hAnsiTheme="minorHAnsi" w:cstheme="minorHAnsi"/>
          <w:bCs/>
          <w:sz w:val="20"/>
          <w:lang w:val="cs-CZ"/>
        </w:rPr>
        <w:t xml:space="preserve">ze kterého vychází komponenta čistá mobilita. </w:t>
      </w:r>
      <w:r w:rsidRPr="00A27E6F">
        <w:rPr>
          <w:rFonts w:asciiTheme="minorHAnsi" w:hAnsiTheme="minorHAnsi" w:cstheme="minorHAnsi"/>
          <w:bCs/>
          <w:sz w:val="20"/>
          <w:lang w:val="cs-CZ"/>
        </w:rPr>
        <w:t>Zároveň se jedná o</w:t>
      </w:r>
      <w:r w:rsidRPr="00A27E6F" w:rsidR="00741E3B">
        <w:rPr>
          <w:rFonts w:asciiTheme="minorHAnsi" w:hAnsiTheme="minorHAnsi" w:cstheme="minorHAnsi"/>
          <w:bCs/>
          <w:sz w:val="20"/>
          <w:lang w:val="cs-CZ"/>
        </w:rPr>
        <w:t> </w:t>
      </w:r>
      <w:r w:rsidRPr="00A27E6F">
        <w:rPr>
          <w:rFonts w:asciiTheme="minorHAnsi" w:hAnsiTheme="minorHAnsi" w:cstheme="minorHAnsi"/>
          <w:bCs/>
          <w:sz w:val="20"/>
          <w:lang w:val="cs-CZ"/>
        </w:rPr>
        <w:t>podporu transformace automobilového průmyslu v</w:t>
      </w:r>
      <w:r w:rsidRPr="00A27E6F" w:rsidR="00741E3B">
        <w:rPr>
          <w:rFonts w:asciiTheme="minorHAnsi" w:hAnsiTheme="minorHAnsi" w:cstheme="minorHAnsi"/>
          <w:bCs/>
          <w:sz w:val="20"/>
          <w:lang w:val="cs-CZ"/>
        </w:rPr>
        <w:t> </w:t>
      </w:r>
      <w:r w:rsidRPr="00A27E6F">
        <w:rPr>
          <w:rFonts w:asciiTheme="minorHAnsi" w:hAnsiTheme="minorHAnsi" w:cstheme="minorHAnsi"/>
          <w:bCs/>
          <w:sz w:val="20"/>
          <w:lang w:val="cs-CZ"/>
        </w:rPr>
        <w:t>souvislosti s</w:t>
      </w:r>
      <w:r w:rsidRPr="00A27E6F" w:rsidR="00741E3B">
        <w:rPr>
          <w:rFonts w:asciiTheme="minorHAnsi" w:hAnsiTheme="minorHAnsi" w:cstheme="minorHAnsi"/>
          <w:bCs/>
          <w:sz w:val="20"/>
          <w:lang w:val="cs-CZ"/>
        </w:rPr>
        <w:t> </w:t>
      </w:r>
      <w:r w:rsidRPr="00A27E6F">
        <w:rPr>
          <w:rFonts w:asciiTheme="minorHAnsi" w:hAnsiTheme="minorHAnsi" w:cstheme="minorHAnsi"/>
          <w:bCs/>
          <w:sz w:val="20"/>
          <w:lang w:val="cs-CZ"/>
        </w:rPr>
        <w:t xml:space="preserve">přechodem na </w:t>
      </w:r>
      <w:proofErr w:type="spellStart"/>
      <w:r w:rsidRPr="00A27E6F">
        <w:rPr>
          <w:rFonts w:asciiTheme="minorHAnsi" w:hAnsiTheme="minorHAnsi" w:cstheme="minorHAnsi"/>
          <w:bCs/>
          <w:sz w:val="20"/>
          <w:lang w:val="cs-CZ"/>
        </w:rPr>
        <w:t>nízkoemisní</w:t>
      </w:r>
      <w:proofErr w:type="spellEnd"/>
      <w:r w:rsidRPr="00A27E6F">
        <w:rPr>
          <w:rFonts w:asciiTheme="minorHAnsi" w:hAnsiTheme="minorHAnsi" w:cstheme="minorHAnsi"/>
          <w:bCs/>
          <w:sz w:val="20"/>
          <w:lang w:val="cs-CZ"/>
        </w:rPr>
        <w:t xml:space="preserve"> mobilitu v</w:t>
      </w:r>
      <w:r w:rsidRPr="00A27E6F" w:rsidR="00741E3B">
        <w:rPr>
          <w:rFonts w:asciiTheme="minorHAnsi" w:hAnsiTheme="minorHAnsi" w:cstheme="minorHAnsi"/>
          <w:bCs/>
          <w:sz w:val="20"/>
          <w:lang w:val="cs-CZ"/>
        </w:rPr>
        <w:t> </w:t>
      </w:r>
      <w:r w:rsidRPr="00A27E6F">
        <w:rPr>
          <w:rFonts w:asciiTheme="minorHAnsi" w:hAnsiTheme="minorHAnsi" w:cstheme="minorHAnsi"/>
          <w:bCs/>
          <w:sz w:val="20"/>
          <w:lang w:val="cs-CZ"/>
        </w:rPr>
        <w:t>souladu s</w:t>
      </w:r>
      <w:r w:rsidRPr="00A27E6F" w:rsidR="00741E3B">
        <w:rPr>
          <w:rFonts w:asciiTheme="minorHAnsi" w:hAnsiTheme="minorHAnsi" w:cstheme="minorHAnsi"/>
          <w:bCs/>
          <w:sz w:val="20"/>
          <w:lang w:val="cs-CZ"/>
        </w:rPr>
        <w:t> </w:t>
      </w:r>
      <w:r w:rsidRPr="00A27E6F">
        <w:rPr>
          <w:rFonts w:asciiTheme="minorHAnsi" w:hAnsiTheme="minorHAnsi" w:cstheme="minorHAnsi"/>
          <w:bCs/>
          <w:sz w:val="20"/>
          <w:lang w:val="cs-CZ"/>
        </w:rPr>
        <w:t>Memorandem o</w:t>
      </w:r>
      <w:r w:rsidRPr="00A27E6F" w:rsidR="00741E3B">
        <w:rPr>
          <w:rFonts w:asciiTheme="minorHAnsi" w:hAnsiTheme="minorHAnsi" w:cstheme="minorHAnsi"/>
          <w:bCs/>
          <w:sz w:val="20"/>
          <w:lang w:val="cs-CZ"/>
        </w:rPr>
        <w:t> </w:t>
      </w:r>
      <w:r w:rsidRPr="00A27E6F">
        <w:rPr>
          <w:rFonts w:asciiTheme="minorHAnsi" w:hAnsiTheme="minorHAnsi" w:cstheme="minorHAnsi"/>
          <w:bCs/>
          <w:sz w:val="20"/>
          <w:lang w:val="cs-CZ"/>
        </w:rPr>
        <w:t xml:space="preserve">budoucnosti automobilového průmyslu.  </w:t>
      </w:r>
    </w:p>
    <w:p w:rsidRPr="00A27E6F" w:rsidR="00F22C75" w:rsidP="00D10829" w:rsidRDefault="00F22C75" w14:paraId="338A4670" w14:textId="77777777">
      <w:pPr>
        <w:pStyle w:val="00Body"/>
        <w:spacing w:before="0" w:after="120" w:line="240" w:lineRule="auto"/>
        <w:jc w:val="both"/>
        <w:rPr>
          <w:rFonts w:asciiTheme="minorHAnsi" w:hAnsiTheme="minorHAnsi" w:cstheme="minorHAnsi"/>
          <w:bCs/>
          <w:sz w:val="20"/>
          <w:lang w:val="cs-CZ"/>
        </w:rPr>
      </w:pPr>
      <w:r w:rsidRPr="00A27E6F">
        <w:rPr>
          <w:rFonts w:asciiTheme="minorHAnsi" w:hAnsiTheme="minorHAnsi" w:cstheme="minorHAnsi"/>
          <w:bCs/>
          <w:sz w:val="20"/>
          <w:lang w:val="cs-CZ"/>
        </w:rPr>
        <w:t xml:space="preserve">Cílem je rozvoj potřebné infrastruktury pro vozidla na alternativní paliva a zvýšení počtu těchto vozidel v České republice. To pomůže nastartování výroby a prodejů vozidel na alternativní paliva v ČR. Vazba tohoto cíle je v doporučeních EU pro ČR v rámci udržitelné dopravní infrastruktury. </w:t>
      </w:r>
    </w:p>
    <w:p w:rsidRPr="00A27E6F" w:rsidR="00436A3E" w:rsidP="00D10829" w:rsidRDefault="00436A3E" w14:paraId="5ABCF4BA" w14:textId="77777777">
      <w:pPr>
        <w:pStyle w:val="00Body"/>
        <w:spacing w:before="0" w:after="120" w:line="240" w:lineRule="auto"/>
        <w:jc w:val="both"/>
        <w:rPr>
          <w:rFonts w:asciiTheme="minorHAnsi" w:hAnsiTheme="minorHAnsi" w:cstheme="minorHAnsi"/>
          <w:bCs/>
          <w:sz w:val="20"/>
          <w:lang w:val="cs-CZ"/>
        </w:rPr>
      </w:pPr>
      <w:r w:rsidRPr="00A27E6F">
        <w:rPr>
          <w:rFonts w:asciiTheme="minorHAnsi" w:hAnsiTheme="minorHAnsi" w:cstheme="minorHAnsi"/>
          <w:bCs/>
          <w:sz w:val="20"/>
          <w:lang w:val="cs-CZ"/>
        </w:rPr>
        <w:t>V souvislosti s</w:t>
      </w:r>
      <w:r w:rsidRPr="00A27E6F" w:rsidR="00741E3B">
        <w:rPr>
          <w:rFonts w:asciiTheme="minorHAnsi" w:hAnsiTheme="minorHAnsi" w:cstheme="minorHAnsi"/>
          <w:bCs/>
          <w:sz w:val="20"/>
          <w:lang w:val="cs-CZ"/>
        </w:rPr>
        <w:t> </w:t>
      </w:r>
      <w:r w:rsidRPr="00A27E6F">
        <w:rPr>
          <w:rFonts w:asciiTheme="minorHAnsi" w:hAnsiTheme="minorHAnsi" w:cstheme="minorHAnsi"/>
          <w:bCs/>
          <w:sz w:val="20"/>
          <w:lang w:val="cs-CZ"/>
        </w:rPr>
        <w:t xml:space="preserve">podporou </w:t>
      </w:r>
      <w:proofErr w:type="spellStart"/>
      <w:r w:rsidRPr="00A27E6F">
        <w:rPr>
          <w:rFonts w:asciiTheme="minorHAnsi" w:hAnsiTheme="minorHAnsi" w:cstheme="minorHAnsi"/>
          <w:bCs/>
          <w:sz w:val="20"/>
          <w:lang w:val="cs-CZ"/>
        </w:rPr>
        <w:t>nízkoemisních</w:t>
      </w:r>
      <w:proofErr w:type="spellEnd"/>
      <w:r w:rsidRPr="00A27E6F">
        <w:rPr>
          <w:rFonts w:asciiTheme="minorHAnsi" w:hAnsiTheme="minorHAnsi" w:cstheme="minorHAnsi"/>
          <w:bCs/>
          <w:sz w:val="20"/>
          <w:lang w:val="cs-CZ"/>
        </w:rPr>
        <w:t xml:space="preserve"> vozidel (elektromobily a</w:t>
      </w:r>
      <w:r w:rsidRPr="00A27E6F" w:rsidR="00741E3B">
        <w:rPr>
          <w:rFonts w:asciiTheme="minorHAnsi" w:hAnsiTheme="minorHAnsi" w:cstheme="minorHAnsi"/>
          <w:bCs/>
          <w:sz w:val="20"/>
          <w:lang w:val="cs-CZ"/>
        </w:rPr>
        <w:t> </w:t>
      </w:r>
      <w:proofErr w:type="spellStart"/>
      <w:r w:rsidRPr="00A27E6F">
        <w:rPr>
          <w:rFonts w:asciiTheme="minorHAnsi" w:hAnsiTheme="minorHAnsi" w:cstheme="minorHAnsi"/>
          <w:bCs/>
          <w:sz w:val="20"/>
          <w:lang w:val="cs-CZ"/>
        </w:rPr>
        <w:t>PHEVs</w:t>
      </w:r>
      <w:proofErr w:type="spellEnd"/>
      <w:r w:rsidRPr="00A27E6F">
        <w:rPr>
          <w:rFonts w:asciiTheme="minorHAnsi" w:hAnsiTheme="minorHAnsi" w:cstheme="minorHAnsi"/>
          <w:bCs/>
          <w:sz w:val="20"/>
          <w:lang w:val="cs-CZ"/>
        </w:rPr>
        <w:t>) bude v</w:t>
      </w:r>
      <w:r w:rsidRPr="00A27E6F" w:rsidR="00741E3B">
        <w:rPr>
          <w:rFonts w:asciiTheme="minorHAnsi" w:hAnsiTheme="minorHAnsi" w:cstheme="minorHAnsi"/>
          <w:bCs/>
          <w:sz w:val="20"/>
          <w:lang w:val="cs-CZ"/>
        </w:rPr>
        <w:t> </w:t>
      </w:r>
      <w:r w:rsidRPr="00A27E6F">
        <w:rPr>
          <w:rFonts w:asciiTheme="minorHAnsi" w:hAnsiTheme="minorHAnsi" w:cstheme="minorHAnsi"/>
          <w:bCs/>
          <w:sz w:val="20"/>
          <w:lang w:val="cs-CZ"/>
        </w:rPr>
        <w:t>případě osobních vozidel aplikován limit 50 g</w:t>
      </w:r>
      <w:r w:rsidRPr="00A27E6F" w:rsidR="00741E3B">
        <w:rPr>
          <w:rFonts w:asciiTheme="minorHAnsi" w:hAnsiTheme="minorHAnsi" w:cstheme="minorHAnsi"/>
          <w:bCs/>
          <w:sz w:val="20"/>
          <w:lang w:val="cs-CZ"/>
        </w:rPr>
        <w:t> </w:t>
      </w:r>
      <w:r w:rsidRPr="00A27E6F">
        <w:rPr>
          <w:rFonts w:asciiTheme="minorHAnsi" w:hAnsiTheme="minorHAnsi" w:cstheme="minorHAnsi"/>
          <w:bCs/>
          <w:sz w:val="20"/>
          <w:lang w:val="cs-CZ"/>
        </w:rPr>
        <w:t>CO2/km. Tento limit vychází ze Směrnice EP a</w:t>
      </w:r>
      <w:r w:rsidRPr="00A27E6F" w:rsidR="00741E3B">
        <w:rPr>
          <w:rFonts w:asciiTheme="minorHAnsi" w:hAnsiTheme="minorHAnsi" w:cstheme="minorHAnsi"/>
          <w:bCs/>
          <w:sz w:val="20"/>
          <w:lang w:val="cs-CZ"/>
        </w:rPr>
        <w:t> </w:t>
      </w:r>
      <w:r w:rsidRPr="00A27E6F">
        <w:rPr>
          <w:rFonts w:asciiTheme="minorHAnsi" w:hAnsiTheme="minorHAnsi" w:cstheme="minorHAnsi"/>
          <w:bCs/>
          <w:sz w:val="20"/>
          <w:lang w:val="cs-CZ"/>
        </w:rPr>
        <w:t>Rady 2019/1161, kterou se mění směrnice 2009/33/ES o</w:t>
      </w:r>
      <w:r w:rsidRPr="00A27E6F" w:rsidR="00741E3B">
        <w:rPr>
          <w:rFonts w:asciiTheme="minorHAnsi" w:hAnsiTheme="minorHAnsi" w:cstheme="minorHAnsi"/>
          <w:bCs/>
          <w:sz w:val="20"/>
          <w:lang w:val="cs-CZ"/>
        </w:rPr>
        <w:t> </w:t>
      </w:r>
      <w:r w:rsidRPr="00A27E6F">
        <w:rPr>
          <w:rFonts w:asciiTheme="minorHAnsi" w:hAnsiTheme="minorHAnsi" w:cstheme="minorHAnsi"/>
          <w:bCs/>
          <w:sz w:val="20"/>
          <w:lang w:val="cs-CZ"/>
        </w:rPr>
        <w:t>podpoře čistých a</w:t>
      </w:r>
      <w:r w:rsidRPr="00A27E6F" w:rsidR="00741E3B">
        <w:rPr>
          <w:rFonts w:asciiTheme="minorHAnsi" w:hAnsiTheme="minorHAnsi" w:cstheme="minorHAnsi"/>
          <w:bCs/>
          <w:sz w:val="20"/>
          <w:lang w:val="cs-CZ"/>
        </w:rPr>
        <w:t> </w:t>
      </w:r>
      <w:r w:rsidRPr="00A27E6F">
        <w:rPr>
          <w:rFonts w:asciiTheme="minorHAnsi" w:hAnsiTheme="minorHAnsi" w:cstheme="minorHAnsi"/>
          <w:bCs/>
          <w:sz w:val="20"/>
          <w:lang w:val="cs-CZ"/>
        </w:rPr>
        <w:t>energeticky účinných silničních vozidel, která</w:t>
      </w:r>
      <w:r w:rsidRPr="00A27E6F" w:rsidR="00654BC3">
        <w:rPr>
          <w:rFonts w:asciiTheme="minorHAnsi" w:hAnsiTheme="minorHAnsi" w:cstheme="minorHAnsi"/>
          <w:bCs/>
          <w:sz w:val="20"/>
          <w:lang w:val="cs-CZ"/>
        </w:rPr>
        <w:t xml:space="preserve"> </w:t>
      </w:r>
      <w:r w:rsidRPr="00A27E6F">
        <w:rPr>
          <w:rFonts w:asciiTheme="minorHAnsi" w:hAnsiTheme="minorHAnsi" w:cstheme="minorHAnsi"/>
          <w:bCs/>
          <w:sz w:val="20"/>
          <w:lang w:val="cs-CZ"/>
        </w:rPr>
        <w:t>stanoví povinný podíl nízko a</w:t>
      </w:r>
      <w:r w:rsidRPr="00A27E6F" w:rsidR="00741E3B">
        <w:rPr>
          <w:rFonts w:asciiTheme="minorHAnsi" w:hAnsiTheme="minorHAnsi" w:cstheme="minorHAnsi"/>
          <w:bCs/>
          <w:sz w:val="20"/>
          <w:lang w:val="cs-CZ"/>
        </w:rPr>
        <w:t> </w:t>
      </w:r>
      <w:r w:rsidRPr="00A27E6F">
        <w:rPr>
          <w:rFonts w:asciiTheme="minorHAnsi" w:hAnsiTheme="minorHAnsi" w:cstheme="minorHAnsi"/>
          <w:bCs/>
          <w:sz w:val="20"/>
          <w:lang w:val="cs-CZ"/>
        </w:rPr>
        <w:t xml:space="preserve">bezemisních vozidel pořizovaných veřejnými zadavateli. </w:t>
      </w:r>
    </w:p>
    <w:p w:rsidRPr="00A27E6F" w:rsidR="00916CC6" w:rsidP="5CEDD745" w:rsidRDefault="2666E346" w14:paraId="1E056CB2" w14:textId="72D52E27">
      <w:pPr>
        <w:pStyle w:val="00Body"/>
        <w:spacing w:before="0" w:after="120" w:line="240" w:lineRule="auto"/>
        <w:jc w:val="both"/>
        <w:rPr>
          <w:rFonts w:asciiTheme="minorHAnsi" w:hAnsiTheme="minorHAnsi" w:cstheme="minorBidi"/>
          <w:sz w:val="20"/>
          <w:lang w:val="cs-CZ"/>
        </w:rPr>
      </w:pPr>
      <w:r w:rsidRPr="36384684">
        <w:rPr>
          <w:rFonts w:asciiTheme="minorHAnsi" w:hAnsiTheme="minorHAnsi" w:cstheme="minorBidi"/>
          <w:sz w:val="20"/>
          <w:lang w:val="cs-CZ"/>
        </w:rPr>
        <w:t xml:space="preserve">Komponenta čistá mobilita má za cíl postavit </w:t>
      </w:r>
      <w:r w:rsidRPr="36384684" w:rsidR="5E96E4E5">
        <w:rPr>
          <w:rFonts w:asciiTheme="minorHAnsi" w:hAnsiTheme="minorHAnsi" w:cstheme="minorBidi"/>
          <w:sz w:val="20"/>
          <w:lang w:val="cs-CZ"/>
        </w:rPr>
        <w:t>5</w:t>
      </w:r>
      <w:r w:rsidRPr="36384684" w:rsidR="7C44719C">
        <w:rPr>
          <w:rFonts w:asciiTheme="minorHAnsi" w:hAnsiTheme="minorHAnsi" w:cstheme="minorBidi"/>
          <w:sz w:val="20"/>
          <w:lang w:val="cs-CZ"/>
        </w:rPr>
        <w:t>2</w:t>
      </w:r>
      <w:r w:rsidRPr="36384684">
        <w:rPr>
          <w:rFonts w:asciiTheme="minorHAnsi" w:hAnsiTheme="minorHAnsi" w:cstheme="minorBidi"/>
          <w:sz w:val="20"/>
          <w:lang w:val="cs-CZ"/>
        </w:rPr>
        <w:t xml:space="preserve"> dobíjecích bodů</w:t>
      </w:r>
      <w:r w:rsidRPr="36384684" w:rsidR="7C44719C">
        <w:rPr>
          <w:rFonts w:asciiTheme="minorHAnsi" w:hAnsiTheme="minorHAnsi" w:cstheme="minorBidi"/>
          <w:sz w:val="20"/>
          <w:lang w:val="cs-CZ"/>
        </w:rPr>
        <w:t xml:space="preserve"> a </w:t>
      </w:r>
      <w:r w:rsidRPr="36384684" w:rsidR="74665CA8">
        <w:rPr>
          <w:rFonts w:asciiTheme="minorHAnsi" w:hAnsiTheme="minorHAnsi" w:cstheme="minorBidi"/>
          <w:sz w:val="20"/>
          <w:lang w:val="cs-CZ"/>
        </w:rPr>
        <w:t>40</w:t>
      </w:r>
      <w:r w:rsidRPr="36384684" w:rsidR="7C44719C">
        <w:rPr>
          <w:rFonts w:asciiTheme="minorHAnsi" w:hAnsiTheme="minorHAnsi" w:cstheme="minorBidi"/>
          <w:sz w:val="20"/>
          <w:lang w:val="cs-CZ"/>
        </w:rPr>
        <w:t xml:space="preserve"> km dynamického dobíjení</w:t>
      </w:r>
      <w:r w:rsidRPr="36384684">
        <w:rPr>
          <w:rFonts w:asciiTheme="minorHAnsi" w:hAnsiTheme="minorHAnsi" w:cstheme="minorBidi"/>
          <w:sz w:val="20"/>
          <w:lang w:val="cs-CZ"/>
        </w:rPr>
        <w:t xml:space="preserve"> pro veřejnou dopravu, 1 </w:t>
      </w:r>
      <w:r w:rsidRPr="36384684" w:rsidR="00F43705">
        <w:rPr>
          <w:rFonts w:asciiTheme="minorHAnsi" w:hAnsiTheme="minorHAnsi" w:cstheme="minorBidi"/>
          <w:sz w:val="20"/>
          <w:lang w:val="cs-CZ"/>
        </w:rPr>
        <w:t>500</w:t>
      </w:r>
      <w:r w:rsidRPr="36384684">
        <w:rPr>
          <w:rFonts w:asciiTheme="minorHAnsi" w:hAnsiTheme="minorHAnsi" w:cstheme="minorBidi"/>
          <w:sz w:val="20"/>
          <w:lang w:val="cs-CZ"/>
        </w:rPr>
        <w:t xml:space="preserve"> neveřejných dobíjecích bodů</w:t>
      </w:r>
      <w:r w:rsidRPr="36384684" w:rsidR="3627F853">
        <w:rPr>
          <w:rFonts w:asciiTheme="minorHAnsi" w:hAnsiTheme="minorHAnsi" w:cstheme="minorBidi"/>
          <w:sz w:val="20"/>
          <w:lang w:val="cs-CZ"/>
        </w:rPr>
        <w:t xml:space="preserve"> pro podnikatele</w:t>
      </w:r>
      <w:r w:rsidRPr="36384684">
        <w:rPr>
          <w:rFonts w:asciiTheme="minorHAnsi" w:hAnsiTheme="minorHAnsi" w:cstheme="minorBidi"/>
          <w:sz w:val="20"/>
          <w:lang w:val="cs-CZ"/>
        </w:rPr>
        <w:t xml:space="preserve">, </w:t>
      </w:r>
      <w:r w:rsidRPr="36384684" w:rsidR="5E96E4E5">
        <w:rPr>
          <w:rFonts w:asciiTheme="minorHAnsi" w:hAnsiTheme="minorHAnsi" w:cstheme="minorBidi"/>
          <w:sz w:val="20"/>
          <w:lang w:val="cs-CZ"/>
        </w:rPr>
        <w:t xml:space="preserve">dále </w:t>
      </w:r>
      <w:r w:rsidRPr="36384684">
        <w:rPr>
          <w:rFonts w:asciiTheme="minorHAnsi" w:hAnsiTheme="minorHAnsi" w:cstheme="minorBidi"/>
          <w:sz w:val="20"/>
          <w:lang w:val="cs-CZ"/>
        </w:rPr>
        <w:t xml:space="preserve">vybudovat </w:t>
      </w:r>
      <w:r w:rsidRPr="36384684" w:rsidR="5C4B72A7">
        <w:rPr>
          <w:rFonts w:asciiTheme="minorHAnsi" w:hAnsiTheme="minorHAnsi" w:cstheme="minorBidi"/>
          <w:sz w:val="20"/>
          <w:lang w:val="cs-CZ"/>
        </w:rPr>
        <w:t>2</w:t>
      </w:r>
      <w:r w:rsidRPr="36384684" w:rsidR="3FF5F4AB">
        <w:rPr>
          <w:rFonts w:asciiTheme="minorHAnsi" w:hAnsiTheme="minorHAnsi" w:cstheme="minorBidi"/>
          <w:sz w:val="20"/>
          <w:lang w:val="cs-CZ"/>
        </w:rPr>
        <w:t xml:space="preserve"> </w:t>
      </w:r>
      <w:r w:rsidRPr="36384684" w:rsidR="5C4B72A7">
        <w:rPr>
          <w:rFonts w:asciiTheme="minorHAnsi" w:hAnsiTheme="minorHAnsi" w:cstheme="minorBidi"/>
          <w:sz w:val="20"/>
          <w:lang w:val="cs-CZ"/>
        </w:rPr>
        <w:t xml:space="preserve">880 </w:t>
      </w:r>
      <w:r w:rsidRPr="36384684">
        <w:rPr>
          <w:rFonts w:asciiTheme="minorHAnsi" w:hAnsiTheme="minorHAnsi" w:cstheme="minorBidi"/>
          <w:sz w:val="20"/>
          <w:lang w:val="cs-CZ"/>
        </w:rPr>
        <w:t>dobíjecí</w:t>
      </w:r>
      <w:r w:rsidRPr="36384684" w:rsidR="5C4B72A7">
        <w:rPr>
          <w:rFonts w:asciiTheme="minorHAnsi" w:hAnsiTheme="minorHAnsi" w:cstheme="minorBidi"/>
          <w:sz w:val="20"/>
          <w:lang w:val="cs-CZ"/>
        </w:rPr>
        <w:t>ch</w:t>
      </w:r>
      <w:r w:rsidRPr="36384684">
        <w:rPr>
          <w:rFonts w:asciiTheme="minorHAnsi" w:hAnsiTheme="minorHAnsi" w:cstheme="minorBidi"/>
          <w:sz w:val="20"/>
          <w:lang w:val="cs-CZ"/>
        </w:rPr>
        <w:t xml:space="preserve"> </w:t>
      </w:r>
      <w:r w:rsidRPr="36384684" w:rsidR="4037112F">
        <w:rPr>
          <w:rFonts w:asciiTheme="minorHAnsi" w:hAnsiTheme="minorHAnsi" w:cstheme="minorBidi"/>
          <w:sz w:val="20"/>
          <w:lang w:val="cs-CZ"/>
        </w:rPr>
        <w:t xml:space="preserve">bodů </w:t>
      </w:r>
      <w:r w:rsidRPr="36384684" w:rsidR="00D20D66">
        <w:rPr>
          <w:rFonts w:asciiTheme="minorHAnsi" w:hAnsiTheme="minorHAnsi" w:cstheme="minorBidi"/>
          <w:sz w:val="20"/>
          <w:lang w:val="cs-CZ"/>
        </w:rPr>
        <w:t>v obytných budovách</w:t>
      </w:r>
      <w:r w:rsidRPr="36384684" w:rsidR="4037112F">
        <w:rPr>
          <w:rFonts w:asciiTheme="minorHAnsi" w:hAnsiTheme="minorHAnsi" w:cstheme="minorBidi"/>
          <w:sz w:val="20"/>
          <w:lang w:val="cs-CZ"/>
        </w:rPr>
        <w:t xml:space="preserve"> a </w:t>
      </w:r>
      <w:r w:rsidRPr="36384684" w:rsidR="207841FF">
        <w:rPr>
          <w:rFonts w:asciiTheme="minorHAnsi" w:hAnsiTheme="minorHAnsi" w:cstheme="minorBidi"/>
          <w:sz w:val="20"/>
          <w:lang w:val="cs-CZ"/>
        </w:rPr>
        <w:t>200</w:t>
      </w:r>
      <w:r w:rsidRPr="36384684" w:rsidR="5C4B72A7">
        <w:rPr>
          <w:rFonts w:asciiTheme="minorHAnsi" w:hAnsiTheme="minorHAnsi" w:cstheme="minorBidi"/>
          <w:sz w:val="20"/>
          <w:lang w:val="cs-CZ"/>
        </w:rPr>
        <w:t xml:space="preserve"> dobíjecích bodů</w:t>
      </w:r>
      <w:r w:rsidRPr="36384684">
        <w:rPr>
          <w:rFonts w:asciiTheme="minorHAnsi" w:hAnsiTheme="minorHAnsi" w:cstheme="minorBidi"/>
          <w:sz w:val="20"/>
          <w:lang w:val="cs-CZ"/>
        </w:rPr>
        <w:t xml:space="preserve"> </w:t>
      </w:r>
      <w:r w:rsidRPr="36384684" w:rsidR="5C4B72A7">
        <w:rPr>
          <w:rFonts w:asciiTheme="minorHAnsi" w:hAnsiTheme="minorHAnsi" w:cstheme="minorBidi"/>
          <w:sz w:val="20"/>
          <w:lang w:val="cs-CZ"/>
        </w:rPr>
        <w:t xml:space="preserve">pro </w:t>
      </w:r>
      <w:r w:rsidRPr="36384684">
        <w:rPr>
          <w:rFonts w:asciiTheme="minorHAnsi" w:hAnsiTheme="minorHAnsi" w:cstheme="minorBidi"/>
          <w:sz w:val="20"/>
          <w:lang w:val="cs-CZ"/>
        </w:rPr>
        <w:t>obce, kraje, státní správu a jimi zřízené instituce</w:t>
      </w:r>
      <w:r w:rsidRPr="36384684" w:rsidR="0025412D">
        <w:rPr>
          <w:rFonts w:asciiTheme="minorHAnsi" w:hAnsiTheme="minorHAnsi" w:cstheme="minorBidi"/>
          <w:sz w:val="20"/>
          <w:lang w:val="cs-CZ"/>
        </w:rPr>
        <w:t xml:space="preserve"> a dalších.</w:t>
      </w:r>
      <w:r w:rsidRPr="36384684" w:rsidR="4037112F">
        <w:rPr>
          <w:rFonts w:asciiTheme="minorHAnsi" w:hAnsiTheme="minorHAnsi" w:cstheme="minorBidi"/>
          <w:sz w:val="20"/>
          <w:lang w:val="cs-CZ"/>
        </w:rPr>
        <w:t xml:space="preserve"> V komponentě na rozvoj čisté mobility se</w:t>
      </w:r>
      <w:r w:rsidRPr="36384684" w:rsidR="5C4B72A7">
        <w:rPr>
          <w:rFonts w:asciiTheme="minorHAnsi" w:hAnsiTheme="minorHAnsi" w:cstheme="minorBidi"/>
          <w:sz w:val="20"/>
          <w:lang w:val="cs-CZ"/>
        </w:rPr>
        <w:t xml:space="preserve"> </w:t>
      </w:r>
      <w:r w:rsidRPr="36384684" w:rsidR="4037112F">
        <w:rPr>
          <w:rFonts w:asciiTheme="minorHAnsi" w:hAnsiTheme="minorHAnsi" w:cstheme="minorBidi"/>
          <w:sz w:val="20"/>
          <w:lang w:val="cs-CZ"/>
        </w:rPr>
        <w:t xml:space="preserve">také </w:t>
      </w:r>
      <w:r w:rsidRPr="36384684">
        <w:rPr>
          <w:rFonts w:asciiTheme="minorHAnsi" w:hAnsiTheme="minorHAnsi" w:cstheme="minorBidi"/>
          <w:sz w:val="20"/>
          <w:lang w:val="cs-CZ"/>
        </w:rPr>
        <w:t>podpoř</w:t>
      </w:r>
      <w:r w:rsidRPr="36384684" w:rsidR="4037112F">
        <w:rPr>
          <w:rFonts w:asciiTheme="minorHAnsi" w:hAnsiTheme="minorHAnsi" w:cstheme="minorBidi"/>
          <w:sz w:val="20"/>
          <w:lang w:val="cs-CZ"/>
        </w:rPr>
        <w:t xml:space="preserve">í </w:t>
      </w:r>
      <w:r w:rsidRPr="36384684">
        <w:rPr>
          <w:rFonts w:asciiTheme="minorHAnsi" w:hAnsiTheme="minorHAnsi" w:cstheme="minorBidi"/>
          <w:sz w:val="20"/>
          <w:lang w:val="cs-CZ"/>
        </w:rPr>
        <w:t>nákup</w:t>
      </w:r>
      <w:r w:rsidRPr="36384684" w:rsidR="796DF996">
        <w:rPr>
          <w:rFonts w:asciiTheme="minorHAnsi" w:hAnsiTheme="minorHAnsi" w:cstheme="minorBidi"/>
          <w:sz w:val="20"/>
          <w:lang w:val="cs-CZ"/>
        </w:rPr>
        <w:t xml:space="preserve"> </w:t>
      </w:r>
      <w:r w:rsidRPr="36384684" w:rsidR="4037112F">
        <w:rPr>
          <w:rFonts w:asciiTheme="minorHAnsi" w:hAnsiTheme="minorHAnsi" w:cstheme="minorBidi"/>
          <w:sz w:val="20"/>
          <w:lang w:val="cs-CZ"/>
        </w:rPr>
        <w:t>3</w:t>
      </w:r>
      <w:r w:rsidRPr="36384684" w:rsidR="3FF5F4AB">
        <w:rPr>
          <w:rFonts w:asciiTheme="minorHAnsi" w:hAnsiTheme="minorHAnsi" w:cstheme="minorBidi"/>
          <w:sz w:val="20"/>
          <w:lang w:val="cs-CZ"/>
        </w:rPr>
        <w:t xml:space="preserve"> </w:t>
      </w:r>
      <w:r w:rsidRPr="36384684">
        <w:rPr>
          <w:rFonts w:asciiTheme="minorHAnsi" w:hAnsiTheme="minorHAnsi" w:cstheme="minorBidi"/>
          <w:sz w:val="20"/>
          <w:lang w:val="cs-CZ"/>
        </w:rPr>
        <w:t>525</w:t>
      </w:r>
      <w:r w:rsidRPr="36384684" w:rsidR="796DF996">
        <w:rPr>
          <w:rFonts w:asciiTheme="minorHAnsi" w:hAnsiTheme="minorHAnsi" w:cstheme="minorBidi"/>
          <w:sz w:val="20"/>
          <w:lang w:val="cs-CZ"/>
        </w:rPr>
        <w:t xml:space="preserve"> elektromobilů, 30 vodíkových osobních vozidel a 1 000 </w:t>
      </w:r>
      <w:proofErr w:type="spellStart"/>
      <w:r w:rsidRPr="36384684" w:rsidR="796DF996">
        <w:rPr>
          <w:rFonts w:asciiTheme="minorHAnsi" w:hAnsiTheme="minorHAnsi" w:cstheme="minorBidi"/>
          <w:sz w:val="20"/>
          <w:lang w:val="cs-CZ"/>
        </w:rPr>
        <w:t>cargo</w:t>
      </w:r>
      <w:proofErr w:type="spellEnd"/>
      <w:r w:rsidRPr="36384684" w:rsidR="796DF996">
        <w:rPr>
          <w:rFonts w:asciiTheme="minorHAnsi" w:hAnsiTheme="minorHAnsi" w:cstheme="minorBidi"/>
          <w:sz w:val="20"/>
          <w:lang w:val="cs-CZ"/>
        </w:rPr>
        <w:t xml:space="preserve"> e-kol pro podnikatele,</w:t>
      </w:r>
      <w:r w:rsidRPr="36384684">
        <w:rPr>
          <w:rFonts w:asciiTheme="minorHAnsi" w:hAnsiTheme="minorHAnsi" w:cstheme="minorBidi"/>
          <w:sz w:val="20"/>
          <w:lang w:val="cs-CZ"/>
        </w:rPr>
        <w:t xml:space="preserve"> </w:t>
      </w:r>
      <w:r w:rsidRPr="36384684" w:rsidR="4037112F">
        <w:rPr>
          <w:rFonts w:asciiTheme="minorHAnsi" w:hAnsiTheme="minorHAnsi" w:cstheme="minorBidi"/>
          <w:sz w:val="20"/>
          <w:lang w:val="cs-CZ"/>
        </w:rPr>
        <w:t>1</w:t>
      </w:r>
      <w:r w:rsidRPr="36384684" w:rsidR="3FF5F4AB">
        <w:rPr>
          <w:rFonts w:asciiTheme="minorHAnsi" w:hAnsiTheme="minorHAnsi" w:cstheme="minorBidi"/>
          <w:sz w:val="20"/>
          <w:lang w:val="cs-CZ"/>
        </w:rPr>
        <w:t xml:space="preserve"> </w:t>
      </w:r>
      <w:r w:rsidRPr="36384684" w:rsidR="388AA2DD">
        <w:rPr>
          <w:rFonts w:asciiTheme="minorHAnsi" w:hAnsiTheme="minorHAnsi" w:cstheme="minorBidi"/>
          <w:sz w:val="20"/>
          <w:lang w:val="cs-CZ"/>
        </w:rPr>
        <w:t xml:space="preserve">485 </w:t>
      </w:r>
      <w:r w:rsidRPr="36384684" w:rsidR="4037112F">
        <w:rPr>
          <w:rFonts w:asciiTheme="minorHAnsi" w:hAnsiTheme="minorHAnsi" w:cstheme="minorBidi"/>
          <w:sz w:val="20"/>
          <w:lang w:val="cs-CZ"/>
        </w:rPr>
        <w:t>vozidel</w:t>
      </w:r>
      <w:r w:rsidRPr="36384684" w:rsidR="0025412D">
        <w:rPr>
          <w:rFonts w:asciiTheme="minorHAnsi" w:hAnsiTheme="minorHAnsi" w:cstheme="minorBidi"/>
          <w:sz w:val="20"/>
          <w:lang w:val="cs-CZ"/>
        </w:rPr>
        <w:t xml:space="preserve"> (elektromobily, H2) </w:t>
      </w:r>
      <w:r w:rsidRPr="36384684" w:rsidR="796DF996">
        <w:rPr>
          <w:rFonts w:asciiTheme="minorHAnsi" w:hAnsiTheme="minorHAnsi" w:cstheme="minorBidi"/>
          <w:sz w:val="20"/>
          <w:lang w:val="cs-CZ"/>
        </w:rPr>
        <w:t>pro obce, kraje a státní správu a 20 bateriových trolejbusů a 20 nízkopodlažních tramvají v Praze</w:t>
      </w:r>
      <w:r w:rsidRPr="36384684" w:rsidR="4037112F">
        <w:rPr>
          <w:rFonts w:asciiTheme="minorHAnsi" w:hAnsiTheme="minorHAnsi" w:cstheme="minorBidi"/>
          <w:sz w:val="20"/>
          <w:lang w:val="cs-CZ"/>
        </w:rPr>
        <w:t>.</w:t>
      </w:r>
      <w:r w:rsidRPr="36384684">
        <w:rPr>
          <w:rFonts w:asciiTheme="minorHAnsi" w:hAnsiTheme="minorHAnsi" w:cstheme="minorBidi"/>
          <w:sz w:val="20"/>
          <w:lang w:val="cs-CZ"/>
        </w:rPr>
        <w:t xml:space="preserve"> </w:t>
      </w:r>
    </w:p>
    <w:p w:rsidRPr="00A27E6F" w:rsidR="00916CC6" w:rsidP="00D10829" w:rsidRDefault="00916CC6" w14:paraId="5127BC6F" w14:textId="77777777">
      <w:pPr>
        <w:pStyle w:val="00Body"/>
        <w:spacing w:before="0" w:after="120" w:line="240" w:lineRule="auto"/>
        <w:jc w:val="both"/>
        <w:rPr>
          <w:rFonts w:asciiTheme="minorHAnsi" w:hAnsiTheme="minorHAnsi" w:cstheme="minorHAnsi"/>
          <w:bCs/>
          <w:sz w:val="20"/>
          <w:lang w:val="cs-CZ"/>
        </w:rPr>
      </w:pPr>
      <w:r w:rsidRPr="00A27E6F">
        <w:rPr>
          <w:rFonts w:asciiTheme="minorHAnsi" w:hAnsiTheme="minorHAnsi" w:cstheme="minorHAnsi"/>
          <w:bCs/>
          <w:sz w:val="20"/>
          <w:lang w:val="cs-CZ"/>
        </w:rPr>
        <w:t>Celková podpora do roku 202</w:t>
      </w:r>
      <w:r w:rsidRPr="00A27E6F" w:rsidR="00465830">
        <w:rPr>
          <w:rFonts w:asciiTheme="minorHAnsi" w:hAnsiTheme="minorHAnsi" w:cstheme="minorHAnsi"/>
          <w:bCs/>
          <w:sz w:val="20"/>
          <w:lang w:val="cs-CZ"/>
        </w:rPr>
        <w:t>6</w:t>
      </w:r>
      <w:r w:rsidRPr="00A27E6F">
        <w:rPr>
          <w:rFonts w:asciiTheme="minorHAnsi" w:hAnsiTheme="minorHAnsi" w:cstheme="minorHAnsi"/>
          <w:bCs/>
          <w:sz w:val="20"/>
          <w:lang w:val="cs-CZ"/>
        </w:rPr>
        <w:t xml:space="preserve"> pro navrhované reformy a investice obsahuje podporu budování infrastruktury pro alternativní paliva a nákupu vozidel na alternativní paliva v rozsahu:</w:t>
      </w:r>
    </w:p>
    <w:p w:rsidRPr="00A27E6F" w:rsidR="004E60C4" w:rsidP="004E60C4" w:rsidRDefault="00590DEF" w14:paraId="7C74CB02" w14:textId="77777777">
      <w:pPr>
        <w:spacing w:after="120" w:line="240" w:lineRule="auto"/>
        <w:rPr>
          <w:rFonts w:cstheme="minorHAnsi"/>
          <w:b/>
          <w:bCs/>
          <w:color w:val="auto"/>
          <w:sz w:val="20"/>
          <w:szCs w:val="20"/>
          <w:u w:val="single"/>
        </w:rPr>
      </w:pPr>
      <w:r w:rsidRPr="00A27E6F">
        <w:rPr>
          <w:rFonts w:cstheme="minorHAnsi"/>
          <w:b/>
          <w:bCs/>
          <w:sz w:val="20"/>
          <w:szCs w:val="20"/>
          <w:u w:val="single"/>
        </w:rPr>
        <w:t xml:space="preserve">Budování infrastruktury </w:t>
      </w:r>
      <w:r w:rsidRPr="00A27E6F" w:rsidR="004E60C4">
        <w:rPr>
          <w:rFonts w:cstheme="minorHAnsi"/>
          <w:b/>
          <w:bCs/>
          <w:sz w:val="20"/>
          <w:szCs w:val="20"/>
          <w:u w:val="single"/>
        </w:rPr>
        <w:t xml:space="preserve">a nákup vozidel </w:t>
      </w:r>
      <w:r w:rsidRPr="00A27E6F">
        <w:rPr>
          <w:rFonts w:cstheme="minorHAnsi"/>
          <w:b/>
          <w:bCs/>
          <w:sz w:val="20"/>
          <w:szCs w:val="20"/>
          <w:u w:val="single"/>
        </w:rPr>
        <w:t>pro alternativní paliva</w:t>
      </w:r>
      <w:r w:rsidRPr="00A27E6F" w:rsidR="004E60C4">
        <w:rPr>
          <w:rFonts w:cstheme="minorHAnsi"/>
          <w:b/>
          <w:bCs/>
          <w:sz w:val="20"/>
          <w:szCs w:val="20"/>
          <w:u w:val="single"/>
        </w:rPr>
        <w:t xml:space="preserve"> </w:t>
      </w:r>
    </w:p>
    <w:p w:rsidRPr="00A27E6F" w:rsidR="00590DEF" w:rsidP="004E60C4" w:rsidRDefault="00C81828" w14:paraId="279D0004" w14:textId="4F34868A">
      <w:pPr>
        <w:pStyle w:val="Odstavecseseznamem"/>
        <w:numPr>
          <w:ilvl w:val="0"/>
          <w:numId w:val="25"/>
        </w:numPr>
        <w:spacing w:after="120" w:line="240" w:lineRule="auto"/>
        <w:rPr>
          <w:rFonts w:cstheme="minorHAnsi"/>
          <w:bCs/>
          <w:color w:val="auto"/>
          <w:sz w:val="20"/>
          <w:szCs w:val="20"/>
        </w:rPr>
      </w:pPr>
      <w:r w:rsidRPr="00A27E6F">
        <w:rPr>
          <w:rFonts w:cstheme="minorHAnsi"/>
          <w:bCs/>
          <w:color w:val="auto"/>
          <w:sz w:val="20"/>
          <w:szCs w:val="20"/>
        </w:rPr>
        <w:t>2 880 dobíjecích bodů</w:t>
      </w:r>
      <w:r w:rsidRPr="00A27E6F" w:rsidR="00D20D66">
        <w:rPr>
          <w:rFonts w:cstheme="minorHAnsi"/>
          <w:bCs/>
          <w:color w:val="auto"/>
          <w:sz w:val="20"/>
          <w:szCs w:val="20"/>
        </w:rPr>
        <w:t xml:space="preserve"> v obytných budovách</w:t>
      </w:r>
      <w:r w:rsidRPr="00A27E6F">
        <w:rPr>
          <w:rFonts w:cstheme="minorHAnsi"/>
          <w:bCs/>
          <w:color w:val="auto"/>
          <w:sz w:val="20"/>
          <w:szCs w:val="20"/>
        </w:rPr>
        <w:t xml:space="preserve"> (</w:t>
      </w:r>
      <w:r w:rsidRPr="00A27E6F" w:rsidR="001163A3">
        <w:rPr>
          <w:rFonts w:cstheme="minorHAnsi"/>
          <w:bCs/>
          <w:color w:val="auto"/>
          <w:sz w:val="20"/>
          <w:szCs w:val="20"/>
        </w:rPr>
        <w:t xml:space="preserve">rodinné a bytové </w:t>
      </w:r>
      <w:r w:rsidRPr="00A27E6F">
        <w:rPr>
          <w:rFonts w:cstheme="minorHAnsi"/>
          <w:bCs/>
          <w:color w:val="auto"/>
          <w:sz w:val="20"/>
          <w:szCs w:val="20"/>
        </w:rPr>
        <w:t>domy) za 144 mil. Kč,</w:t>
      </w:r>
    </w:p>
    <w:p w:rsidRPr="00A27E6F" w:rsidR="00F43705" w:rsidP="36384684" w:rsidRDefault="009E6FA9" w14:paraId="4D166FB2" w14:textId="77587B7C">
      <w:pPr>
        <w:pStyle w:val="Odstavecseseznamem"/>
        <w:numPr>
          <w:ilvl w:val="0"/>
          <w:numId w:val="25"/>
        </w:numPr>
        <w:spacing w:after="120" w:line="240" w:lineRule="auto"/>
        <w:rPr>
          <w:color w:val="auto"/>
          <w:sz w:val="20"/>
          <w:szCs w:val="20"/>
        </w:rPr>
      </w:pPr>
      <w:r w:rsidRPr="36384684">
        <w:rPr>
          <w:color w:val="auto"/>
          <w:sz w:val="20"/>
          <w:szCs w:val="20"/>
        </w:rPr>
        <w:t>5</w:t>
      </w:r>
      <w:r w:rsidRPr="36384684" w:rsidR="000C57CB">
        <w:rPr>
          <w:color w:val="auto"/>
          <w:sz w:val="20"/>
          <w:szCs w:val="20"/>
        </w:rPr>
        <w:t>2</w:t>
      </w:r>
      <w:r w:rsidRPr="36384684" w:rsidR="00916CC6">
        <w:rPr>
          <w:color w:val="auto"/>
          <w:sz w:val="20"/>
          <w:szCs w:val="20"/>
        </w:rPr>
        <w:t xml:space="preserve"> </w:t>
      </w:r>
      <w:r w:rsidRPr="36384684" w:rsidR="0095286D">
        <w:rPr>
          <w:color w:val="auto"/>
          <w:sz w:val="20"/>
          <w:szCs w:val="20"/>
        </w:rPr>
        <w:t>na</w:t>
      </w:r>
      <w:r w:rsidRPr="36384684" w:rsidR="00916CC6">
        <w:rPr>
          <w:color w:val="auto"/>
          <w:sz w:val="20"/>
          <w:szCs w:val="20"/>
        </w:rPr>
        <w:t xml:space="preserve">bíjecích bodů </w:t>
      </w:r>
      <w:r w:rsidRPr="36384684" w:rsidR="000C57CB">
        <w:rPr>
          <w:color w:val="auto"/>
          <w:sz w:val="20"/>
          <w:szCs w:val="20"/>
        </w:rPr>
        <w:t xml:space="preserve">a </w:t>
      </w:r>
      <w:r w:rsidRPr="36384684" w:rsidR="72A7DB31">
        <w:rPr>
          <w:color w:val="auto"/>
          <w:sz w:val="20"/>
          <w:szCs w:val="20"/>
        </w:rPr>
        <w:t>40</w:t>
      </w:r>
      <w:r w:rsidRPr="36384684" w:rsidR="000C57CB">
        <w:rPr>
          <w:color w:val="auto"/>
          <w:sz w:val="20"/>
          <w:szCs w:val="20"/>
        </w:rPr>
        <w:t xml:space="preserve"> km dynamického dobíjení </w:t>
      </w:r>
      <w:r w:rsidRPr="36384684" w:rsidR="00916CC6">
        <w:rPr>
          <w:color w:val="auto"/>
          <w:sz w:val="20"/>
          <w:szCs w:val="20"/>
        </w:rPr>
        <w:t>(DPHMP) za 1 200 mil. Kč,</w:t>
      </w:r>
    </w:p>
    <w:p w:rsidRPr="00A27E6F" w:rsidR="00590DEF" w:rsidP="00583416" w:rsidRDefault="00F43705" w14:paraId="70C7DC1F" w14:textId="54EDDDF0">
      <w:pPr>
        <w:pStyle w:val="Odstavecseseznamem"/>
        <w:numPr>
          <w:ilvl w:val="0"/>
          <w:numId w:val="25"/>
        </w:numPr>
        <w:spacing w:after="120" w:line="240" w:lineRule="auto"/>
        <w:rPr>
          <w:rFonts w:cstheme="minorHAnsi"/>
          <w:bCs/>
          <w:color w:val="auto"/>
          <w:sz w:val="20"/>
          <w:szCs w:val="20"/>
        </w:rPr>
      </w:pPr>
      <w:r w:rsidRPr="00A27E6F">
        <w:rPr>
          <w:rFonts w:cstheme="minorHAnsi"/>
          <w:bCs/>
          <w:color w:val="auto"/>
          <w:sz w:val="20"/>
          <w:szCs w:val="20"/>
        </w:rPr>
        <w:t>1 500</w:t>
      </w:r>
      <w:r w:rsidRPr="00A27E6F" w:rsidR="00916CC6">
        <w:rPr>
          <w:rFonts w:cstheme="minorHAnsi"/>
          <w:bCs/>
          <w:color w:val="auto"/>
          <w:sz w:val="20"/>
          <w:szCs w:val="20"/>
        </w:rPr>
        <w:t xml:space="preserve"> dobíjecích bodů (podnikatelé) za 300 mil. Kč</w:t>
      </w:r>
      <w:r w:rsidRPr="00A27E6F" w:rsidR="004E60C4">
        <w:rPr>
          <w:rFonts w:cstheme="minorHAnsi"/>
          <w:bCs/>
          <w:color w:val="auto"/>
          <w:sz w:val="20"/>
          <w:szCs w:val="20"/>
        </w:rPr>
        <w:t>.</w:t>
      </w:r>
    </w:p>
    <w:p w:rsidRPr="00A27E6F" w:rsidR="00916CC6" w:rsidP="5CEDD745" w:rsidRDefault="4037112F" w14:paraId="3E549702" w14:textId="7F877C82">
      <w:pPr>
        <w:pStyle w:val="Odstavecseseznamem"/>
        <w:numPr>
          <w:ilvl w:val="0"/>
          <w:numId w:val="24"/>
        </w:numPr>
        <w:spacing w:after="120" w:line="240" w:lineRule="auto"/>
        <w:rPr>
          <w:color w:val="auto"/>
          <w:sz w:val="20"/>
          <w:szCs w:val="20"/>
        </w:rPr>
      </w:pPr>
      <w:r w:rsidRPr="3E8FE825">
        <w:rPr>
          <w:color w:val="auto"/>
          <w:sz w:val="20"/>
          <w:szCs w:val="20"/>
        </w:rPr>
        <w:t xml:space="preserve">4 </w:t>
      </w:r>
      <w:r w:rsidRPr="3E8FE825">
        <w:rPr>
          <w:color w:val="auto"/>
          <w:sz w:val="20"/>
          <w:szCs w:val="20"/>
        </w:rPr>
        <w:t>555</w:t>
      </w:r>
      <w:r w:rsidRPr="3E8FE825">
        <w:rPr>
          <w:color w:val="auto"/>
          <w:sz w:val="20"/>
          <w:szCs w:val="20"/>
        </w:rPr>
        <w:t xml:space="preserve"> vozidel na alternativní paliva </w:t>
      </w:r>
      <w:r w:rsidRPr="3E8FE825" w:rsidR="2666E346">
        <w:rPr>
          <w:color w:val="auto"/>
          <w:sz w:val="20"/>
          <w:szCs w:val="20"/>
        </w:rPr>
        <w:t xml:space="preserve">pro podnikatele za </w:t>
      </w:r>
      <w:r w:rsidRPr="3E8FE825" w:rsidR="3A6CA3C1">
        <w:rPr>
          <w:color w:val="auto"/>
          <w:sz w:val="20"/>
          <w:szCs w:val="20"/>
        </w:rPr>
        <w:t xml:space="preserve">940 </w:t>
      </w:r>
      <w:r w:rsidRPr="3E8FE825" w:rsidR="2666E346">
        <w:rPr>
          <w:color w:val="auto"/>
          <w:sz w:val="20"/>
          <w:szCs w:val="20"/>
        </w:rPr>
        <w:t xml:space="preserve">mil. Kč, </w:t>
      </w:r>
    </w:p>
    <w:p w:rsidRPr="00A27E6F" w:rsidR="00916CC6" w:rsidP="004E60C4" w:rsidRDefault="0086593D" w14:paraId="4E320A68" w14:textId="109A891F">
      <w:pPr>
        <w:pStyle w:val="Odstavecseseznamem"/>
        <w:numPr>
          <w:ilvl w:val="0"/>
          <w:numId w:val="24"/>
        </w:numPr>
        <w:spacing w:after="120" w:line="240" w:lineRule="auto"/>
        <w:rPr>
          <w:rFonts w:cstheme="minorHAnsi"/>
          <w:bCs/>
          <w:color w:val="auto"/>
          <w:sz w:val="20"/>
          <w:szCs w:val="20"/>
        </w:rPr>
      </w:pPr>
      <w:r w:rsidRPr="00A27E6F">
        <w:rPr>
          <w:rFonts w:cstheme="minorHAnsi"/>
          <w:bCs/>
          <w:color w:val="auto"/>
          <w:sz w:val="20"/>
          <w:szCs w:val="20"/>
        </w:rPr>
        <w:t>1 485 vozidel</w:t>
      </w:r>
      <w:r w:rsidRPr="00A27E6F" w:rsidR="0025412D">
        <w:rPr>
          <w:rFonts w:cstheme="minorHAnsi"/>
          <w:bCs/>
          <w:color w:val="auto"/>
          <w:sz w:val="20"/>
          <w:szCs w:val="20"/>
        </w:rPr>
        <w:t xml:space="preserve"> (EV, H2)</w:t>
      </w:r>
      <w:r w:rsidRPr="00A27E6F" w:rsidR="004E60C4">
        <w:rPr>
          <w:rFonts w:cstheme="minorHAnsi"/>
          <w:bCs/>
          <w:color w:val="auto"/>
          <w:sz w:val="20"/>
          <w:szCs w:val="20"/>
        </w:rPr>
        <w:t xml:space="preserve"> a</w:t>
      </w:r>
      <w:r w:rsidRPr="00A27E6F">
        <w:rPr>
          <w:rFonts w:cstheme="minorHAnsi"/>
          <w:bCs/>
          <w:color w:val="auto"/>
          <w:sz w:val="20"/>
          <w:szCs w:val="20"/>
        </w:rPr>
        <w:t xml:space="preserve"> </w:t>
      </w:r>
      <w:r w:rsidRPr="00A27E6F" w:rsidR="004E60C4">
        <w:rPr>
          <w:rFonts w:cstheme="minorHAnsi"/>
          <w:bCs/>
          <w:color w:val="auto"/>
          <w:sz w:val="20"/>
          <w:szCs w:val="20"/>
        </w:rPr>
        <w:t>200 neveřejných dobíjecích bodů</w:t>
      </w:r>
      <w:r w:rsidRPr="00A27E6F" w:rsidDel="0086593D" w:rsidR="004E60C4">
        <w:rPr>
          <w:rFonts w:cstheme="minorHAnsi"/>
          <w:bCs/>
          <w:color w:val="auto"/>
          <w:sz w:val="20"/>
          <w:szCs w:val="20"/>
        </w:rPr>
        <w:t xml:space="preserve"> </w:t>
      </w:r>
      <w:r w:rsidRPr="00A27E6F" w:rsidR="00916CC6">
        <w:rPr>
          <w:rFonts w:cstheme="minorHAnsi"/>
          <w:bCs/>
          <w:color w:val="auto"/>
          <w:sz w:val="20"/>
          <w:szCs w:val="20"/>
        </w:rPr>
        <w:t>pro obce, kraje a státní správu za 600 mil. Kč,</w:t>
      </w:r>
    </w:p>
    <w:p w:rsidRPr="00A27E6F" w:rsidR="00914682" w:rsidP="00590DEF" w:rsidRDefault="00B533AA" w14:paraId="70C61A16" w14:textId="77777777">
      <w:pPr>
        <w:pStyle w:val="Odstavecseseznamem"/>
        <w:numPr>
          <w:ilvl w:val="0"/>
          <w:numId w:val="24"/>
        </w:numPr>
        <w:spacing w:after="120" w:line="240" w:lineRule="auto"/>
        <w:rPr>
          <w:rFonts w:cstheme="minorHAnsi"/>
          <w:bCs/>
          <w:color w:val="auto"/>
          <w:sz w:val="20"/>
          <w:szCs w:val="20"/>
        </w:rPr>
      </w:pPr>
      <w:r w:rsidRPr="00A27E6F">
        <w:rPr>
          <w:rFonts w:cstheme="minorHAnsi"/>
          <w:bCs/>
          <w:color w:val="auto"/>
          <w:sz w:val="20"/>
          <w:szCs w:val="20"/>
        </w:rPr>
        <w:t>20 bateriových trolejbusů a 20 nízkopodlažních tramvají</w:t>
      </w:r>
      <w:r w:rsidRPr="00A27E6F" w:rsidR="00916CC6">
        <w:rPr>
          <w:rFonts w:cstheme="minorHAnsi"/>
          <w:bCs/>
          <w:color w:val="auto"/>
          <w:sz w:val="20"/>
          <w:szCs w:val="20"/>
        </w:rPr>
        <w:t xml:space="preserve"> v Praze za 1 700 mil. Kč</w:t>
      </w:r>
      <w:r w:rsidRPr="00A27E6F" w:rsidR="00EE6AFD">
        <w:rPr>
          <w:rFonts w:cstheme="minorHAnsi"/>
          <w:bCs/>
          <w:color w:val="auto"/>
          <w:sz w:val="20"/>
          <w:szCs w:val="20"/>
        </w:rPr>
        <w:t>.</w:t>
      </w:r>
    </w:p>
    <w:p w:rsidRPr="00A27E6F" w:rsidR="00590DEF" w:rsidP="00583416" w:rsidRDefault="00590DEF" w14:paraId="7AE3A3D1" w14:textId="77777777">
      <w:pPr>
        <w:pStyle w:val="Odstavecseseznamem"/>
        <w:spacing w:after="120" w:line="240" w:lineRule="auto"/>
        <w:rPr>
          <w:rFonts w:cstheme="minorHAnsi"/>
          <w:bCs/>
          <w:color w:val="auto"/>
          <w:sz w:val="20"/>
          <w:szCs w:val="20"/>
        </w:rPr>
      </w:pPr>
    </w:p>
    <w:p w:rsidRPr="00A27E6F" w:rsidR="00916CC6" w:rsidP="00D10829" w:rsidRDefault="00914682" w14:paraId="0A108370" w14:textId="5E1CE982">
      <w:pPr>
        <w:spacing w:after="120" w:line="240" w:lineRule="auto"/>
        <w:jc w:val="both"/>
        <w:rPr>
          <w:rFonts w:cstheme="minorHAnsi"/>
          <w:bCs/>
          <w:color w:val="auto"/>
          <w:sz w:val="20"/>
          <w:szCs w:val="20"/>
        </w:rPr>
      </w:pPr>
      <w:r w:rsidRPr="00A27E6F">
        <w:rPr>
          <w:rFonts w:cstheme="minorHAnsi"/>
          <w:bCs/>
          <w:color w:val="auto"/>
          <w:sz w:val="20"/>
          <w:szCs w:val="20"/>
        </w:rPr>
        <w:t>V</w:t>
      </w:r>
      <w:r w:rsidRPr="00A27E6F" w:rsidR="00916CC6">
        <w:rPr>
          <w:rFonts w:cstheme="minorHAnsi"/>
          <w:bCs/>
          <w:color w:val="auto"/>
          <w:sz w:val="20"/>
          <w:szCs w:val="20"/>
        </w:rPr>
        <w:t xml:space="preserve"> roce 2021 bude potřeba předfinancovat investice této komponenty skrze kapitoly ministerstev</w:t>
      </w:r>
      <w:r w:rsidRPr="00A27E6F">
        <w:rPr>
          <w:rFonts w:cstheme="minorHAnsi"/>
          <w:bCs/>
          <w:color w:val="auto"/>
          <w:sz w:val="20"/>
          <w:szCs w:val="20"/>
        </w:rPr>
        <w:t> </w:t>
      </w:r>
      <w:r w:rsidRPr="00A27E6F" w:rsidR="00916CC6">
        <w:rPr>
          <w:rFonts w:cstheme="minorHAnsi"/>
          <w:bCs/>
          <w:color w:val="auto"/>
          <w:sz w:val="20"/>
          <w:szCs w:val="20"/>
        </w:rPr>
        <w:t xml:space="preserve">a Magistrátu Hl. města Prahy, v jejichž gesci je uvedená část, tzn. </w:t>
      </w:r>
      <w:r w:rsidRPr="00A27E6F" w:rsidR="00F43705">
        <w:rPr>
          <w:rFonts w:cstheme="minorHAnsi"/>
          <w:bCs/>
          <w:color w:val="auto"/>
          <w:sz w:val="20"/>
          <w:szCs w:val="20"/>
        </w:rPr>
        <w:t>MPO, MŽP</w:t>
      </w:r>
      <w:r w:rsidRPr="00A27E6F" w:rsidR="00916CC6">
        <w:rPr>
          <w:rFonts w:cstheme="minorHAnsi"/>
          <w:bCs/>
          <w:color w:val="auto"/>
          <w:sz w:val="20"/>
          <w:szCs w:val="20"/>
        </w:rPr>
        <w:t xml:space="preserve"> či MMR a Magistrát Hl. města Prahy (viz výše).</w:t>
      </w:r>
    </w:p>
    <w:p w:rsidRPr="00A27E6F" w:rsidR="00916CC6" w:rsidP="00D10829" w:rsidRDefault="00916CC6" w14:paraId="368F1291" w14:textId="77777777">
      <w:pPr>
        <w:spacing w:after="120" w:line="240" w:lineRule="auto"/>
        <w:rPr>
          <w:rFonts w:cstheme="minorHAnsi"/>
          <w:b/>
          <w:color w:val="auto"/>
          <w:sz w:val="20"/>
          <w:szCs w:val="20"/>
        </w:rPr>
      </w:pPr>
    </w:p>
    <w:p w:rsidRPr="00A27E6F" w:rsidR="007A2737" w:rsidP="00D10829" w:rsidRDefault="007A2737" w14:paraId="29C804F7" w14:textId="77777777">
      <w:pPr>
        <w:pStyle w:val="K-Nadpis3"/>
        <w:keepNext/>
        <w:rPr>
          <w:rFonts w:asciiTheme="minorHAnsi" w:hAnsiTheme="minorHAnsi" w:cstheme="minorHAnsi"/>
          <w:color w:val="auto"/>
          <w:sz w:val="20"/>
          <w:szCs w:val="20"/>
        </w:rPr>
      </w:pPr>
      <w:r w:rsidRPr="00A27E6F">
        <w:rPr>
          <w:rFonts w:asciiTheme="minorHAnsi" w:hAnsiTheme="minorHAnsi" w:cstheme="minorHAnsi"/>
          <w:color w:val="auto"/>
          <w:sz w:val="20"/>
          <w:szCs w:val="20"/>
        </w:rPr>
        <w:t xml:space="preserve">c) </w:t>
      </w:r>
      <w:r w:rsidRPr="00A27E6F" w:rsidR="006C30EB">
        <w:rPr>
          <w:rFonts w:asciiTheme="minorHAnsi" w:hAnsiTheme="minorHAnsi" w:cstheme="minorHAnsi"/>
          <w:color w:val="auto"/>
          <w:sz w:val="20"/>
          <w:szCs w:val="20"/>
        </w:rPr>
        <w:t>Národní strategický kontext</w:t>
      </w:r>
    </w:p>
    <w:p w:rsidRPr="00A27E6F" w:rsidR="00DB2850" w:rsidP="00D10829" w:rsidRDefault="00DB2850" w14:paraId="79734BB9" w14:textId="77777777">
      <w:pPr>
        <w:spacing w:after="120" w:line="240" w:lineRule="auto"/>
        <w:rPr>
          <w:rFonts w:cstheme="minorHAnsi"/>
          <w:b/>
          <w:color w:val="auto"/>
          <w:sz w:val="20"/>
          <w:szCs w:val="20"/>
        </w:rPr>
      </w:pPr>
      <w:r w:rsidRPr="00A27E6F">
        <w:rPr>
          <w:rFonts w:cstheme="minorHAnsi"/>
          <w:b/>
          <w:color w:val="auto"/>
          <w:sz w:val="20"/>
          <w:szCs w:val="20"/>
        </w:rPr>
        <w:t>Aktuální situace</w:t>
      </w:r>
    </w:p>
    <w:p w:rsidRPr="00A27E6F" w:rsidR="002259F5" w:rsidP="00D10829" w:rsidRDefault="002259F5" w14:paraId="572CE9CC" w14:textId="77777777">
      <w:pPr>
        <w:spacing w:after="120" w:line="240" w:lineRule="auto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color w:val="auto"/>
          <w:sz w:val="20"/>
          <w:szCs w:val="20"/>
        </w:rPr>
        <w:t>V současnosti je v ČR (k 31.12.2020) dle statistiky Ministerstva průmyslu a obchodu 734 stanic, 1 516 dobíjecích bodů a 7 109 bateriových elektrických vozidel kategorie M1.</w:t>
      </w:r>
    </w:p>
    <w:p w:rsidRPr="00A27E6F" w:rsidR="00DB2850" w:rsidP="00D10829" w:rsidRDefault="00DB2850" w14:paraId="71121F08" w14:textId="77777777">
      <w:pPr>
        <w:spacing w:after="120" w:line="240" w:lineRule="auto"/>
        <w:rPr>
          <w:rFonts w:cstheme="minorHAnsi"/>
          <w:b/>
          <w:color w:val="auto"/>
          <w:sz w:val="20"/>
          <w:szCs w:val="20"/>
          <w:u w:val="single"/>
        </w:rPr>
      </w:pPr>
      <w:r w:rsidRPr="00A27E6F">
        <w:rPr>
          <w:rFonts w:cstheme="minorHAnsi"/>
          <w:b/>
          <w:color w:val="auto"/>
          <w:sz w:val="20"/>
          <w:szCs w:val="20"/>
          <w:u w:val="single"/>
        </w:rPr>
        <w:t xml:space="preserve">Scénář vývoje </w:t>
      </w:r>
      <w:proofErr w:type="spellStart"/>
      <w:r w:rsidRPr="00A27E6F">
        <w:rPr>
          <w:rFonts w:cstheme="minorHAnsi"/>
          <w:b/>
          <w:color w:val="auto"/>
          <w:sz w:val="20"/>
          <w:szCs w:val="20"/>
          <w:u w:val="single"/>
        </w:rPr>
        <w:t>elektromobility</w:t>
      </w:r>
      <w:proofErr w:type="spellEnd"/>
      <w:r w:rsidRPr="00A27E6F">
        <w:rPr>
          <w:rFonts w:cstheme="minorHAnsi"/>
          <w:b/>
          <w:color w:val="auto"/>
          <w:sz w:val="20"/>
          <w:szCs w:val="20"/>
          <w:u w:val="single"/>
        </w:rPr>
        <w:t xml:space="preserve"> </w:t>
      </w:r>
    </w:p>
    <w:p w:rsidRPr="00A27E6F" w:rsidR="00DB2850" w:rsidP="00D10829" w:rsidRDefault="00DB2850" w14:paraId="5F3D73A2" w14:textId="77777777">
      <w:pPr>
        <w:spacing w:after="120" w:line="240" w:lineRule="auto"/>
        <w:rPr>
          <w:rFonts w:cstheme="minorHAnsi"/>
          <w:b/>
          <w:color w:val="auto"/>
          <w:sz w:val="20"/>
          <w:szCs w:val="20"/>
        </w:rPr>
      </w:pPr>
      <w:r w:rsidRPr="00A27E6F">
        <w:rPr>
          <w:rFonts w:cstheme="minorHAnsi"/>
          <w:b/>
          <w:color w:val="auto"/>
          <w:sz w:val="20"/>
          <w:szCs w:val="20"/>
        </w:rPr>
        <w:t>Rozvoj infrastruktury dobíjecích stanic</w:t>
      </w:r>
    </w:p>
    <w:p w:rsidRPr="00A27E6F" w:rsidR="002259F5" w:rsidP="00D10829" w:rsidRDefault="002259F5" w14:paraId="538A0643" w14:textId="77777777">
      <w:pPr>
        <w:spacing w:after="120" w:line="240" w:lineRule="auto"/>
        <w:rPr>
          <w:rFonts w:cstheme="minorHAnsi"/>
          <w:bCs/>
          <w:color w:val="auto"/>
          <w:sz w:val="20"/>
          <w:szCs w:val="20"/>
        </w:rPr>
      </w:pPr>
      <w:r w:rsidRPr="00A27E6F">
        <w:rPr>
          <w:rFonts w:cstheme="minorHAnsi"/>
          <w:bCs/>
          <w:color w:val="auto"/>
          <w:sz w:val="20"/>
          <w:szCs w:val="20"/>
        </w:rPr>
        <w:t>Dle NAP CM je cílem pro rok 2030 - 220 000 – 500 000 elektromobilů a 19 000-35 000 dobíjecích bodů.</w:t>
      </w:r>
    </w:p>
    <w:p w:rsidRPr="00A27E6F" w:rsidR="00DB2850" w:rsidP="00D10829" w:rsidRDefault="00DB2850" w14:paraId="711F0E34" w14:textId="77777777">
      <w:pPr>
        <w:spacing w:after="120" w:line="240" w:lineRule="auto"/>
        <w:rPr>
          <w:rFonts w:cstheme="minorHAnsi"/>
          <w:color w:val="auto"/>
          <w:sz w:val="20"/>
          <w:szCs w:val="20"/>
        </w:rPr>
      </w:pPr>
    </w:p>
    <w:tbl>
      <w:tblPr>
        <w:tblStyle w:val="Mkatabulky2"/>
        <w:tblW w:w="0" w:type="auto"/>
        <w:tblInd w:w="-5" w:type="dxa"/>
        <w:tblLook w:val="04A0" w:firstRow="1" w:lastRow="0" w:firstColumn="1" w:lastColumn="0" w:noHBand="0" w:noVBand="1"/>
      </w:tblPr>
      <w:tblGrid>
        <w:gridCol w:w="2179"/>
        <w:gridCol w:w="2623"/>
        <w:gridCol w:w="2415"/>
        <w:gridCol w:w="2416"/>
      </w:tblGrid>
      <w:tr w:rsidRPr="00A27E6F" w:rsidR="00914682" w:rsidTr="000F520D" w14:paraId="77DE07C0" w14:textId="77777777">
        <w:tc>
          <w:tcPr>
            <w:tcW w:w="2179" w:type="dxa"/>
          </w:tcPr>
          <w:p w:rsidRPr="00A27E6F" w:rsidR="007B2103" w:rsidP="00D10829" w:rsidRDefault="007B2103" w14:paraId="4F70E73D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2623" w:type="dxa"/>
          </w:tcPr>
          <w:p w:rsidRPr="00A27E6F" w:rsidR="007B2103" w:rsidP="00D10829" w:rsidRDefault="007B2103" w14:paraId="3963DCDD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Scénář pro rok 2030 dle Aktualizace NAP CM</w:t>
            </w:r>
          </w:p>
        </w:tc>
        <w:tc>
          <w:tcPr>
            <w:tcW w:w="2415" w:type="dxa"/>
          </w:tcPr>
          <w:p w:rsidRPr="00A27E6F" w:rsidR="007B2103" w:rsidP="00D10829" w:rsidRDefault="007B2103" w14:paraId="471CCB9F" w14:textId="77777777">
            <w:pPr>
              <w:spacing w:after="12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Veřejně přístupná dobíjecí infrastruktura dobíjecích bodů v roce 2025</w:t>
            </w:r>
          </w:p>
        </w:tc>
        <w:tc>
          <w:tcPr>
            <w:tcW w:w="2416" w:type="dxa"/>
          </w:tcPr>
          <w:p w:rsidRPr="00A27E6F" w:rsidR="007B2103" w:rsidP="00D10829" w:rsidRDefault="007B2103" w14:paraId="36BC7B96" w14:textId="77777777">
            <w:pPr>
              <w:spacing w:after="12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Veřejně přístupná dobíjecí infrastruktura dobíjecích bodů dobíjecích bodů v roce 2030</w:t>
            </w:r>
          </w:p>
        </w:tc>
      </w:tr>
      <w:tr w:rsidRPr="00A27E6F" w:rsidR="00914682" w:rsidTr="000F520D" w14:paraId="6BFB3260" w14:textId="77777777">
        <w:tc>
          <w:tcPr>
            <w:tcW w:w="2179" w:type="dxa"/>
          </w:tcPr>
          <w:p w:rsidRPr="00A27E6F" w:rsidR="007B2103" w:rsidP="00D10829" w:rsidRDefault="00DB3507" w14:paraId="1BDC3DEC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Nižší hranice intervalu</w:t>
            </w:r>
          </w:p>
        </w:tc>
        <w:tc>
          <w:tcPr>
            <w:tcW w:w="2623" w:type="dxa"/>
          </w:tcPr>
          <w:p w:rsidRPr="00A27E6F" w:rsidR="007B2103" w:rsidP="00D10829" w:rsidRDefault="007B2103" w14:paraId="6B40533C" w14:textId="77777777">
            <w:pPr>
              <w:spacing w:after="120" w:line="240" w:lineRule="auto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b/>
                <w:color w:val="auto"/>
                <w:sz w:val="20"/>
                <w:szCs w:val="20"/>
              </w:rPr>
              <w:t>220 000 vozidel</w:t>
            </w:r>
          </w:p>
        </w:tc>
        <w:tc>
          <w:tcPr>
            <w:tcW w:w="2415" w:type="dxa"/>
          </w:tcPr>
          <w:p w:rsidRPr="00A27E6F" w:rsidR="007B2103" w:rsidP="00D10829" w:rsidRDefault="007B2103" w14:paraId="1DC61019" w14:textId="77777777">
            <w:pPr>
              <w:spacing w:after="12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b/>
                <w:color w:val="auto"/>
                <w:sz w:val="20"/>
                <w:szCs w:val="20"/>
              </w:rPr>
              <w:t>6 200</w:t>
            </w:r>
          </w:p>
        </w:tc>
        <w:tc>
          <w:tcPr>
            <w:tcW w:w="2416" w:type="dxa"/>
          </w:tcPr>
          <w:p w:rsidRPr="00A27E6F" w:rsidR="007B2103" w:rsidP="00D10829" w:rsidRDefault="007B2103" w14:paraId="526446C1" w14:textId="77777777">
            <w:pPr>
              <w:spacing w:after="120" w:line="240" w:lineRule="auto"/>
              <w:jc w:val="center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b/>
                <w:color w:val="auto"/>
                <w:sz w:val="20"/>
                <w:szCs w:val="20"/>
              </w:rPr>
              <w:t>19 000</w:t>
            </w:r>
          </w:p>
        </w:tc>
      </w:tr>
      <w:tr w:rsidRPr="00A27E6F" w:rsidR="00914682" w:rsidTr="000F520D" w14:paraId="25D31111" w14:textId="77777777">
        <w:tc>
          <w:tcPr>
            <w:tcW w:w="2179" w:type="dxa"/>
          </w:tcPr>
          <w:p w:rsidRPr="00A27E6F" w:rsidR="007B2103" w:rsidP="00D10829" w:rsidRDefault="00DB3507" w14:paraId="1EC88C08" w14:textId="77777777">
            <w:pPr>
              <w:spacing w:after="120" w:line="240" w:lineRule="auto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bCs/>
                <w:color w:val="auto"/>
                <w:sz w:val="20"/>
                <w:szCs w:val="20"/>
              </w:rPr>
              <w:t>Vyšší hranice intervalu</w:t>
            </w:r>
          </w:p>
        </w:tc>
        <w:tc>
          <w:tcPr>
            <w:tcW w:w="2623" w:type="dxa"/>
          </w:tcPr>
          <w:p w:rsidRPr="00A27E6F" w:rsidR="007B2103" w:rsidP="00D10829" w:rsidRDefault="007B2103" w14:paraId="0EB0CBD4" w14:textId="77777777">
            <w:pPr>
              <w:spacing w:after="120" w:line="240" w:lineRule="auto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bCs/>
                <w:color w:val="auto"/>
                <w:sz w:val="20"/>
                <w:szCs w:val="20"/>
              </w:rPr>
              <w:t>500 000 vozidel</w:t>
            </w:r>
          </w:p>
        </w:tc>
        <w:tc>
          <w:tcPr>
            <w:tcW w:w="2415" w:type="dxa"/>
          </w:tcPr>
          <w:p w:rsidRPr="00A27E6F" w:rsidR="007B2103" w:rsidP="00D10829" w:rsidRDefault="007B2103" w14:paraId="2F882AFB" w14:textId="77777777">
            <w:pPr>
              <w:spacing w:after="120" w:line="240" w:lineRule="auto"/>
              <w:jc w:val="center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bCs/>
                <w:color w:val="auto"/>
                <w:sz w:val="20"/>
                <w:szCs w:val="20"/>
              </w:rPr>
              <w:t>11 000</w:t>
            </w:r>
          </w:p>
        </w:tc>
        <w:tc>
          <w:tcPr>
            <w:tcW w:w="2416" w:type="dxa"/>
          </w:tcPr>
          <w:p w:rsidRPr="00A27E6F" w:rsidR="007B2103" w:rsidP="00D10829" w:rsidRDefault="007B2103" w14:paraId="15E5A40C" w14:textId="77777777">
            <w:pPr>
              <w:spacing w:after="120" w:line="240" w:lineRule="auto"/>
              <w:jc w:val="center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bCs/>
                <w:color w:val="auto"/>
                <w:sz w:val="20"/>
                <w:szCs w:val="20"/>
              </w:rPr>
              <w:t>35 000</w:t>
            </w:r>
          </w:p>
        </w:tc>
      </w:tr>
    </w:tbl>
    <w:p w:rsidRPr="00A27E6F" w:rsidR="00581A18" w:rsidP="00D10829" w:rsidRDefault="00581A18" w14:paraId="2D426F33" w14:textId="77777777">
      <w:pPr>
        <w:spacing w:after="120" w:line="240" w:lineRule="auto"/>
        <w:jc w:val="both"/>
        <w:rPr>
          <w:rFonts w:cstheme="minorHAnsi"/>
          <w:color w:val="auto"/>
          <w:sz w:val="20"/>
          <w:szCs w:val="20"/>
        </w:rPr>
      </w:pPr>
    </w:p>
    <w:p w:rsidRPr="00A27E6F" w:rsidR="00DB2850" w:rsidP="00D10829" w:rsidRDefault="00DB3507" w14:paraId="68B0CFF1" w14:textId="77777777">
      <w:pPr>
        <w:spacing w:after="120" w:line="240" w:lineRule="auto"/>
        <w:jc w:val="both"/>
        <w:rPr>
          <w:rFonts w:cstheme="minorHAnsi"/>
          <w:color w:val="auto"/>
          <w:sz w:val="20"/>
          <w:szCs w:val="20"/>
        </w:rPr>
      </w:pPr>
      <w:r w:rsidRPr="00A27E6F">
        <w:rPr>
          <w:rStyle w:val="Znakapoznpodarou"/>
          <w:rFonts w:cstheme="minorHAnsi"/>
          <w:color w:val="auto"/>
          <w:sz w:val="20"/>
          <w:szCs w:val="20"/>
        </w:rPr>
        <w:lastRenderedPageBreak/>
        <w:footnoteReference w:id="4"/>
      </w:r>
      <w:r w:rsidRPr="00A27E6F">
        <w:rPr>
          <w:rFonts w:cstheme="minorHAnsi"/>
          <w:color w:val="auto"/>
          <w:sz w:val="20"/>
          <w:szCs w:val="20"/>
        </w:rPr>
        <w:t xml:space="preserve"> </w:t>
      </w:r>
      <w:r w:rsidRPr="00A27E6F" w:rsidR="00984C49">
        <w:rPr>
          <w:rFonts w:cstheme="minorHAnsi"/>
          <w:color w:val="auto"/>
          <w:sz w:val="20"/>
          <w:szCs w:val="20"/>
        </w:rPr>
        <w:t xml:space="preserve">Zdroj: str. 15 </w:t>
      </w:r>
      <w:bookmarkStart w:name="_Hlk63331489" w:id="13"/>
      <w:r w:rsidRPr="00A27E6F" w:rsidR="00984C49">
        <w:rPr>
          <w:rFonts w:cstheme="minorHAnsi"/>
          <w:color w:val="auto"/>
          <w:sz w:val="20"/>
          <w:szCs w:val="20"/>
        </w:rPr>
        <w:t>Aktualizace Národního akčního plánu čisté mobility (NAP CM) 2019 https://www.mpo.cz/cz/prumysl/zpracovatelsky-prumysl/automobilovy-prumysl/aktualizace-narodniho-akcniho-planu-ciste-mobility--254445/</w:t>
      </w:r>
      <w:bookmarkEnd w:id="13"/>
    </w:p>
    <w:p w:rsidRPr="00A27E6F" w:rsidR="00DB2850" w:rsidP="00D10829" w:rsidRDefault="00DB2850" w14:paraId="62263747" w14:textId="34483148">
      <w:pPr>
        <w:spacing w:after="120" w:line="240" w:lineRule="auto"/>
        <w:jc w:val="both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color w:val="auto"/>
          <w:sz w:val="20"/>
          <w:szCs w:val="20"/>
        </w:rPr>
        <w:t xml:space="preserve">Nižší hranice intervalu </w:t>
      </w:r>
      <w:r w:rsidRPr="00A27E6F">
        <w:rPr>
          <w:rFonts w:cstheme="minorHAnsi"/>
          <w:b/>
          <w:bCs/>
          <w:color w:val="auto"/>
          <w:sz w:val="20"/>
          <w:szCs w:val="20"/>
        </w:rPr>
        <w:t>220 000</w:t>
      </w:r>
      <w:r w:rsidRPr="00A27E6F">
        <w:rPr>
          <w:rFonts w:cstheme="minorHAnsi"/>
          <w:color w:val="auto"/>
          <w:sz w:val="20"/>
          <w:szCs w:val="20"/>
        </w:rPr>
        <w:t xml:space="preserve"> elektromobilů vychází v zásadě </w:t>
      </w:r>
      <w:r w:rsidRPr="00A27E6F" w:rsidR="00914682">
        <w:rPr>
          <w:rFonts w:cstheme="minorHAnsi"/>
          <w:color w:val="auto"/>
          <w:sz w:val="20"/>
          <w:szCs w:val="20"/>
        </w:rPr>
        <w:t>z predikce</w:t>
      </w:r>
      <w:r w:rsidRPr="00A27E6F">
        <w:rPr>
          <w:rFonts w:cstheme="minorHAnsi"/>
          <w:color w:val="auto"/>
          <w:sz w:val="20"/>
          <w:szCs w:val="20"/>
        </w:rPr>
        <w:t xml:space="preserve"> </w:t>
      </w:r>
      <w:r w:rsidRPr="00A27E6F" w:rsidR="007B2103">
        <w:rPr>
          <w:rFonts w:cstheme="minorHAnsi"/>
          <w:color w:val="auto"/>
          <w:sz w:val="20"/>
          <w:szCs w:val="20"/>
        </w:rPr>
        <w:t>Svazu dovozců automobilů</w:t>
      </w:r>
      <w:r w:rsidRPr="00A27E6F" w:rsidR="704BFC60">
        <w:rPr>
          <w:rFonts w:cstheme="minorHAnsi"/>
          <w:color w:val="auto"/>
          <w:sz w:val="20"/>
          <w:szCs w:val="20"/>
        </w:rPr>
        <w:t xml:space="preserve"> </w:t>
      </w:r>
      <w:r w:rsidRPr="00A27E6F" w:rsidR="007B2103">
        <w:rPr>
          <w:rFonts w:cstheme="minorHAnsi"/>
          <w:color w:val="auto"/>
          <w:sz w:val="20"/>
          <w:szCs w:val="20"/>
        </w:rPr>
        <w:t>(</w:t>
      </w:r>
      <w:r w:rsidRPr="00A27E6F">
        <w:rPr>
          <w:rFonts w:cstheme="minorHAnsi"/>
          <w:color w:val="auto"/>
          <w:sz w:val="20"/>
          <w:szCs w:val="20"/>
        </w:rPr>
        <w:t>SDA</w:t>
      </w:r>
      <w:r w:rsidRPr="00A27E6F" w:rsidR="007B2103">
        <w:rPr>
          <w:rFonts w:cstheme="minorHAnsi"/>
          <w:color w:val="auto"/>
          <w:sz w:val="20"/>
          <w:szCs w:val="20"/>
        </w:rPr>
        <w:t>)</w:t>
      </w:r>
      <w:r w:rsidRPr="00A27E6F">
        <w:rPr>
          <w:rFonts w:cstheme="minorHAnsi"/>
          <w:color w:val="auto"/>
          <w:sz w:val="20"/>
          <w:szCs w:val="20"/>
        </w:rPr>
        <w:t xml:space="preserve">Jako horní hranice intervalu byla definována hodnota </w:t>
      </w:r>
      <w:r w:rsidRPr="00A27E6F">
        <w:rPr>
          <w:rFonts w:cstheme="minorHAnsi"/>
          <w:b/>
          <w:bCs/>
          <w:color w:val="auto"/>
          <w:sz w:val="20"/>
          <w:szCs w:val="20"/>
        </w:rPr>
        <w:t>500 000 elektromobilů</w:t>
      </w:r>
      <w:r w:rsidRPr="00A27E6F">
        <w:rPr>
          <w:rFonts w:cstheme="minorHAnsi"/>
          <w:color w:val="auto"/>
          <w:sz w:val="20"/>
          <w:szCs w:val="20"/>
        </w:rPr>
        <w:t xml:space="preserve"> (BEV) v ulicích k roku 2030. </w:t>
      </w:r>
      <w:r w:rsidRPr="00A27E6F" w:rsidR="00DB3507">
        <w:rPr>
          <w:rFonts w:cstheme="minorHAnsi"/>
          <w:color w:val="auto"/>
          <w:sz w:val="20"/>
          <w:szCs w:val="20"/>
        </w:rPr>
        <w:t>|Vyšší hranice intervalu p</w:t>
      </w:r>
      <w:r w:rsidRPr="00A27E6F">
        <w:rPr>
          <w:rFonts w:cstheme="minorHAnsi"/>
          <w:color w:val="auto"/>
          <w:sz w:val="20"/>
          <w:szCs w:val="20"/>
        </w:rPr>
        <w:t xml:space="preserve">ředstavuje zhruba 7 % vozového parku a představuje ambici spojenou s posílením postavení ČR v oblasti inovací v sektoru automobilové dopravy a zajištění odpovídajícího postavení na tomto trhu v rámci EU i globálně. Hodnota horní hranice intervalu je v souladu s plněním emisního cíle pro automobilky za zachování struktury prodejů a dovozů a vývozů vozidel (tj. plnění emisního cíle na území ČR). </w:t>
      </w:r>
    </w:p>
    <w:p w:rsidRPr="00A27E6F" w:rsidR="00581A18" w:rsidP="00D10829" w:rsidRDefault="000A6F91" w14:paraId="6F2379C1" w14:textId="77777777">
      <w:pPr>
        <w:spacing w:after="120" w:line="240" w:lineRule="auto"/>
        <w:jc w:val="both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color w:val="auto"/>
          <w:sz w:val="20"/>
          <w:szCs w:val="20"/>
        </w:rPr>
        <w:t>Aktuální prodeje vozidel a stav vozového parku ukazují, že trh se oproti predikci z NAP CM opožďuje, nicméně v dlouhodobém horizontu lze předpokládat projevení efektu přísnějších emisních limitů pro výrobce vozidel, který by měl trajektorii růstu počtu vozidel výrazně ovlivnit.</w:t>
      </w:r>
    </w:p>
    <w:p w:rsidRPr="00A27E6F" w:rsidR="00A86B04" w:rsidP="00D10829" w:rsidRDefault="00A86B04" w14:paraId="3F02CE95" w14:textId="77777777">
      <w:pPr>
        <w:spacing w:after="120" w:line="240" w:lineRule="auto"/>
        <w:jc w:val="both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color w:val="auto"/>
          <w:sz w:val="20"/>
          <w:szCs w:val="20"/>
        </w:rPr>
        <w:t xml:space="preserve">V případě </w:t>
      </w:r>
      <w:r w:rsidRPr="00A27E6F">
        <w:rPr>
          <w:rFonts w:cstheme="minorHAnsi"/>
          <w:bCs/>
          <w:color w:val="auto"/>
          <w:sz w:val="20"/>
          <w:szCs w:val="20"/>
        </w:rPr>
        <w:t>osobních a užitkových vozů</w:t>
      </w:r>
      <w:r w:rsidRPr="00A27E6F">
        <w:rPr>
          <w:rFonts w:cstheme="minorHAnsi"/>
          <w:color w:val="auto"/>
          <w:sz w:val="20"/>
          <w:szCs w:val="20"/>
        </w:rPr>
        <w:t xml:space="preserve"> jistě platí, že hlavním hybatelem růstu podílu elektromobilů je regulatorní rámec v podobě cílů emisí CO</w:t>
      </w:r>
      <w:r w:rsidRPr="00A27E6F">
        <w:rPr>
          <w:rFonts w:cstheme="minorHAnsi"/>
          <w:color w:val="auto"/>
          <w:sz w:val="20"/>
          <w:szCs w:val="20"/>
          <w:vertAlign w:val="subscript"/>
        </w:rPr>
        <w:t>2</w:t>
      </w:r>
      <w:r w:rsidRPr="00A27E6F">
        <w:rPr>
          <w:rFonts w:cstheme="minorHAnsi"/>
          <w:color w:val="auto"/>
          <w:sz w:val="20"/>
          <w:szCs w:val="20"/>
        </w:rPr>
        <w:t xml:space="preserve"> pro automobilky. Automobilky však plní své emisní cíle jako celek, nikoliv na národní úrovni, a podíl prodaných elektromobilů nemusí kopírovat prodeje vozidel. I proto je důležité, aby v ČR vzniklo prostředí a podmínky, které budou automobilky motivovat, aby prodeje realizovaly v </w:t>
      </w:r>
      <w:proofErr w:type="gramStart"/>
      <w:r w:rsidRPr="00A27E6F">
        <w:rPr>
          <w:rFonts w:cstheme="minorHAnsi"/>
          <w:color w:val="auto"/>
          <w:sz w:val="20"/>
          <w:szCs w:val="20"/>
        </w:rPr>
        <w:t>ČR</w:t>
      </w:r>
      <w:proofErr w:type="gramEnd"/>
      <w:r w:rsidRPr="00A27E6F">
        <w:rPr>
          <w:rFonts w:cstheme="minorHAnsi"/>
          <w:color w:val="auto"/>
          <w:sz w:val="20"/>
          <w:szCs w:val="20"/>
        </w:rPr>
        <w:t xml:space="preserve"> a ne v jiných zemích.</w:t>
      </w:r>
    </w:p>
    <w:p w:rsidRPr="00A27E6F" w:rsidR="00A86B04" w:rsidP="00D10829" w:rsidRDefault="00A86B04" w14:paraId="69BC1280" w14:textId="77777777">
      <w:pPr>
        <w:spacing w:after="120" w:line="240" w:lineRule="auto"/>
        <w:jc w:val="both"/>
        <w:rPr>
          <w:rFonts w:cstheme="minorHAnsi"/>
          <w:b/>
          <w:color w:val="auto"/>
          <w:sz w:val="20"/>
          <w:szCs w:val="20"/>
          <w:u w:val="single"/>
        </w:rPr>
      </w:pPr>
    </w:p>
    <w:p w:rsidRPr="00A27E6F" w:rsidR="00DB2850" w:rsidP="00D10829" w:rsidRDefault="00DB2850" w14:paraId="6F1EB9AC" w14:textId="77777777">
      <w:pPr>
        <w:spacing w:after="120" w:line="240" w:lineRule="auto"/>
        <w:rPr>
          <w:rFonts w:cstheme="minorHAnsi"/>
          <w:b/>
          <w:color w:val="auto"/>
          <w:sz w:val="20"/>
          <w:szCs w:val="20"/>
          <w:u w:val="single"/>
        </w:rPr>
      </w:pPr>
      <w:bookmarkStart w:name="_Hlk66463762" w:id="14"/>
      <w:r w:rsidRPr="00A27E6F">
        <w:rPr>
          <w:rFonts w:cstheme="minorHAnsi"/>
          <w:b/>
          <w:color w:val="auto"/>
          <w:sz w:val="20"/>
          <w:szCs w:val="20"/>
          <w:u w:val="single"/>
        </w:rPr>
        <w:t>Scénář vývoje</w:t>
      </w:r>
      <w:r w:rsidRPr="00A27E6F" w:rsidR="00581A18">
        <w:rPr>
          <w:rStyle w:val="Znakapoznpodarou"/>
          <w:rFonts w:cstheme="minorHAnsi"/>
          <w:b/>
          <w:color w:val="auto"/>
          <w:sz w:val="20"/>
          <w:szCs w:val="20"/>
          <w:u w:val="single"/>
        </w:rPr>
        <w:footnoteReference w:id="5"/>
      </w:r>
      <w:r w:rsidRPr="00A27E6F">
        <w:rPr>
          <w:rFonts w:cstheme="minorHAnsi"/>
          <w:b/>
          <w:color w:val="auto"/>
          <w:sz w:val="20"/>
          <w:szCs w:val="20"/>
          <w:u w:val="single"/>
        </w:rPr>
        <w:t xml:space="preserve"> vozového parku za vodík k roku 2030</w:t>
      </w:r>
    </w:p>
    <w:bookmarkEnd w:id="14"/>
    <w:p w:rsidRPr="00A27E6F" w:rsidR="00452714" w:rsidP="00D10829" w:rsidRDefault="00452714" w14:paraId="08C60163" w14:textId="77777777">
      <w:pPr>
        <w:spacing w:after="120" w:line="240" w:lineRule="auto"/>
        <w:jc w:val="both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color w:val="auto"/>
          <w:sz w:val="20"/>
          <w:szCs w:val="20"/>
        </w:rPr>
        <w:t xml:space="preserve">Za strategický cíl v této oblasti bylo označeno nastartování rozvoje vodíkové technologie v dopravě. NAP CM cílí na </w:t>
      </w:r>
      <w:r w:rsidRPr="00A27E6F">
        <w:rPr>
          <w:rFonts w:cstheme="minorHAnsi"/>
          <w:b/>
          <w:color w:val="auto"/>
          <w:sz w:val="20"/>
          <w:szCs w:val="20"/>
        </w:rPr>
        <w:t xml:space="preserve">dosažení rozmezí 40–50 tisíc osobních vodíkových vozidel do roku 2030. </w:t>
      </w:r>
      <w:r w:rsidRPr="00A27E6F">
        <w:rPr>
          <w:rFonts w:cstheme="minorHAnsi"/>
          <w:color w:val="auto"/>
          <w:sz w:val="20"/>
          <w:szCs w:val="20"/>
        </w:rPr>
        <w:t xml:space="preserve">To představuje přibližně jednu čtvrtinu cíle v oblasti bateriové </w:t>
      </w:r>
      <w:proofErr w:type="spellStart"/>
      <w:r w:rsidRPr="00A27E6F">
        <w:rPr>
          <w:rFonts w:cstheme="minorHAnsi"/>
          <w:color w:val="auto"/>
          <w:sz w:val="20"/>
          <w:szCs w:val="20"/>
        </w:rPr>
        <w:t>elektromobility</w:t>
      </w:r>
      <w:proofErr w:type="spellEnd"/>
      <w:r w:rsidRPr="00A27E6F">
        <w:rPr>
          <w:rFonts w:cstheme="minorHAnsi"/>
          <w:color w:val="auto"/>
          <w:sz w:val="20"/>
          <w:szCs w:val="20"/>
        </w:rPr>
        <w:t>.</w:t>
      </w:r>
    </w:p>
    <w:p w:rsidRPr="00A27E6F" w:rsidR="00452714" w:rsidP="00D10829" w:rsidRDefault="00452714" w14:paraId="2F2FD6DB" w14:textId="77777777">
      <w:pPr>
        <w:spacing w:after="120" w:line="240" w:lineRule="auto"/>
        <w:jc w:val="both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color w:val="auto"/>
          <w:sz w:val="20"/>
          <w:szCs w:val="20"/>
        </w:rPr>
        <w:t xml:space="preserve">Naplnění tohoto cíle si však vyžádá přijetí některých podpůrných opatření, a to zejména v podobě přímé finanční podpory, která by měla být nastavena v podobném režimu, jako v případě podpory bateriových elektrických vozidel. Klíčové je také, aby vodíková osobní vozidla byla v budoucnosti nakupována orgány veřejné správy, což by mělo být zajištěno zejména na základě plnění požadavků novely směrnice 2009/33 o podpoře čistých vozidel. </w:t>
      </w:r>
    </w:p>
    <w:p w:rsidRPr="00A27E6F" w:rsidR="00914682" w:rsidP="00D10829" w:rsidRDefault="00452714" w14:paraId="5952699F" w14:textId="77777777">
      <w:pPr>
        <w:spacing w:after="120" w:line="240" w:lineRule="auto"/>
        <w:rPr>
          <w:rFonts w:cstheme="minorHAnsi"/>
          <w:bCs/>
          <w:color w:val="auto"/>
          <w:sz w:val="20"/>
          <w:szCs w:val="20"/>
          <w:u w:val="single"/>
        </w:rPr>
      </w:pPr>
      <w:r w:rsidRPr="00A27E6F">
        <w:rPr>
          <w:rFonts w:cstheme="minorHAnsi"/>
          <w:bCs/>
          <w:color w:val="auto"/>
          <w:sz w:val="20"/>
          <w:szCs w:val="20"/>
          <w:u w:val="single"/>
        </w:rPr>
        <w:t>Scénář vývoje vozového parku za vodík k roku 2030</w:t>
      </w:r>
    </w:p>
    <w:p w:rsidRPr="00A27E6F" w:rsidR="00DB2850" w:rsidP="00D10829" w:rsidRDefault="00DB2850" w14:paraId="49AADF57" w14:textId="77777777">
      <w:pPr>
        <w:spacing w:after="120" w:line="240" w:lineRule="auto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color w:val="auto"/>
          <w:sz w:val="20"/>
          <w:szCs w:val="20"/>
        </w:rPr>
        <w:t xml:space="preserve">osobní vozila </w:t>
      </w:r>
      <w:r w:rsidRPr="00A27E6F">
        <w:rPr>
          <w:rFonts w:cstheme="minorHAnsi"/>
          <w:color w:val="auto"/>
          <w:sz w:val="20"/>
          <w:szCs w:val="20"/>
        </w:rPr>
        <w:tab/>
      </w:r>
      <w:r w:rsidRPr="00A27E6F">
        <w:rPr>
          <w:rFonts w:cstheme="minorHAnsi"/>
          <w:color w:val="auto"/>
          <w:sz w:val="20"/>
          <w:szCs w:val="20"/>
        </w:rPr>
        <w:tab/>
      </w:r>
      <w:r w:rsidRPr="00A27E6F">
        <w:rPr>
          <w:rFonts w:cstheme="minorHAnsi"/>
          <w:color w:val="auto"/>
          <w:sz w:val="20"/>
          <w:szCs w:val="20"/>
        </w:rPr>
        <w:t>40 000 - 50 000 ks</w:t>
      </w:r>
    </w:p>
    <w:p w:rsidRPr="00A27E6F" w:rsidR="00DB2850" w:rsidP="00D10829" w:rsidRDefault="00DB2850" w14:paraId="3B46D9A2" w14:textId="77777777">
      <w:pPr>
        <w:spacing w:after="120" w:line="240" w:lineRule="auto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color w:val="auto"/>
          <w:sz w:val="20"/>
          <w:szCs w:val="20"/>
        </w:rPr>
        <w:t>autobusy</w:t>
      </w:r>
      <w:r w:rsidRPr="00A27E6F">
        <w:rPr>
          <w:rFonts w:cstheme="minorHAnsi"/>
          <w:color w:val="auto"/>
          <w:sz w:val="20"/>
          <w:szCs w:val="20"/>
        </w:rPr>
        <w:tab/>
      </w:r>
      <w:r w:rsidRPr="00A27E6F">
        <w:rPr>
          <w:rFonts w:cstheme="minorHAnsi"/>
          <w:color w:val="auto"/>
          <w:sz w:val="20"/>
          <w:szCs w:val="20"/>
        </w:rPr>
        <w:tab/>
      </w:r>
      <w:r w:rsidRPr="00A27E6F">
        <w:rPr>
          <w:rFonts w:cstheme="minorHAnsi"/>
          <w:color w:val="auto"/>
          <w:sz w:val="20"/>
          <w:szCs w:val="20"/>
        </w:rPr>
        <w:t>870 ks</w:t>
      </w:r>
    </w:p>
    <w:p w:rsidRPr="00A27E6F" w:rsidR="00DB2850" w:rsidP="00D10829" w:rsidRDefault="00DB2850" w14:paraId="2817EB34" w14:textId="77777777">
      <w:pPr>
        <w:spacing w:after="120" w:line="240" w:lineRule="auto"/>
        <w:rPr>
          <w:rFonts w:cstheme="minorHAnsi"/>
          <w:b/>
          <w:color w:val="auto"/>
          <w:sz w:val="20"/>
          <w:szCs w:val="20"/>
        </w:rPr>
      </w:pPr>
      <w:r w:rsidRPr="00A27E6F">
        <w:rPr>
          <w:rFonts w:cstheme="minorHAnsi"/>
          <w:bCs/>
          <w:color w:val="auto"/>
          <w:sz w:val="20"/>
          <w:szCs w:val="20"/>
        </w:rPr>
        <w:t xml:space="preserve">Plnicí stanice </w:t>
      </w:r>
      <w:r w:rsidRPr="00A27E6F">
        <w:rPr>
          <w:rFonts w:cstheme="minorHAnsi"/>
          <w:bCs/>
          <w:color w:val="auto"/>
          <w:sz w:val="20"/>
          <w:szCs w:val="20"/>
        </w:rPr>
        <w:tab/>
      </w:r>
      <w:r w:rsidRPr="00A27E6F">
        <w:rPr>
          <w:rFonts w:cstheme="minorHAnsi"/>
          <w:b/>
          <w:color w:val="auto"/>
          <w:sz w:val="20"/>
          <w:szCs w:val="20"/>
        </w:rPr>
        <w:tab/>
      </w:r>
      <w:r w:rsidRPr="00A27E6F">
        <w:rPr>
          <w:rFonts w:cstheme="minorHAnsi"/>
          <w:color w:val="auto"/>
          <w:sz w:val="20"/>
          <w:szCs w:val="20"/>
        </w:rPr>
        <w:t>80 ks</w:t>
      </w:r>
    </w:p>
    <w:p w:rsidRPr="00A27E6F" w:rsidR="000F520D" w:rsidP="00D10829" w:rsidRDefault="000F520D" w14:paraId="38A6EB14" w14:textId="77777777">
      <w:pPr>
        <w:spacing w:after="120" w:line="240" w:lineRule="auto"/>
        <w:rPr>
          <w:rFonts w:cstheme="minorHAnsi"/>
          <w:b/>
          <w:color w:val="auto"/>
          <w:sz w:val="20"/>
          <w:szCs w:val="20"/>
          <w:u w:val="single"/>
        </w:rPr>
      </w:pPr>
    </w:p>
    <w:p w:rsidRPr="00A27E6F" w:rsidR="00436A3E" w:rsidP="00D10829" w:rsidRDefault="00436A3E" w14:paraId="76953927" w14:textId="77777777">
      <w:pPr>
        <w:spacing w:after="120" w:line="240" w:lineRule="auto"/>
        <w:rPr>
          <w:rFonts w:cstheme="minorHAnsi"/>
          <w:b/>
          <w:color w:val="auto"/>
          <w:sz w:val="20"/>
          <w:szCs w:val="20"/>
          <w:u w:val="single"/>
        </w:rPr>
      </w:pPr>
      <w:r w:rsidRPr="00A27E6F">
        <w:rPr>
          <w:rFonts w:cstheme="minorHAnsi"/>
          <w:b/>
          <w:color w:val="auto"/>
          <w:sz w:val="20"/>
          <w:szCs w:val="20"/>
          <w:u w:val="single"/>
        </w:rPr>
        <w:t>Podpor</w:t>
      </w:r>
      <w:r w:rsidRPr="00A27E6F" w:rsidR="00174DAD">
        <w:rPr>
          <w:rFonts w:cstheme="minorHAnsi"/>
          <w:b/>
          <w:color w:val="auto"/>
          <w:sz w:val="20"/>
          <w:szCs w:val="20"/>
          <w:u w:val="single"/>
        </w:rPr>
        <w:t>a</w:t>
      </w:r>
      <w:r w:rsidRPr="00A27E6F">
        <w:rPr>
          <w:rFonts w:cstheme="minorHAnsi"/>
          <w:b/>
          <w:color w:val="auto"/>
          <w:sz w:val="20"/>
          <w:szCs w:val="20"/>
          <w:u w:val="single"/>
        </w:rPr>
        <w:t xml:space="preserve"> čisté mobility </w:t>
      </w:r>
      <w:r w:rsidRPr="00A27E6F" w:rsidR="003A12B0">
        <w:rPr>
          <w:rFonts w:cstheme="minorHAnsi"/>
          <w:b/>
          <w:color w:val="auto"/>
          <w:sz w:val="20"/>
          <w:szCs w:val="20"/>
          <w:u w:val="single"/>
        </w:rPr>
        <w:t>2020–2027</w:t>
      </w:r>
    </w:p>
    <w:p w:rsidRPr="00A27E6F" w:rsidR="00436A3E" w:rsidP="007A6F3C" w:rsidRDefault="0017296A" w14:paraId="55BE73AB" w14:textId="77777777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b/>
          <w:color w:val="auto"/>
          <w:sz w:val="20"/>
          <w:szCs w:val="20"/>
        </w:rPr>
        <w:t>OP Technologie a</w:t>
      </w:r>
      <w:r w:rsidRPr="00A27E6F" w:rsidR="00741E3B">
        <w:rPr>
          <w:rFonts w:cstheme="minorHAnsi"/>
          <w:b/>
          <w:color w:val="auto"/>
          <w:sz w:val="20"/>
          <w:szCs w:val="20"/>
        </w:rPr>
        <w:t> </w:t>
      </w:r>
      <w:r w:rsidRPr="00A27E6F">
        <w:rPr>
          <w:rFonts w:cstheme="minorHAnsi"/>
          <w:b/>
          <w:color w:val="auto"/>
          <w:sz w:val="20"/>
          <w:szCs w:val="20"/>
        </w:rPr>
        <w:t xml:space="preserve">aplikace pro konkurenceschopnost – </w:t>
      </w:r>
      <w:r w:rsidRPr="00A27E6F">
        <w:rPr>
          <w:rFonts w:cstheme="minorHAnsi"/>
          <w:bCs/>
          <w:color w:val="auto"/>
          <w:sz w:val="20"/>
          <w:szCs w:val="20"/>
        </w:rPr>
        <w:t>podpora</w:t>
      </w:r>
      <w:r w:rsidRPr="00A27E6F" w:rsidR="00436A3E">
        <w:rPr>
          <w:rFonts w:cstheme="minorHAnsi"/>
          <w:color w:val="auto"/>
          <w:sz w:val="20"/>
          <w:szCs w:val="20"/>
        </w:rPr>
        <w:t xml:space="preserve"> nákupu elektromobilů, LNG kamionů a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 w:rsidR="00436A3E">
        <w:rPr>
          <w:rFonts w:cstheme="minorHAnsi"/>
          <w:color w:val="auto"/>
          <w:sz w:val="20"/>
          <w:szCs w:val="20"/>
        </w:rPr>
        <w:t xml:space="preserve">dobíjecích stanic pro podnikatele 0,5 -1,0 mld. Kč </w:t>
      </w:r>
      <w:r w:rsidRPr="00A27E6F" w:rsidR="00436A3E">
        <w:rPr>
          <w:rFonts w:cstheme="minorHAnsi"/>
          <w:b/>
          <w:color w:val="auto"/>
          <w:sz w:val="20"/>
          <w:szCs w:val="20"/>
        </w:rPr>
        <w:t xml:space="preserve"> </w:t>
      </w:r>
    </w:p>
    <w:p w:rsidRPr="00A27E6F" w:rsidR="00436A3E" w:rsidP="007A6F3C" w:rsidRDefault="0017296A" w14:paraId="0668538C" w14:textId="77777777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b/>
          <w:color w:val="auto"/>
          <w:sz w:val="20"/>
          <w:szCs w:val="20"/>
        </w:rPr>
        <w:t>Integrovaný regionální operační program</w:t>
      </w:r>
      <w:r w:rsidRPr="00A27E6F">
        <w:rPr>
          <w:rFonts w:cstheme="minorHAnsi"/>
          <w:bCs/>
          <w:color w:val="auto"/>
          <w:sz w:val="20"/>
          <w:szCs w:val="20"/>
        </w:rPr>
        <w:t xml:space="preserve"> – podpora</w:t>
      </w:r>
      <w:r w:rsidRPr="00A27E6F" w:rsidR="00436A3E">
        <w:rPr>
          <w:rFonts w:cstheme="minorHAnsi"/>
          <w:color w:val="auto"/>
          <w:sz w:val="20"/>
          <w:szCs w:val="20"/>
        </w:rPr>
        <w:t xml:space="preserve"> vozidel a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 w:rsidR="00436A3E">
        <w:rPr>
          <w:rFonts w:cstheme="minorHAnsi"/>
          <w:color w:val="auto"/>
          <w:sz w:val="20"/>
          <w:szCs w:val="20"/>
        </w:rPr>
        <w:t>infrastruktury na alternativní paliva (veřejná doprava) 5-10 mld. Kč (přesná alokace není známa)</w:t>
      </w:r>
    </w:p>
    <w:p w:rsidRPr="00A27E6F" w:rsidR="00436A3E" w:rsidP="007A6F3C" w:rsidRDefault="2D97F252" w14:paraId="6B59CEF7" w14:textId="77777777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b/>
          <w:bCs/>
          <w:color w:val="auto"/>
          <w:sz w:val="20"/>
          <w:szCs w:val="20"/>
        </w:rPr>
        <w:t>OP</w:t>
      </w:r>
      <w:r w:rsidRPr="00A27E6F" w:rsidR="698DBEB0">
        <w:rPr>
          <w:rFonts w:cstheme="minorHAnsi"/>
          <w:b/>
          <w:bCs/>
          <w:color w:val="auto"/>
          <w:sz w:val="20"/>
          <w:szCs w:val="20"/>
        </w:rPr>
        <w:t xml:space="preserve"> </w:t>
      </w:r>
      <w:r w:rsidRPr="00A27E6F" w:rsidR="13D02D68">
        <w:rPr>
          <w:rFonts w:cstheme="minorHAnsi"/>
          <w:b/>
          <w:bCs/>
          <w:color w:val="auto"/>
          <w:sz w:val="20"/>
          <w:szCs w:val="20"/>
        </w:rPr>
        <w:t xml:space="preserve">Doprava – </w:t>
      </w:r>
      <w:r w:rsidRPr="00A27E6F" w:rsidR="13D02D68">
        <w:rPr>
          <w:rFonts w:cstheme="minorHAnsi"/>
          <w:color w:val="auto"/>
          <w:sz w:val="20"/>
          <w:szCs w:val="20"/>
        </w:rPr>
        <w:t>podpora</w:t>
      </w:r>
      <w:r w:rsidRPr="00A27E6F">
        <w:rPr>
          <w:rFonts w:cstheme="minorHAnsi"/>
          <w:color w:val="auto"/>
          <w:sz w:val="20"/>
          <w:szCs w:val="20"/>
        </w:rPr>
        <w:t xml:space="preserve"> výstavby veřejné dobíjecí a</w:t>
      </w:r>
      <w:r w:rsidRPr="00A27E6F" w:rsidR="0BB665D3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 xml:space="preserve">plnicí infrastruktury </w:t>
      </w:r>
      <w:r w:rsidRPr="00A27E6F" w:rsidR="388AA2DD">
        <w:rPr>
          <w:rFonts w:cstheme="minorHAnsi"/>
          <w:color w:val="auto"/>
          <w:sz w:val="20"/>
          <w:szCs w:val="20"/>
        </w:rPr>
        <w:t>6</w:t>
      </w:r>
      <w:r w:rsidRPr="00A27E6F">
        <w:rPr>
          <w:rFonts w:cstheme="minorHAnsi"/>
          <w:color w:val="auto"/>
          <w:sz w:val="20"/>
          <w:szCs w:val="20"/>
        </w:rPr>
        <w:t xml:space="preserve"> mld. Kč (z toho cca </w:t>
      </w:r>
      <w:r w:rsidRPr="00A27E6F" w:rsidR="388AA2DD">
        <w:rPr>
          <w:rFonts w:cstheme="minorHAnsi"/>
          <w:color w:val="auto"/>
          <w:sz w:val="20"/>
          <w:szCs w:val="20"/>
        </w:rPr>
        <w:t>5</w:t>
      </w:r>
      <w:r w:rsidRPr="00A27E6F">
        <w:rPr>
          <w:rFonts w:cstheme="minorHAnsi"/>
          <w:color w:val="auto"/>
          <w:sz w:val="20"/>
          <w:szCs w:val="20"/>
        </w:rPr>
        <w:t xml:space="preserve">,3 mld. Kč na </w:t>
      </w:r>
      <w:r w:rsidRPr="00A27E6F" w:rsidR="13D02D68">
        <w:rPr>
          <w:rFonts w:cstheme="minorHAnsi"/>
          <w:color w:val="auto"/>
          <w:sz w:val="20"/>
          <w:szCs w:val="20"/>
        </w:rPr>
        <w:t xml:space="preserve">cca </w:t>
      </w:r>
      <w:r w:rsidRPr="00A27E6F" w:rsidR="00643E50">
        <w:rPr>
          <w:rFonts w:cstheme="minorHAnsi"/>
          <w:color w:val="auto"/>
          <w:sz w:val="20"/>
          <w:szCs w:val="20"/>
        </w:rPr>
        <w:t>10 000</w:t>
      </w:r>
      <w:r w:rsidRPr="00A27E6F">
        <w:rPr>
          <w:rFonts w:cstheme="minorHAnsi"/>
          <w:color w:val="auto"/>
          <w:sz w:val="20"/>
          <w:szCs w:val="20"/>
        </w:rPr>
        <w:t xml:space="preserve"> tis. dobíjecích stanic</w:t>
      </w:r>
      <w:r w:rsidRPr="00A27E6F" w:rsidR="253A9B45">
        <w:rPr>
          <w:rFonts w:cstheme="minorHAnsi"/>
          <w:b/>
          <w:bCs/>
          <w:color w:val="auto"/>
          <w:sz w:val="20"/>
          <w:szCs w:val="20"/>
        </w:rPr>
        <w:t xml:space="preserve"> </w:t>
      </w:r>
      <w:r w:rsidRPr="00A27E6F" w:rsidR="253A9B45">
        <w:rPr>
          <w:rFonts w:cstheme="minorHAnsi"/>
          <w:color w:val="auto"/>
          <w:sz w:val="20"/>
          <w:szCs w:val="20"/>
        </w:rPr>
        <w:t>a</w:t>
      </w:r>
      <w:r w:rsidRPr="00A27E6F" w:rsidR="0BB665D3">
        <w:rPr>
          <w:rFonts w:cstheme="minorHAnsi"/>
          <w:color w:val="auto"/>
          <w:sz w:val="20"/>
          <w:szCs w:val="20"/>
        </w:rPr>
        <w:t> </w:t>
      </w:r>
      <w:r w:rsidRPr="00A27E6F" w:rsidR="253A9B45">
        <w:rPr>
          <w:rFonts w:cstheme="minorHAnsi"/>
          <w:color w:val="auto"/>
          <w:sz w:val="20"/>
          <w:szCs w:val="20"/>
        </w:rPr>
        <w:t>500 mil. plnicí stanice vodík a</w:t>
      </w:r>
      <w:r w:rsidRPr="00A27E6F" w:rsidR="0BB665D3">
        <w:rPr>
          <w:rFonts w:cstheme="minorHAnsi"/>
          <w:color w:val="auto"/>
          <w:sz w:val="20"/>
          <w:szCs w:val="20"/>
        </w:rPr>
        <w:t> </w:t>
      </w:r>
      <w:r w:rsidRPr="00A27E6F" w:rsidR="253A9B45">
        <w:rPr>
          <w:rFonts w:cstheme="minorHAnsi"/>
          <w:color w:val="auto"/>
          <w:sz w:val="20"/>
          <w:szCs w:val="20"/>
        </w:rPr>
        <w:t>200 mil. plnicí stanice LNG</w:t>
      </w:r>
      <w:r w:rsidRPr="00A27E6F" w:rsidR="3DA5A294">
        <w:rPr>
          <w:rFonts w:cstheme="minorHAnsi"/>
          <w:color w:val="auto"/>
          <w:sz w:val="20"/>
          <w:szCs w:val="20"/>
        </w:rPr>
        <w:t>)</w:t>
      </w:r>
    </w:p>
    <w:p w:rsidRPr="00A27E6F" w:rsidR="00A6645C" w:rsidP="007A6F3C" w:rsidRDefault="00A6645C" w14:paraId="6F65C0E7" w14:textId="77777777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rFonts w:cstheme="minorHAnsi"/>
          <w:b/>
          <w:color w:val="auto"/>
          <w:sz w:val="20"/>
          <w:szCs w:val="20"/>
        </w:rPr>
      </w:pPr>
      <w:r w:rsidRPr="00A27E6F">
        <w:rPr>
          <w:rFonts w:cstheme="minorHAnsi"/>
          <w:b/>
          <w:color w:val="auto"/>
          <w:sz w:val="20"/>
          <w:szCs w:val="20"/>
        </w:rPr>
        <w:t xml:space="preserve">Nová zelená úsporám </w:t>
      </w:r>
    </w:p>
    <w:p w:rsidRPr="00A27E6F" w:rsidR="00436A3E" w:rsidP="007A6F3C" w:rsidRDefault="00436A3E" w14:paraId="2DA662C4" w14:textId="77777777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b/>
          <w:color w:val="auto"/>
          <w:sz w:val="20"/>
          <w:szCs w:val="20"/>
        </w:rPr>
        <w:t>Modernizační fond</w:t>
      </w:r>
      <w:r w:rsidRPr="00A27E6F">
        <w:rPr>
          <w:rFonts w:cstheme="minorHAnsi"/>
          <w:color w:val="auto"/>
          <w:sz w:val="20"/>
          <w:szCs w:val="20"/>
        </w:rPr>
        <w:t xml:space="preserve"> </w:t>
      </w:r>
      <w:r w:rsidRPr="00A27E6F" w:rsidR="00904992">
        <w:rPr>
          <w:rFonts w:cstheme="minorHAnsi"/>
          <w:color w:val="auto"/>
          <w:sz w:val="20"/>
          <w:szCs w:val="20"/>
        </w:rPr>
        <w:tab/>
      </w:r>
      <w:r w:rsidRPr="00A27E6F">
        <w:rPr>
          <w:rFonts w:cstheme="minorHAnsi"/>
          <w:color w:val="auto"/>
          <w:sz w:val="20"/>
          <w:szCs w:val="20"/>
        </w:rPr>
        <w:t>Modernizace dopravy v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>podnikatelském sektoru</w:t>
      </w:r>
      <w:r w:rsidRPr="00A27E6F">
        <w:rPr>
          <w:rFonts w:cstheme="minorHAnsi"/>
          <w:color w:val="auto"/>
          <w:sz w:val="20"/>
          <w:szCs w:val="20"/>
        </w:rPr>
        <w:tab/>
      </w:r>
      <w:r w:rsidRPr="00A27E6F">
        <w:rPr>
          <w:rFonts w:cstheme="minorHAnsi"/>
          <w:color w:val="auto"/>
          <w:sz w:val="20"/>
          <w:szCs w:val="20"/>
        </w:rPr>
        <w:t>5,4 mld. Kč</w:t>
      </w:r>
    </w:p>
    <w:p w:rsidRPr="00A27E6F" w:rsidR="00436A3E" w:rsidP="007A6F3C" w:rsidRDefault="00436A3E" w14:paraId="6327D4FD" w14:textId="77777777">
      <w:pPr>
        <w:spacing w:after="120" w:line="240" w:lineRule="auto"/>
        <w:ind w:left="2136" w:firstLine="696"/>
        <w:contextualSpacing/>
        <w:jc w:val="both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color w:val="auto"/>
          <w:sz w:val="20"/>
          <w:szCs w:val="20"/>
        </w:rPr>
        <w:t>Modernizace veřejné dopravy</w:t>
      </w:r>
      <w:r w:rsidRPr="00A27E6F">
        <w:rPr>
          <w:rFonts w:cstheme="minorHAnsi"/>
          <w:color w:val="auto"/>
          <w:sz w:val="20"/>
          <w:szCs w:val="20"/>
        </w:rPr>
        <w:tab/>
      </w:r>
      <w:r w:rsidRPr="00A27E6F" w:rsidR="00904992">
        <w:rPr>
          <w:rFonts w:cstheme="minorHAnsi"/>
          <w:color w:val="auto"/>
          <w:sz w:val="20"/>
          <w:szCs w:val="20"/>
        </w:rPr>
        <w:tab/>
      </w:r>
      <w:r w:rsidRPr="00A27E6F" w:rsidR="00904992">
        <w:rPr>
          <w:rFonts w:cstheme="minorHAnsi"/>
          <w:color w:val="auto"/>
          <w:sz w:val="20"/>
          <w:szCs w:val="20"/>
        </w:rPr>
        <w:tab/>
      </w:r>
      <w:r w:rsidRPr="00A27E6F" w:rsidR="00904992">
        <w:rPr>
          <w:rFonts w:cstheme="minorHAnsi"/>
          <w:color w:val="auto"/>
          <w:sz w:val="20"/>
          <w:szCs w:val="20"/>
        </w:rPr>
        <w:tab/>
      </w:r>
      <w:r w:rsidRPr="00A27E6F">
        <w:rPr>
          <w:rFonts w:cstheme="minorHAnsi"/>
          <w:color w:val="auto"/>
          <w:sz w:val="20"/>
          <w:szCs w:val="20"/>
        </w:rPr>
        <w:t>7,7 mld. Kč</w:t>
      </w:r>
    </w:p>
    <w:p w:rsidRPr="00A27E6F" w:rsidR="007B24DF" w:rsidP="007A6F3C" w:rsidRDefault="00436A3E" w14:paraId="0A22DB4F" w14:textId="77777777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b/>
          <w:color w:val="auto"/>
          <w:sz w:val="20"/>
          <w:szCs w:val="20"/>
        </w:rPr>
        <w:t xml:space="preserve">Fond </w:t>
      </w:r>
      <w:r w:rsidRPr="00A27E6F" w:rsidR="006B326A">
        <w:rPr>
          <w:rFonts w:cstheme="minorHAnsi"/>
          <w:b/>
          <w:color w:val="auto"/>
          <w:sz w:val="20"/>
          <w:szCs w:val="20"/>
        </w:rPr>
        <w:t>obnovy</w:t>
      </w:r>
      <w:r w:rsidRPr="00A27E6F" w:rsidR="006B326A">
        <w:rPr>
          <w:rFonts w:cstheme="minorHAnsi"/>
          <w:color w:val="auto"/>
          <w:sz w:val="20"/>
          <w:szCs w:val="20"/>
        </w:rPr>
        <w:t xml:space="preserve"> – podpora</w:t>
      </w:r>
      <w:r w:rsidRPr="00A27E6F">
        <w:rPr>
          <w:rFonts w:cstheme="minorHAnsi"/>
          <w:color w:val="auto"/>
          <w:sz w:val="20"/>
          <w:szCs w:val="20"/>
        </w:rPr>
        <w:t xml:space="preserve"> </w:t>
      </w:r>
      <w:r w:rsidRPr="00A27E6F" w:rsidR="00537529">
        <w:rPr>
          <w:rFonts w:cstheme="minorHAnsi"/>
          <w:color w:val="auto"/>
          <w:sz w:val="20"/>
          <w:szCs w:val="20"/>
        </w:rPr>
        <w:t xml:space="preserve">výstavby infrastruktury a pořizování </w:t>
      </w:r>
      <w:r w:rsidRPr="00A27E6F">
        <w:rPr>
          <w:rFonts w:cstheme="minorHAnsi"/>
          <w:color w:val="auto"/>
          <w:sz w:val="20"/>
          <w:szCs w:val="20"/>
        </w:rPr>
        <w:t xml:space="preserve">vozidel na alternativní paliva </w:t>
      </w:r>
      <w:r w:rsidRPr="00A27E6F" w:rsidR="00070F7C">
        <w:rPr>
          <w:rFonts w:cstheme="minorHAnsi"/>
          <w:color w:val="auto"/>
          <w:sz w:val="20"/>
          <w:szCs w:val="20"/>
        </w:rPr>
        <w:t>4</w:t>
      </w:r>
      <w:r w:rsidRPr="00A27E6F">
        <w:rPr>
          <w:rFonts w:cstheme="minorHAnsi"/>
          <w:color w:val="auto"/>
          <w:sz w:val="20"/>
          <w:szCs w:val="20"/>
        </w:rPr>
        <w:t>,</w:t>
      </w:r>
      <w:r w:rsidRPr="00A27E6F" w:rsidR="00417D3E">
        <w:rPr>
          <w:rFonts w:cstheme="minorHAnsi"/>
          <w:color w:val="auto"/>
          <w:sz w:val="20"/>
          <w:szCs w:val="20"/>
        </w:rPr>
        <w:t>934</w:t>
      </w:r>
      <w:r w:rsidRPr="00A27E6F" w:rsidR="00974A80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>mld.</w:t>
      </w:r>
      <w:r w:rsidRPr="00A27E6F" w:rsidR="00974A80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>Kč (dle současného návrhu</w:t>
      </w:r>
      <w:r w:rsidRPr="00A27E6F" w:rsidR="00904992">
        <w:rPr>
          <w:rFonts w:cstheme="minorHAnsi"/>
          <w:color w:val="auto"/>
          <w:sz w:val="20"/>
          <w:szCs w:val="20"/>
        </w:rPr>
        <w:t>)</w:t>
      </w:r>
      <w:r w:rsidRPr="00A27E6F" w:rsidR="007B24DF">
        <w:rPr>
          <w:rFonts w:cstheme="minorHAnsi"/>
          <w:b/>
          <w:color w:val="auto"/>
          <w:sz w:val="20"/>
          <w:szCs w:val="20"/>
        </w:rPr>
        <w:t>.</w:t>
      </w:r>
    </w:p>
    <w:p w:rsidRPr="00A27E6F" w:rsidR="00436A3E" w:rsidP="007A6F3C" w:rsidRDefault="007B24DF" w14:paraId="764420AA" w14:textId="77777777">
      <w:pPr>
        <w:spacing w:after="120" w:line="240" w:lineRule="auto"/>
        <w:ind w:left="360"/>
        <w:contextualSpacing/>
        <w:jc w:val="both"/>
        <w:rPr>
          <w:rFonts w:cstheme="minorHAnsi"/>
          <w:color w:val="auto"/>
          <w:sz w:val="20"/>
          <w:szCs w:val="20"/>
          <w:u w:val="single"/>
        </w:rPr>
      </w:pPr>
      <w:r w:rsidRPr="00A27E6F">
        <w:rPr>
          <w:rFonts w:cstheme="minorHAnsi"/>
          <w:b/>
          <w:color w:val="auto"/>
          <w:sz w:val="20"/>
          <w:szCs w:val="20"/>
        </w:rPr>
        <w:tab/>
      </w:r>
      <w:r w:rsidRPr="00A27E6F">
        <w:rPr>
          <w:rFonts w:cstheme="minorHAnsi"/>
          <w:color w:val="auto"/>
          <w:sz w:val="20"/>
          <w:szCs w:val="20"/>
          <w:u w:val="single"/>
        </w:rPr>
        <w:t xml:space="preserve">Infrastruktura </w:t>
      </w:r>
      <w:r w:rsidRPr="00A27E6F" w:rsidR="00B65B44">
        <w:rPr>
          <w:rFonts w:cstheme="minorHAnsi"/>
          <w:color w:val="auto"/>
          <w:sz w:val="20"/>
          <w:szCs w:val="20"/>
          <w:u w:val="single"/>
        </w:rPr>
        <w:t>pro</w:t>
      </w:r>
      <w:r w:rsidRPr="00A27E6F">
        <w:rPr>
          <w:rFonts w:cstheme="minorHAnsi"/>
          <w:color w:val="auto"/>
          <w:sz w:val="20"/>
          <w:szCs w:val="20"/>
          <w:u w:val="single"/>
        </w:rPr>
        <w:t xml:space="preserve"> alternativní paliva</w:t>
      </w:r>
    </w:p>
    <w:p w:rsidRPr="00A27E6F" w:rsidR="00436A3E" w:rsidP="007A6F3C" w:rsidRDefault="00436A3E" w14:paraId="2EA61817" w14:textId="77777777">
      <w:pPr>
        <w:spacing w:after="120" w:line="240" w:lineRule="auto"/>
        <w:ind w:left="2124" w:firstLine="696"/>
        <w:contextualSpacing/>
        <w:jc w:val="both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b/>
          <w:color w:val="auto"/>
          <w:sz w:val="20"/>
          <w:szCs w:val="20"/>
        </w:rPr>
        <w:t xml:space="preserve">     </w:t>
      </w:r>
      <w:r w:rsidRPr="00A27E6F" w:rsidR="0017296A">
        <w:rPr>
          <w:rFonts w:cstheme="minorHAnsi"/>
          <w:b/>
          <w:color w:val="auto"/>
          <w:sz w:val="20"/>
          <w:szCs w:val="20"/>
        </w:rPr>
        <w:tab/>
      </w:r>
      <w:r w:rsidRPr="00A27E6F">
        <w:rPr>
          <w:rFonts w:cstheme="minorHAnsi"/>
          <w:color w:val="auto"/>
          <w:sz w:val="20"/>
          <w:szCs w:val="20"/>
        </w:rPr>
        <w:t xml:space="preserve"> </w:t>
      </w:r>
    </w:p>
    <w:p w:rsidRPr="00A27E6F" w:rsidR="00417D3E" w:rsidP="00323B07" w:rsidRDefault="00417D3E" w14:paraId="34F6E76C" w14:textId="577A4075">
      <w:pPr>
        <w:pStyle w:val="Odstavecseseznamem"/>
        <w:numPr>
          <w:ilvl w:val="2"/>
          <w:numId w:val="11"/>
        </w:numPr>
        <w:spacing w:after="120" w:line="240" w:lineRule="auto"/>
        <w:jc w:val="both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color w:val="auto"/>
          <w:sz w:val="20"/>
          <w:szCs w:val="20"/>
        </w:rPr>
        <w:t>2</w:t>
      </w:r>
      <w:r w:rsidRPr="00A27E6F" w:rsidR="004E60C4">
        <w:rPr>
          <w:rFonts w:cstheme="minorHAnsi"/>
          <w:color w:val="auto"/>
          <w:sz w:val="20"/>
          <w:szCs w:val="20"/>
        </w:rPr>
        <w:t xml:space="preserve"> </w:t>
      </w:r>
      <w:r w:rsidRPr="00A27E6F">
        <w:rPr>
          <w:rFonts w:cstheme="minorHAnsi"/>
          <w:color w:val="auto"/>
          <w:sz w:val="20"/>
          <w:szCs w:val="20"/>
        </w:rPr>
        <w:t xml:space="preserve">880 dobíjecích bodů </w:t>
      </w:r>
      <w:r w:rsidRPr="00A27E6F" w:rsidR="001163A3">
        <w:rPr>
          <w:rFonts w:cstheme="minorHAnsi"/>
          <w:color w:val="auto"/>
          <w:sz w:val="20"/>
          <w:szCs w:val="20"/>
        </w:rPr>
        <w:t xml:space="preserve">v </w:t>
      </w:r>
      <w:r w:rsidRPr="00A27E6F">
        <w:rPr>
          <w:rFonts w:cstheme="minorHAnsi"/>
          <w:color w:val="auto"/>
          <w:sz w:val="20"/>
          <w:szCs w:val="20"/>
        </w:rPr>
        <w:t>obytn</w:t>
      </w:r>
      <w:r w:rsidRPr="00A27E6F" w:rsidR="001163A3">
        <w:rPr>
          <w:rFonts w:cstheme="minorHAnsi"/>
          <w:color w:val="auto"/>
          <w:sz w:val="20"/>
          <w:szCs w:val="20"/>
        </w:rPr>
        <w:t>ých</w:t>
      </w:r>
      <w:r w:rsidRPr="00A27E6F">
        <w:rPr>
          <w:rFonts w:cstheme="minorHAnsi"/>
          <w:color w:val="auto"/>
          <w:sz w:val="20"/>
          <w:szCs w:val="20"/>
        </w:rPr>
        <w:t xml:space="preserve"> dom</w:t>
      </w:r>
      <w:r w:rsidRPr="00A27E6F" w:rsidR="001163A3">
        <w:rPr>
          <w:rFonts w:cstheme="minorHAnsi"/>
          <w:color w:val="auto"/>
          <w:sz w:val="20"/>
          <w:szCs w:val="20"/>
        </w:rPr>
        <w:t>ech</w:t>
      </w:r>
      <w:r w:rsidRPr="00A27E6F">
        <w:rPr>
          <w:rFonts w:cstheme="minorHAnsi"/>
          <w:color w:val="auto"/>
          <w:sz w:val="20"/>
          <w:szCs w:val="20"/>
        </w:rPr>
        <w:t xml:space="preserve"> za 144 mil. Kč,</w:t>
      </w:r>
    </w:p>
    <w:p w:rsidRPr="00A27E6F" w:rsidR="00436A3E" w:rsidP="36384684" w:rsidRDefault="009E6FA9" w14:paraId="7F18F57E" w14:textId="0BC091D9">
      <w:pPr>
        <w:pStyle w:val="Odstavecseseznamem"/>
        <w:numPr>
          <w:ilvl w:val="2"/>
          <w:numId w:val="11"/>
        </w:numPr>
        <w:spacing w:after="120" w:line="240" w:lineRule="auto"/>
        <w:jc w:val="both"/>
        <w:rPr>
          <w:color w:val="auto"/>
          <w:sz w:val="20"/>
          <w:szCs w:val="20"/>
        </w:rPr>
      </w:pPr>
      <w:r w:rsidRPr="36384684">
        <w:rPr>
          <w:color w:val="auto"/>
          <w:sz w:val="20"/>
          <w:szCs w:val="20"/>
        </w:rPr>
        <w:lastRenderedPageBreak/>
        <w:t>5</w:t>
      </w:r>
      <w:r w:rsidRPr="36384684" w:rsidR="000C57CB">
        <w:rPr>
          <w:color w:val="auto"/>
          <w:sz w:val="20"/>
          <w:szCs w:val="20"/>
        </w:rPr>
        <w:t>2</w:t>
      </w:r>
      <w:r w:rsidRPr="36384684" w:rsidR="00436A3E">
        <w:rPr>
          <w:color w:val="auto"/>
          <w:sz w:val="20"/>
          <w:szCs w:val="20"/>
        </w:rPr>
        <w:t xml:space="preserve"> dobíjecích bodů</w:t>
      </w:r>
      <w:r w:rsidRPr="36384684" w:rsidR="000C57CB">
        <w:rPr>
          <w:color w:val="auto"/>
          <w:sz w:val="20"/>
          <w:szCs w:val="20"/>
        </w:rPr>
        <w:t xml:space="preserve"> a </w:t>
      </w:r>
      <w:r w:rsidRPr="36384684" w:rsidR="6132EF20">
        <w:rPr>
          <w:color w:val="auto"/>
          <w:sz w:val="20"/>
          <w:szCs w:val="20"/>
        </w:rPr>
        <w:t>40</w:t>
      </w:r>
      <w:r w:rsidRPr="36384684" w:rsidR="000C57CB">
        <w:rPr>
          <w:color w:val="auto"/>
          <w:sz w:val="20"/>
          <w:szCs w:val="20"/>
        </w:rPr>
        <w:t xml:space="preserve"> km dynamického dobíjení</w:t>
      </w:r>
      <w:r w:rsidRPr="36384684" w:rsidR="00436A3E">
        <w:rPr>
          <w:color w:val="auto"/>
          <w:sz w:val="20"/>
          <w:szCs w:val="20"/>
        </w:rPr>
        <w:t xml:space="preserve"> </w:t>
      </w:r>
      <w:r w:rsidRPr="36384684" w:rsidR="00417D3E">
        <w:rPr>
          <w:color w:val="auto"/>
          <w:sz w:val="20"/>
          <w:szCs w:val="20"/>
        </w:rPr>
        <w:t xml:space="preserve">DPHMP za </w:t>
      </w:r>
      <w:r w:rsidRPr="36384684" w:rsidR="00436A3E">
        <w:rPr>
          <w:color w:val="auto"/>
          <w:sz w:val="20"/>
          <w:szCs w:val="20"/>
        </w:rPr>
        <w:t>1</w:t>
      </w:r>
      <w:r w:rsidRPr="36384684" w:rsidR="00914682">
        <w:rPr>
          <w:color w:val="auto"/>
          <w:sz w:val="20"/>
          <w:szCs w:val="20"/>
        </w:rPr>
        <w:t> </w:t>
      </w:r>
      <w:r w:rsidRPr="36384684" w:rsidR="00436A3E">
        <w:rPr>
          <w:color w:val="auto"/>
          <w:sz w:val="20"/>
          <w:szCs w:val="20"/>
        </w:rPr>
        <w:t>200 mil. Kč,</w:t>
      </w:r>
    </w:p>
    <w:p w:rsidRPr="00A27E6F" w:rsidR="00436A3E" w:rsidP="00323B07" w:rsidRDefault="00F43705" w14:paraId="7B8EEC1D" w14:textId="2919AE10">
      <w:pPr>
        <w:pStyle w:val="Odstavecseseznamem"/>
        <w:numPr>
          <w:ilvl w:val="2"/>
          <w:numId w:val="11"/>
        </w:numPr>
        <w:spacing w:after="120" w:line="240" w:lineRule="auto"/>
        <w:jc w:val="both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color w:val="auto"/>
          <w:sz w:val="20"/>
          <w:szCs w:val="20"/>
        </w:rPr>
        <w:t>1</w:t>
      </w:r>
      <w:r w:rsidRPr="00A27E6F" w:rsidR="00B63764">
        <w:rPr>
          <w:rFonts w:cstheme="minorHAnsi"/>
          <w:color w:val="auto"/>
          <w:sz w:val="20"/>
          <w:szCs w:val="20"/>
        </w:rPr>
        <w:t xml:space="preserve"> </w:t>
      </w:r>
      <w:r w:rsidRPr="00A27E6F">
        <w:rPr>
          <w:rFonts w:cstheme="minorHAnsi"/>
          <w:color w:val="auto"/>
          <w:sz w:val="20"/>
          <w:szCs w:val="20"/>
        </w:rPr>
        <w:t>500</w:t>
      </w:r>
      <w:r w:rsidRPr="00A27E6F" w:rsidR="00436A3E">
        <w:rPr>
          <w:rFonts w:cstheme="minorHAnsi"/>
          <w:color w:val="auto"/>
          <w:sz w:val="20"/>
          <w:szCs w:val="20"/>
        </w:rPr>
        <w:t xml:space="preserve"> dobíjecích bodů</w:t>
      </w:r>
      <w:r w:rsidRPr="00A27E6F" w:rsidR="000D15DD">
        <w:rPr>
          <w:rFonts w:cstheme="minorHAnsi"/>
          <w:color w:val="auto"/>
          <w:sz w:val="20"/>
          <w:szCs w:val="20"/>
        </w:rPr>
        <w:t xml:space="preserve"> pro</w:t>
      </w:r>
      <w:r w:rsidRPr="00A27E6F" w:rsidR="00436A3E">
        <w:rPr>
          <w:rFonts w:cstheme="minorHAnsi"/>
          <w:color w:val="auto"/>
          <w:sz w:val="20"/>
          <w:szCs w:val="20"/>
        </w:rPr>
        <w:t xml:space="preserve"> podnikatelé </w:t>
      </w:r>
      <w:r w:rsidRPr="00A27E6F" w:rsidR="00417D3E">
        <w:rPr>
          <w:rFonts w:cstheme="minorHAnsi"/>
          <w:color w:val="auto"/>
          <w:sz w:val="20"/>
          <w:szCs w:val="20"/>
        </w:rPr>
        <w:t xml:space="preserve">za </w:t>
      </w:r>
      <w:r w:rsidRPr="00A27E6F" w:rsidR="00436A3E">
        <w:rPr>
          <w:rFonts w:cstheme="minorHAnsi"/>
          <w:color w:val="auto"/>
          <w:sz w:val="20"/>
          <w:szCs w:val="20"/>
        </w:rPr>
        <w:t>300 mil. Kč</w:t>
      </w:r>
      <w:r w:rsidRPr="00A27E6F" w:rsidR="00150644">
        <w:rPr>
          <w:rFonts w:cstheme="minorHAnsi"/>
          <w:color w:val="auto"/>
          <w:sz w:val="20"/>
          <w:szCs w:val="20"/>
        </w:rPr>
        <w:t>.</w:t>
      </w:r>
    </w:p>
    <w:p w:rsidRPr="00A27E6F" w:rsidR="00150644" w:rsidP="007A6F3C" w:rsidRDefault="00150644" w14:paraId="350512CA" w14:textId="77777777">
      <w:pPr>
        <w:spacing w:after="120" w:line="240" w:lineRule="auto"/>
        <w:ind w:left="720"/>
        <w:contextualSpacing/>
        <w:jc w:val="both"/>
        <w:rPr>
          <w:rFonts w:cstheme="minorHAnsi"/>
          <w:color w:val="auto"/>
          <w:sz w:val="20"/>
          <w:szCs w:val="20"/>
        </w:rPr>
      </w:pPr>
    </w:p>
    <w:p w:rsidRPr="00A27E6F" w:rsidR="00EE684E" w:rsidP="007A6F3C" w:rsidRDefault="00EE684E" w14:paraId="1EAEABC6" w14:textId="77777777">
      <w:pPr>
        <w:spacing w:after="120" w:line="240" w:lineRule="auto"/>
        <w:ind w:left="720"/>
        <w:contextualSpacing/>
        <w:jc w:val="both"/>
        <w:rPr>
          <w:rFonts w:cstheme="minorHAnsi"/>
          <w:color w:val="auto"/>
          <w:sz w:val="20"/>
          <w:szCs w:val="20"/>
          <w:u w:val="single"/>
        </w:rPr>
      </w:pPr>
      <w:r w:rsidRPr="00A27E6F">
        <w:rPr>
          <w:rFonts w:cstheme="minorHAnsi"/>
          <w:color w:val="auto"/>
          <w:sz w:val="20"/>
          <w:szCs w:val="20"/>
          <w:u w:val="single"/>
        </w:rPr>
        <w:t xml:space="preserve">Dopravní prostředky na alternativní paliva  </w:t>
      </w:r>
    </w:p>
    <w:p w:rsidRPr="00A27E6F" w:rsidR="00EE684E" w:rsidP="3E8FE825" w:rsidRDefault="76ECE4E1" w14:paraId="2E007CFC" w14:textId="75A7E6CE">
      <w:pPr>
        <w:pStyle w:val="Odstavecseseznamem"/>
        <w:numPr>
          <w:ilvl w:val="2"/>
          <w:numId w:val="11"/>
        </w:numPr>
        <w:spacing w:after="120" w:line="240" w:lineRule="auto"/>
        <w:jc w:val="both"/>
        <w:rPr>
          <w:color w:val="auto"/>
          <w:sz w:val="20"/>
          <w:szCs w:val="20"/>
        </w:rPr>
      </w:pPr>
      <w:r w:rsidRPr="3E8FE825">
        <w:rPr>
          <w:color w:val="auto"/>
          <w:sz w:val="20"/>
          <w:szCs w:val="20"/>
        </w:rPr>
        <w:t xml:space="preserve">4 </w:t>
      </w:r>
      <w:r w:rsidRPr="3E8FE825">
        <w:rPr>
          <w:color w:val="auto"/>
          <w:sz w:val="20"/>
          <w:szCs w:val="20"/>
        </w:rPr>
        <w:t>555</w:t>
      </w:r>
      <w:r w:rsidRPr="3E8FE825" w:rsidR="03E3DDE5">
        <w:rPr>
          <w:color w:val="auto"/>
          <w:sz w:val="20"/>
          <w:szCs w:val="20"/>
        </w:rPr>
        <w:t xml:space="preserve"> vozidel na alternativní paliva pro podnikatele (včetně 1 000 </w:t>
      </w:r>
      <w:proofErr w:type="spellStart"/>
      <w:r w:rsidRPr="3E8FE825" w:rsidR="03E3DDE5">
        <w:rPr>
          <w:color w:val="auto"/>
          <w:sz w:val="20"/>
          <w:szCs w:val="20"/>
        </w:rPr>
        <w:t>cargo</w:t>
      </w:r>
      <w:proofErr w:type="spellEnd"/>
      <w:r w:rsidRPr="3E8FE825" w:rsidR="03E3DDE5">
        <w:rPr>
          <w:color w:val="auto"/>
          <w:sz w:val="20"/>
          <w:szCs w:val="20"/>
        </w:rPr>
        <w:t xml:space="preserve"> </w:t>
      </w:r>
      <w:proofErr w:type="spellStart"/>
      <w:r w:rsidRPr="3E8FE825" w:rsidR="03E3DDE5">
        <w:rPr>
          <w:color w:val="auto"/>
          <w:sz w:val="20"/>
          <w:szCs w:val="20"/>
        </w:rPr>
        <w:t>ekol</w:t>
      </w:r>
      <w:proofErr w:type="spellEnd"/>
      <w:r w:rsidRPr="3E8FE825" w:rsidR="0A640386">
        <w:rPr>
          <w:color w:val="auto"/>
          <w:sz w:val="20"/>
          <w:szCs w:val="20"/>
        </w:rPr>
        <w:t xml:space="preserve"> </w:t>
      </w:r>
      <w:r w:rsidRPr="3E8FE825" w:rsidR="3D5E3248">
        <w:rPr>
          <w:color w:val="auto"/>
          <w:sz w:val="20"/>
          <w:szCs w:val="20"/>
        </w:rPr>
        <w:t xml:space="preserve">za </w:t>
      </w:r>
      <w:r w:rsidRPr="3E8FE825">
        <w:rPr>
          <w:color w:val="auto"/>
          <w:sz w:val="20"/>
          <w:szCs w:val="20"/>
        </w:rPr>
        <w:t>9</w:t>
      </w:r>
      <w:r w:rsidRPr="3E8FE825" w:rsidR="73980226">
        <w:rPr>
          <w:color w:val="auto"/>
          <w:sz w:val="20"/>
          <w:szCs w:val="20"/>
        </w:rPr>
        <w:t>4</w:t>
      </w:r>
      <w:r w:rsidRPr="3E8FE825" w:rsidR="57124D4F">
        <w:rPr>
          <w:color w:val="auto"/>
          <w:sz w:val="20"/>
          <w:szCs w:val="20"/>
        </w:rPr>
        <w:t>0</w:t>
      </w:r>
      <w:r w:rsidRPr="3E8FE825" w:rsidR="3D5E3248">
        <w:rPr>
          <w:color w:val="auto"/>
          <w:sz w:val="20"/>
          <w:szCs w:val="20"/>
        </w:rPr>
        <w:t xml:space="preserve"> mil. Kč.</w:t>
      </w:r>
    </w:p>
    <w:p w:rsidRPr="00A27E6F" w:rsidR="00EE684E" w:rsidP="00323B07" w:rsidRDefault="004E60C4" w14:paraId="63C78FE9" w14:textId="77777777">
      <w:pPr>
        <w:pStyle w:val="Odstavecseseznamem"/>
        <w:numPr>
          <w:ilvl w:val="2"/>
          <w:numId w:val="11"/>
        </w:numPr>
        <w:spacing w:after="120" w:line="240" w:lineRule="auto"/>
        <w:jc w:val="both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color w:val="auto"/>
          <w:sz w:val="20"/>
          <w:szCs w:val="20"/>
        </w:rPr>
        <w:t>1 485</w:t>
      </w:r>
      <w:r w:rsidRPr="00A27E6F" w:rsidR="00EE684E">
        <w:rPr>
          <w:rFonts w:cstheme="minorHAnsi"/>
          <w:color w:val="auto"/>
          <w:sz w:val="20"/>
          <w:szCs w:val="20"/>
        </w:rPr>
        <w:t xml:space="preserve"> vozidel </w:t>
      </w:r>
      <w:r w:rsidRPr="00A27E6F" w:rsidR="00D20D66">
        <w:rPr>
          <w:rFonts w:cstheme="minorHAnsi"/>
          <w:color w:val="auto"/>
          <w:sz w:val="20"/>
          <w:szCs w:val="20"/>
        </w:rPr>
        <w:t xml:space="preserve">(Elektromobily, H2) </w:t>
      </w:r>
      <w:r w:rsidRPr="00A27E6F">
        <w:rPr>
          <w:rFonts w:cstheme="minorHAnsi"/>
          <w:color w:val="auto"/>
          <w:sz w:val="20"/>
          <w:szCs w:val="20"/>
        </w:rPr>
        <w:t xml:space="preserve">a 200 neveřejných dobíjecích bodů </w:t>
      </w:r>
      <w:r w:rsidRPr="00A27E6F" w:rsidR="00EE684E">
        <w:rPr>
          <w:rFonts w:cstheme="minorHAnsi"/>
          <w:color w:val="auto"/>
          <w:sz w:val="20"/>
          <w:szCs w:val="20"/>
        </w:rPr>
        <w:t>pro obce, kraje a státní správu</w:t>
      </w:r>
      <w:r w:rsidRPr="00A27E6F" w:rsidR="00417D3E">
        <w:rPr>
          <w:rFonts w:cstheme="minorHAnsi"/>
          <w:color w:val="auto"/>
          <w:sz w:val="20"/>
          <w:szCs w:val="20"/>
        </w:rPr>
        <w:t xml:space="preserve"> za 600 mil. Kč.</w:t>
      </w:r>
      <w:r w:rsidRPr="00A27E6F" w:rsidR="00EE684E">
        <w:rPr>
          <w:rFonts w:cstheme="minorHAnsi"/>
          <w:color w:val="auto"/>
          <w:sz w:val="20"/>
          <w:szCs w:val="20"/>
        </w:rPr>
        <w:t xml:space="preserve"> </w:t>
      </w:r>
    </w:p>
    <w:p w:rsidRPr="00A27E6F" w:rsidR="00EE684E" w:rsidP="00323B07" w:rsidRDefault="009E6FA9" w14:paraId="79E8B89B" w14:textId="2FD9964A">
      <w:pPr>
        <w:pStyle w:val="Odstavecseseznamem"/>
        <w:numPr>
          <w:ilvl w:val="2"/>
          <w:numId w:val="11"/>
        </w:numPr>
        <w:spacing w:after="120" w:line="240" w:lineRule="auto"/>
        <w:jc w:val="both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color w:val="auto"/>
          <w:sz w:val="20"/>
          <w:szCs w:val="20"/>
        </w:rPr>
        <w:t>40 vozidel (bateriové trolejbusy a nízkopodlažní tramvaje)</w:t>
      </w:r>
      <w:r w:rsidRPr="00A27E6F" w:rsidR="003F753F">
        <w:rPr>
          <w:rFonts w:cstheme="minorHAnsi"/>
          <w:color w:val="auto"/>
          <w:sz w:val="20"/>
          <w:szCs w:val="20"/>
        </w:rPr>
        <w:t xml:space="preserve"> </w:t>
      </w:r>
      <w:r w:rsidRPr="00A27E6F" w:rsidR="00EE684E">
        <w:rPr>
          <w:rFonts w:cstheme="minorHAnsi"/>
          <w:color w:val="auto"/>
          <w:sz w:val="20"/>
          <w:szCs w:val="20"/>
        </w:rPr>
        <w:t>pro veřejnou dopravu v</w:t>
      </w:r>
      <w:r w:rsidRPr="00A27E6F" w:rsidR="003F753F">
        <w:rPr>
          <w:rFonts w:cstheme="minorHAnsi"/>
          <w:color w:val="auto"/>
          <w:sz w:val="20"/>
          <w:szCs w:val="20"/>
        </w:rPr>
        <w:t> </w:t>
      </w:r>
      <w:r w:rsidRPr="00A27E6F" w:rsidR="00EE684E">
        <w:rPr>
          <w:rFonts w:cstheme="minorHAnsi"/>
          <w:color w:val="auto"/>
          <w:sz w:val="20"/>
          <w:szCs w:val="20"/>
        </w:rPr>
        <w:t xml:space="preserve">Praze </w:t>
      </w:r>
      <w:r w:rsidRPr="00A27E6F" w:rsidR="00417D3E">
        <w:rPr>
          <w:rFonts w:cstheme="minorHAnsi"/>
          <w:color w:val="auto"/>
          <w:sz w:val="20"/>
          <w:szCs w:val="20"/>
        </w:rPr>
        <w:t>za 1700 mil.</w:t>
      </w:r>
      <w:r w:rsidRPr="00A27E6F" w:rsidR="00914682">
        <w:rPr>
          <w:rFonts w:cstheme="minorHAnsi"/>
          <w:color w:val="auto"/>
          <w:sz w:val="20"/>
          <w:szCs w:val="20"/>
        </w:rPr>
        <w:t xml:space="preserve"> </w:t>
      </w:r>
      <w:r w:rsidRPr="00A27E6F" w:rsidR="00417D3E">
        <w:rPr>
          <w:rFonts w:cstheme="minorHAnsi"/>
          <w:color w:val="auto"/>
          <w:sz w:val="20"/>
          <w:szCs w:val="20"/>
        </w:rPr>
        <w:t>Kč.</w:t>
      </w:r>
    </w:p>
    <w:p w:rsidRPr="00A27E6F" w:rsidR="00DC4A4A" w:rsidP="00D10829" w:rsidRDefault="00DC4A4A" w14:paraId="6FFEFFC7" w14:textId="77777777">
      <w:pPr>
        <w:spacing w:after="120" w:line="240" w:lineRule="auto"/>
        <w:rPr>
          <w:rFonts w:cstheme="minorHAnsi"/>
          <w:b/>
          <w:color w:val="auto"/>
          <w:sz w:val="20"/>
          <w:szCs w:val="20"/>
        </w:rPr>
      </w:pPr>
    </w:p>
    <w:p w:rsidRPr="00A27E6F" w:rsidR="007A2737" w:rsidP="00D10829" w:rsidRDefault="007A2737" w14:paraId="24A75DAC" w14:textId="77777777">
      <w:pPr>
        <w:pStyle w:val="K-Nadpis3"/>
        <w:rPr>
          <w:rFonts w:asciiTheme="minorHAnsi" w:hAnsiTheme="minorHAnsi" w:cstheme="minorHAnsi"/>
          <w:color w:val="auto"/>
          <w:sz w:val="20"/>
          <w:szCs w:val="20"/>
        </w:rPr>
      </w:pPr>
      <w:r w:rsidRPr="00A27E6F">
        <w:rPr>
          <w:rFonts w:asciiTheme="minorHAnsi" w:hAnsiTheme="minorHAnsi" w:cstheme="minorHAnsi"/>
          <w:color w:val="auto"/>
          <w:sz w:val="20"/>
          <w:szCs w:val="20"/>
        </w:rPr>
        <w:t>d) Předchozí snahy</w:t>
      </w:r>
    </w:p>
    <w:p w:rsidRPr="00A27E6F" w:rsidR="002F1D49" w:rsidP="00D10829" w:rsidRDefault="002F1D49" w14:paraId="43C14402" w14:textId="77777777">
      <w:pPr>
        <w:spacing w:after="120" w:line="240" w:lineRule="auto"/>
        <w:rPr>
          <w:rFonts w:cstheme="minorHAnsi"/>
          <w:b/>
          <w:color w:val="auto"/>
          <w:sz w:val="20"/>
          <w:szCs w:val="20"/>
          <w:u w:val="single"/>
        </w:rPr>
      </w:pPr>
      <w:r w:rsidRPr="00A27E6F">
        <w:rPr>
          <w:rFonts w:cstheme="minorHAnsi"/>
          <w:b/>
          <w:color w:val="auto"/>
          <w:sz w:val="20"/>
          <w:szCs w:val="20"/>
          <w:u w:val="single"/>
        </w:rPr>
        <w:t xml:space="preserve">Podpory čisté mobility </w:t>
      </w:r>
      <w:r w:rsidRPr="00A27E6F" w:rsidR="003A12B0">
        <w:rPr>
          <w:rFonts w:cstheme="minorHAnsi"/>
          <w:b/>
          <w:color w:val="auto"/>
          <w:sz w:val="20"/>
          <w:szCs w:val="20"/>
          <w:u w:val="single"/>
        </w:rPr>
        <w:t>2014–2020</w:t>
      </w:r>
    </w:p>
    <w:p w:rsidRPr="00A27E6F" w:rsidR="002F1D49" w:rsidP="00D10829" w:rsidRDefault="002F1D49" w14:paraId="685AE73A" w14:textId="77777777">
      <w:pPr>
        <w:numPr>
          <w:ilvl w:val="0"/>
          <w:numId w:val="10"/>
        </w:numPr>
        <w:spacing w:after="120" w:line="240" w:lineRule="auto"/>
        <w:ind w:left="714" w:hanging="357"/>
        <w:contextualSpacing/>
        <w:jc w:val="both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b/>
          <w:color w:val="auto"/>
          <w:sz w:val="20"/>
          <w:szCs w:val="20"/>
        </w:rPr>
        <w:t>OP</w:t>
      </w:r>
      <w:r w:rsidRPr="00A27E6F" w:rsidR="003A12B0">
        <w:rPr>
          <w:rFonts w:cstheme="minorHAnsi"/>
          <w:b/>
          <w:color w:val="auto"/>
          <w:sz w:val="20"/>
          <w:szCs w:val="20"/>
        </w:rPr>
        <w:t xml:space="preserve"> Podnikání a</w:t>
      </w:r>
      <w:r w:rsidRPr="00A27E6F" w:rsidR="00741E3B">
        <w:rPr>
          <w:rFonts w:cstheme="minorHAnsi"/>
          <w:b/>
          <w:color w:val="auto"/>
          <w:sz w:val="20"/>
          <w:szCs w:val="20"/>
        </w:rPr>
        <w:t> </w:t>
      </w:r>
      <w:r w:rsidRPr="00A27E6F" w:rsidR="003A12B0">
        <w:rPr>
          <w:rFonts w:cstheme="minorHAnsi"/>
          <w:b/>
          <w:color w:val="auto"/>
          <w:sz w:val="20"/>
          <w:szCs w:val="20"/>
        </w:rPr>
        <w:t>inovace pro konkurenceschopnost</w:t>
      </w:r>
      <w:r w:rsidRPr="00A27E6F" w:rsidR="003A12B0">
        <w:rPr>
          <w:rFonts w:cstheme="minorHAnsi"/>
          <w:color w:val="auto"/>
          <w:sz w:val="20"/>
          <w:szCs w:val="20"/>
        </w:rPr>
        <w:t xml:space="preserve"> – podpora</w:t>
      </w:r>
      <w:r w:rsidRPr="00A27E6F">
        <w:rPr>
          <w:rFonts w:cstheme="minorHAnsi"/>
          <w:color w:val="auto"/>
          <w:sz w:val="20"/>
          <w:szCs w:val="20"/>
        </w:rPr>
        <w:t xml:space="preserve"> nákupu elektromobilů a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>dobíjecích stanic pro podnikatele 0,6 mld. Kč dle schválených projektů; přes 1 300 EV a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 xml:space="preserve">více než 200 dobíjecích stanic </w:t>
      </w:r>
      <w:r w:rsidRPr="00A27E6F" w:rsidR="00DC4A4A">
        <w:rPr>
          <w:rFonts w:cstheme="minorHAnsi"/>
          <w:color w:val="auto"/>
          <w:sz w:val="20"/>
          <w:szCs w:val="20"/>
        </w:rPr>
        <w:t xml:space="preserve"> </w:t>
      </w:r>
    </w:p>
    <w:p w:rsidRPr="00A27E6F" w:rsidR="002F1D49" w:rsidP="00D10829" w:rsidRDefault="3DA5A294" w14:paraId="0265887F" w14:textId="77777777">
      <w:pPr>
        <w:numPr>
          <w:ilvl w:val="0"/>
          <w:numId w:val="10"/>
        </w:numPr>
        <w:spacing w:after="120" w:line="240" w:lineRule="auto"/>
        <w:ind w:left="714" w:hanging="357"/>
        <w:contextualSpacing/>
        <w:jc w:val="both"/>
        <w:rPr>
          <w:rFonts w:cstheme="minorHAnsi"/>
          <w:color w:val="auto"/>
          <w:sz w:val="20"/>
          <w:szCs w:val="20"/>
        </w:rPr>
      </w:pPr>
      <w:bookmarkStart w:name="_Hlk58396537" w:id="15"/>
      <w:r w:rsidRPr="00A27E6F">
        <w:rPr>
          <w:rFonts w:cstheme="minorHAnsi"/>
          <w:b/>
          <w:bCs/>
          <w:color w:val="auto"/>
          <w:sz w:val="20"/>
          <w:szCs w:val="20"/>
        </w:rPr>
        <w:t xml:space="preserve">Integrovaný regionální operační </w:t>
      </w:r>
      <w:bookmarkEnd w:id="15"/>
      <w:r w:rsidRPr="00A27E6F" w:rsidR="13D02D68">
        <w:rPr>
          <w:rFonts w:cstheme="minorHAnsi"/>
          <w:b/>
          <w:bCs/>
          <w:color w:val="auto"/>
          <w:sz w:val="20"/>
          <w:szCs w:val="20"/>
        </w:rPr>
        <w:t>program</w:t>
      </w:r>
      <w:r w:rsidRPr="00A27E6F" w:rsidR="13D02D68">
        <w:rPr>
          <w:rFonts w:cstheme="minorHAnsi"/>
          <w:color w:val="auto"/>
          <w:sz w:val="20"/>
          <w:szCs w:val="20"/>
        </w:rPr>
        <w:t xml:space="preserve"> – podpora</w:t>
      </w:r>
      <w:r w:rsidRPr="00A27E6F" w:rsidR="723899F3">
        <w:rPr>
          <w:rFonts w:cstheme="minorHAnsi"/>
          <w:color w:val="auto"/>
          <w:sz w:val="20"/>
          <w:szCs w:val="20"/>
        </w:rPr>
        <w:t xml:space="preserve"> vozidel na alternativní paliva (veřejná doprava); 8,5 mld. Kč schválené projekty cca 1 150 </w:t>
      </w:r>
      <w:r w:rsidRPr="00A27E6F" w:rsidR="59A222F8">
        <w:rPr>
          <w:rFonts w:cstheme="minorHAnsi"/>
          <w:color w:val="auto"/>
          <w:sz w:val="20"/>
          <w:szCs w:val="20"/>
        </w:rPr>
        <w:t>vozidel;</w:t>
      </w:r>
      <w:r w:rsidRPr="00A27E6F" w:rsidR="723899F3">
        <w:rPr>
          <w:rFonts w:cstheme="minorHAnsi"/>
          <w:color w:val="auto"/>
          <w:sz w:val="20"/>
          <w:szCs w:val="20"/>
        </w:rPr>
        <w:t xml:space="preserve"> do 31.1</w:t>
      </w:r>
      <w:r w:rsidRPr="00A27E6F" w:rsidR="59E6F4FA">
        <w:rPr>
          <w:rFonts w:cstheme="minorHAnsi"/>
          <w:color w:val="auto"/>
          <w:sz w:val="20"/>
          <w:szCs w:val="20"/>
        </w:rPr>
        <w:t>2</w:t>
      </w:r>
      <w:r w:rsidRPr="00A27E6F" w:rsidR="723899F3">
        <w:rPr>
          <w:rFonts w:cstheme="minorHAnsi"/>
          <w:color w:val="auto"/>
          <w:sz w:val="20"/>
          <w:szCs w:val="20"/>
        </w:rPr>
        <w:t>. 2020 pořízeno 79</w:t>
      </w:r>
      <w:r w:rsidRPr="00A27E6F" w:rsidR="0A640386">
        <w:rPr>
          <w:rFonts w:cstheme="minorHAnsi"/>
          <w:color w:val="auto"/>
          <w:sz w:val="20"/>
          <w:szCs w:val="20"/>
        </w:rPr>
        <w:t> </w:t>
      </w:r>
      <w:proofErr w:type="spellStart"/>
      <w:r w:rsidRPr="00A27E6F" w:rsidR="723899F3">
        <w:rPr>
          <w:rFonts w:cstheme="minorHAnsi"/>
          <w:color w:val="auto"/>
          <w:sz w:val="20"/>
          <w:szCs w:val="20"/>
        </w:rPr>
        <w:t>elektrobusů</w:t>
      </w:r>
      <w:proofErr w:type="spellEnd"/>
      <w:r w:rsidRPr="00A27E6F" w:rsidR="723899F3">
        <w:rPr>
          <w:rFonts w:cstheme="minorHAnsi"/>
          <w:color w:val="auto"/>
          <w:sz w:val="20"/>
          <w:szCs w:val="20"/>
        </w:rPr>
        <w:t xml:space="preserve">, </w:t>
      </w:r>
      <w:r w:rsidRPr="00A27E6F" w:rsidR="59E6F4FA">
        <w:rPr>
          <w:rFonts w:cstheme="minorHAnsi"/>
          <w:color w:val="auto"/>
          <w:sz w:val="20"/>
          <w:szCs w:val="20"/>
        </w:rPr>
        <w:t>156 </w:t>
      </w:r>
      <w:r w:rsidRPr="00A27E6F" w:rsidR="038D36A3">
        <w:rPr>
          <w:rFonts w:cstheme="minorHAnsi"/>
          <w:color w:val="auto"/>
          <w:sz w:val="20"/>
          <w:szCs w:val="20"/>
        </w:rPr>
        <w:t xml:space="preserve">trolejbusů, </w:t>
      </w:r>
      <w:r w:rsidRPr="00A27E6F" w:rsidR="59E6F4FA">
        <w:rPr>
          <w:rFonts w:cstheme="minorHAnsi"/>
          <w:color w:val="auto"/>
          <w:sz w:val="20"/>
          <w:szCs w:val="20"/>
        </w:rPr>
        <w:t xml:space="preserve">39 </w:t>
      </w:r>
      <w:r w:rsidRPr="00A27E6F" w:rsidR="723899F3">
        <w:rPr>
          <w:rFonts w:cstheme="minorHAnsi"/>
          <w:color w:val="auto"/>
          <w:sz w:val="20"/>
          <w:szCs w:val="20"/>
        </w:rPr>
        <w:t>tramvají a</w:t>
      </w:r>
      <w:r w:rsidRPr="00A27E6F" w:rsidR="0BB665D3">
        <w:rPr>
          <w:rFonts w:cstheme="minorHAnsi"/>
          <w:color w:val="auto"/>
          <w:sz w:val="20"/>
          <w:szCs w:val="20"/>
        </w:rPr>
        <w:t> </w:t>
      </w:r>
      <w:r w:rsidRPr="00A27E6F" w:rsidR="59E6F4FA">
        <w:rPr>
          <w:rFonts w:cstheme="minorHAnsi"/>
          <w:color w:val="auto"/>
          <w:sz w:val="20"/>
          <w:szCs w:val="20"/>
        </w:rPr>
        <w:t xml:space="preserve">590 </w:t>
      </w:r>
      <w:r w:rsidRPr="00A27E6F" w:rsidR="723899F3">
        <w:rPr>
          <w:rFonts w:cstheme="minorHAnsi"/>
          <w:color w:val="auto"/>
          <w:sz w:val="20"/>
          <w:szCs w:val="20"/>
        </w:rPr>
        <w:t>autobusů na CNG</w:t>
      </w:r>
    </w:p>
    <w:p w:rsidRPr="00A27E6F" w:rsidR="002F1D49" w:rsidP="00D10829" w:rsidRDefault="002F1D49" w14:paraId="0C321D3F" w14:textId="77777777">
      <w:pPr>
        <w:numPr>
          <w:ilvl w:val="0"/>
          <w:numId w:val="10"/>
        </w:numPr>
        <w:spacing w:after="120" w:line="240" w:lineRule="auto"/>
        <w:ind w:left="714" w:hanging="357"/>
        <w:contextualSpacing/>
        <w:jc w:val="both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b/>
          <w:color w:val="auto"/>
          <w:sz w:val="20"/>
          <w:szCs w:val="20"/>
        </w:rPr>
        <w:t>OP</w:t>
      </w:r>
      <w:r w:rsidRPr="00A27E6F" w:rsidR="00904992">
        <w:rPr>
          <w:rFonts w:cstheme="minorHAnsi"/>
          <w:b/>
          <w:color w:val="auto"/>
          <w:sz w:val="20"/>
          <w:szCs w:val="20"/>
        </w:rPr>
        <w:t xml:space="preserve"> </w:t>
      </w:r>
      <w:r w:rsidRPr="00A27E6F">
        <w:rPr>
          <w:rFonts w:cstheme="minorHAnsi"/>
          <w:b/>
          <w:color w:val="auto"/>
          <w:sz w:val="20"/>
          <w:szCs w:val="20"/>
        </w:rPr>
        <w:t>D</w:t>
      </w:r>
      <w:r w:rsidRPr="00A27E6F" w:rsidR="00904992">
        <w:rPr>
          <w:rFonts w:cstheme="minorHAnsi"/>
          <w:b/>
          <w:color w:val="auto"/>
          <w:sz w:val="20"/>
          <w:szCs w:val="20"/>
        </w:rPr>
        <w:t>oprava</w:t>
      </w:r>
      <w:r w:rsidRPr="00A27E6F">
        <w:rPr>
          <w:rFonts w:cstheme="minorHAnsi"/>
          <w:b/>
          <w:color w:val="auto"/>
          <w:sz w:val="20"/>
          <w:szCs w:val="20"/>
        </w:rPr>
        <w:t xml:space="preserve"> </w:t>
      </w:r>
      <w:r w:rsidRPr="00A27E6F">
        <w:rPr>
          <w:rFonts w:cstheme="minorHAnsi"/>
          <w:color w:val="auto"/>
          <w:sz w:val="20"/>
          <w:szCs w:val="20"/>
        </w:rPr>
        <w:t>podpora výstavby veřejné dobíjecí infrastruktury; schválené projekty za 1,25 mld. Kč (cca 500 </w:t>
      </w:r>
      <w:r w:rsidRPr="00A27E6F" w:rsidR="003A12B0">
        <w:rPr>
          <w:rFonts w:cstheme="minorHAnsi"/>
          <w:color w:val="auto"/>
          <w:sz w:val="20"/>
          <w:szCs w:val="20"/>
        </w:rPr>
        <w:t>rychle</w:t>
      </w:r>
      <w:r w:rsidRPr="00A27E6F" w:rsidR="00654BC3">
        <w:rPr>
          <w:rFonts w:cstheme="minorHAnsi"/>
          <w:color w:val="auto"/>
          <w:sz w:val="20"/>
          <w:szCs w:val="20"/>
        </w:rPr>
        <w:t xml:space="preserve"> +</w:t>
      </w:r>
      <w:r w:rsidRPr="00A27E6F">
        <w:rPr>
          <w:rFonts w:cstheme="minorHAnsi"/>
          <w:color w:val="auto"/>
          <w:sz w:val="20"/>
          <w:szCs w:val="20"/>
        </w:rPr>
        <w:t xml:space="preserve"> 780 </w:t>
      </w:r>
      <w:r w:rsidRPr="00A27E6F" w:rsidR="003A12B0">
        <w:rPr>
          <w:rFonts w:cstheme="minorHAnsi"/>
          <w:color w:val="auto"/>
          <w:sz w:val="20"/>
          <w:szCs w:val="20"/>
        </w:rPr>
        <w:t>pomalu dobíjecích</w:t>
      </w:r>
      <w:r w:rsidRPr="00A27E6F">
        <w:rPr>
          <w:rFonts w:cstheme="minorHAnsi"/>
          <w:color w:val="auto"/>
          <w:sz w:val="20"/>
          <w:szCs w:val="20"/>
        </w:rPr>
        <w:t xml:space="preserve"> stanic), </w:t>
      </w:r>
      <w:r w:rsidRPr="00A27E6F" w:rsidR="00DC4A4A">
        <w:rPr>
          <w:rFonts w:cstheme="minorHAnsi"/>
          <w:color w:val="auto"/>
          <w:sz w:val="20"/>
          <w:szCs w:val="20"/>
        </w:rPr>
        <w:t>7 vodíkových stanic, 18 LNG stanic a 9 CNG stanic</w:t>
      </w:r>
    </w:p>
    <w:p w:rsidRPr="00A27E6F" w:rsidR="002F1D49" w:rsidP="00D10829" w:rsidRDefault="002F1D49" w14:paraId="7998BAB3" w14:textId="496751A6">
      <w:pPr>
        <w:numPr>
          <w:ilvl w:val="0"/>
          <w:numId w:val="10"/>
        </w:numPr>
        <w:spacing w:after="120" w:line="240" w:lineRule="auto"/>
        <w:ind w:left="714" w:hanging="357"/>
        <w:contextualSpacing/>
        <w:jc w:val="both"/>
        <w:rPr>
          <w:rFonts w:cstheme="minorHAnsi"/>
          <w:b/>
          <w:color w:val="auto"/>
          <w:sz w:val="20"/>
          <w:szCs w:val="20"/>
        </w:rPr>
      </w:pPr>
      <w:r w:rsidRPr="00A27E6F">
        <w:rPr>
          <w:rFonts w:cstheme="minorHAnsi"/>
          <w:b/>
          <w:color w:val="auto"/>
          <w:sz w:val="20"/>
          <w:szCs w:val="20"/>
        </w:rPr>
        <w:t>N</w:t>
      </w:r>
      <w:r w:rsidRPr="00A27E6F" w:rsidR="0017296A">
        <w:rPr>
          <w:rFonts w:cstheme="minorHAnsi"/>
          <w:b/>
          <w:color w:val="auto"/>
          <w:sz w:val="20"/>
          <w:szCs w:val="20"/>
        </w:rPr>
        <w:t>árodní program Životního prostředí – alokace</w:t>
      </w:r>
      <w:r w:rsidRPr="00A27E6F">
        <w:rPr>
          <w:rFonts w:cstheme="minorHAnsi"/>
          <w:bCs/>
          <w:color w:val="auto"/>
          <w:sz w:val="20"/>
          <w:szCs w:val="20"/>
        </w:rPr>
        <w:t xml:space="preserve"> 0,</w:t>
      </w:r>
      <w:r w:rsidRPr="00A27E6F" w:rsidR="001350A8">
        <w:rPr>
          <w:rFonts w:cstheme="minorHAnsi"/>
          <w:bCs/>
          <w:color w:val="auto"/>
          <w:sz w:val="20"/>
          <w:szCs w:val="20"/>
        </w:rPr>
        <w:t>4</w:t>
      </w:r>
      <w:r w:rsidRPr="00A27E6F">
        <w:rPr>
          <w:rFonts w:cstheme="minorHAnsi"/>
          <w:bCs/>
          <w:color w:val="auto"/>
          <w:sz w:val="20"/>
          <w:szCs w:val="20"/>
        </w:rPr>
        <w:t xml:space="preserve"> mld. Kč; schválené projekty cca</w:t>
      </w:r>
      <w:r w:rsidRPr="00A27E6F" w:rsidR="00914682">
        <w:rPr>
          <w:rFonts w:cstheme="minorHAnsi"/>
          <w:bCs/>
          <w:color w:val="auto"/>
          <w:sz w:val="20"/>
          <w:szCs w:val="20"/>
        </w:rPr>
        <w:t> </w:t>
      </w:r>
      <w:r w:rsidRPr="00A27E6F">
        <w:rPr>
          <w:rFonts w:cstheme="minorHAnsi"/>
          <w:bCs/>
          <w:color w:val="auto"/>
          <w:sz w:val="20"/>
          <w:szCs w:val="20"/>
        </w:rPr>
        <w:t>800</w:t>
      </w:r>
      <w:r w:rsidRPr="00A27E6F" w:rsidR="00DC4A4A">
        <w:rPr>
          <w:rFonts w:cstheme="minorHAnsi"/>
          <w:bCs/>
          <w:color w:val="auto"/>
          <w:sz w:val="20"/>
          <w:szCs w:val="20"/>
        </w:rPr>
        <w:t> </w:t>
      </w:r>
      <w:r w:rsidRPr="00A27E6F">
        <w:rPr>
          <w:rFonts w:cstheme="minorHAnsi"/>
          <w:bCs/>
          <w:color w:val="auto"/>
          <w:sz w:val="20"/>
          <w:szCs w:val="20"/>
        </w:rPr>
        <w:t>vozidel (3/4 elektromobily)</w:t>
      </w:r>
      <w:r w:rsidRPr="00A27E6F" w:rsidR="001350A8">
        <w:rPr>
          <w:rFonts w:cstheme="minorHAnsi"/>
          <w:bCs/>
          <w:color w:val="auto"/>
          <w:sz w:val="20"/>
          <w:szCs w:val="20"/>
        </w:rPr>
        <w:t>. Jednalo se o 4 roční výzvy</w:t>
      </w:r>
      <w:r w:rsidRPr="00A27E6F" w:rsidR="00DF4BE4">
        <w:rPr>
          <w:rFonts w:cstheme="minorHAnsi"/>
          <w:bCs/>
          <w:color w:val="auto"/>
          <w:sz w:val="20"/>
          <w:szCs w:val="20"/>
        </w:rPr>
        <w:t xml:space="preserve"> (2016-2019)</w:t>
      </w:r>
      <w:r w:rsidRPr="00A27E6F" w:rsidR="001350A8">
        <w:rPr>
          <w:rFonts w:cstheme="minorHAnsi"/>
          <w:bCs/>
          <w:color w:val="auto"/>
          <w:sz w:val="20"/>
          <w:szCs w:val="20"/>
        </w:rPr>
        <w:t>. Byla vyčerpána cca polovina alokace</w:t>
      </w:r>
      <w:r w:rsidRPr="00A27E6F" w:rsidR="00DF4BE4">
        <w:rPr>
          <w:rFonts w:cstheme="minorHAnsi"/>
          <w:bCs/>
          <w:color w:val="auto"/>
          <w:sz w:val="20"/>
          <w:szCs w:val="20"/>
        </w:rPr>
        <w:t xml:space="preserve"> tedy necelých 200 mil. Kč</w:t>
      </w:r>
      <w:r w:rsidRPr="00A27E6F" w:rsidR="00830DCE">
        <w:rPr>
          <w:rFonts w:cstheme="minorHAnsi"/>
          <w:bCs/>
          <w:color w:val="auto"/>
          <w:sz w:val="20"/>
          <w:szCs w:val="20"/>
        </w:rPr>
        <w:t>. Pod</w:t>
      </w:r>
      <w:r w:rsidRPr="00A27E6F" w:rsidR="001350A8">
        <w:rPr>
          <w:rFonts w:cstheme="minorHAnsi"/>
          <w:bCs/>
          <w:color w:val="auto"/>
          <w:sz w:val="20"/>
          <w:szCs w:val="20"/>
        </w:rPr>
        <w:t xml:space="preserve">porováno bylo široké portfolio vozidel (kategorie L, M, N). Současný návrh </w:t>
      </w:r>
      <w:r w:rsidRPr="00A27E6F" w:rsidR="001C73C4">
        <w:rPr>
          <w:rFonts w:cstheme="minorHAnsi"/>
          <w:bCs/>
          <w:color w:val="auto"/>
          <w:sz w:val="20"/>
          <w:szCs w:val="20"/>
        </w:rPr>
        <w:t xml:space="preserve">průměrné podpory 400 tis. Kč/vozidlo vychází z předpokladů, že za 4 roky bylo podpořeno přes 650 elektromobilů. Nyní plánujeme za poloviční období (22-23), kdy můžou být vyhlašovány výzvy podpořit cca dvojnásobek vozidel. Současná podpora kategorie M byla 250 tis. Kč. Samozřejmě musíme počítat s tím, že část alokace </w:t>
      </w:r>
      <w:r w:rsidRPr="00A27E6F" w:rsidR="00FC6042">
        <w:rPr>
          <w:rFonts w:cstheme="minorHAnsi"/>
          <w:bCs/>
          <w:color w:val="auto"/>
          <w:sz w:val="20"/>
          <w:szCs w:val="20"/>
        </w:rPr>
        <w:t>bude patřit vozidlům kategorie N</w:t>
      </w:r>
      <w:r w:rsidRPr="00A27E6F" w:rsidR="00830DCE">
        <w:rPr>
          <w:rFonts w:cstheme="minorHAnsi"/>
          <w:bCs/>
          <w:color w:val="auto"/>
          <w:sz w:val="20"/>
          <w:szCs w:val="20"/>
        </w:rPr>
        <w:t xml:space="preserve"> plus nově SS</w:t>
      </w:r>
      <w:r w:rsidRPr="00A27E6F" w:rsidR="00FC6042">
        <w:rPr>
          <w:rFonts w:cstheme="minorHAnsi"/>
          <w:bCs/>
          <w:color w:val="auto"/>
          <w:sz w:val="20"/>
          <w:szCs w:val="20"/>
        </w:rPr>
        <w:t>,</w:t>
      </w:r>
      <w:r w:rsidRPr="00A27E6F" w:rsidR="00DF4BE4">
        <w:rPr>
          <w:rFonts w:cstheme="minorHAnsi"/>
          <w:bCs/>
          <w:color w:val="auto"/>
          <w:sz w:val="20"/>
          <w:szCs w:val="20"/>
        </w:rPr>
        <w:t xml:space="preserve"> kde počítáme s vyšší podporou</w:t>
      </w:r>
      <w:r w:rsidRPr="00A27E6F" w:rsidR="00FC6042">
        <w:rPr>
          <w:rFonts w:cstheme="minorHAnsi"/>
          <w:bCs/>
          <w:color w:val="auto"/>
          <w:sz w:val="20"/>
          <w:szCs w:val="20"/>
        </w:rPr>
        <w:t>. Další komplikací je COVID, kdy se</w:t>
      </w:r>
      <w:r w:rsidRPr="00A27E6F" w:rsidR="00DF4BE4">
        <w:rPr>
          <w:rFonts w:cstheme="minorHAnsi"/>
          <w:bCs/>
          <w:color w:val="auto"/>
          <w:sz w:val="20"/>
          <w:szCs w:val="20"/>
        </w:rPr>
        <w:t xml:space="preserve"> municipality</w:t>
      </w:r>
      <w:r w:rsidRPr="00A27E6F" w:rsidR="00FC6042">
        <w:rPr>
          <w:rFonts w:cstheme="minorHAnsi"/>
          <w:bCs/>
          <w:color w:val="auto"/>
          <w:sz w:val="20"/>
          <w:szCs w:val="20"/>
        </w:rPr>
        <w:t xml:space="preserve"> mus</w:t>
      </w:r>
      <w:r w:rsidRPr="00A27E6F" w:rsidR="00DF4BE4">
        <w:rPr>
          <w:rFonts w:cstheme="minorHAnsi"/>
          <w:bCs/>
          <w:color w:val="auto"/>
          <w:sz w:val="20"/>
          <w:szCs w:val="20"/>
        </w:rPr>
        <w:t>ely</w:t>
      </w:r>
      <w:r w:rsidRPr="00A27E6F" w:rsidR="00FC6042">
        <w:rPr>
          <w:rFonts w:cstheme="minorHAnsi"/>
          <w:bCs/>
          <w:color w:val="auto"/>
          <w:sz w:val="20"/>
          <w:szCs w:val="20"/>
        </w:rPr>
        <w:t xml:space="preserve"> podílet na pokrytí nákladů spojených s COVIDEM a vracely již podané projekty, jelikož nebyly schopné projekty spolufinancovat. Na druhou stranu bychom rádi otevřeli program dalším potenciálním zájemcům (např. ústřední státní správa). Dále očekáváme větší zájem ze strany municipalit z důvodu větší nabídky elektromobilů</w:t>
      </w:r>
      <w:r w:rsidRPr="00A27E6F" w:rsidR="00DF4BE4">
        <w:rPr>
          <w:rFonts w:cstheme="minorHAnsi"/>
          <w:bCs/>
          <w:color w:val="auto"/>
          <w:sz w:val="20"/>
          <w:szCs w:val="20"/>
        </w:rPr>
        <w:t>, většího dojezdu elektromobilů</w:t>
      </w:r>
      <w:r w:rsidRPr="00A27E6F" w:rsidR="00FC6042">
        <w:rPr>
          <w:rFonts w:cstheme="minorHAnsi"/>
          <w:bCs/>
          <w:color w:val="auto"/>
          <w:sz w:val="20"/>
          <w:szCs w:val="20"/>
        </w:rPr>
        <w:t xml:space="preserve"> a postupné osvěty </w:t>
      </w:r>
      <w:proofErr w:type="spellStart"/>
      <w:r w:rsidRPr="00A27E6F" w:rsidR="00FC6042">
        <w:rPr>
          <w:rFonts w:cstheme="minorHAnsi"/>
          <w:bCs/>
          <w:color w:val="auto"/>
          <w:sz w:val="20"/>
          <w:szCs w:val="20"/>
        </w:rPr>
        <w:t>elektromobility</w:t>
      </w:r>
      <w:proofErr w:type="spellEnd"/>
      <w:r w:rsidRPr="00A27E6F" w:rsidR="00FC6042">
        <w:rPr>
          <w:rFonts w:cstheme="minorHAnsi"/>
          <w:bCs/>
          <w:color w:val="auto"/>
          <w:sz w:val="20"/>
          <w:szCs w:val="20"/>
        </w:rPr>
        <w:t xml:space="preserve"> v ČR. V oblasti neveř</w:t>
      </w:r>
      <w:r w:rsidRPr="00A27E6F" w:rsidR="00DF4BE4">
        <w:rPr>
          <w:rFonts w:cstheme="minorHAnsi"/>
          <w:bCs/>
          <w:color w:val="auto"/>
          <w:sz w:val="20"/>
          <w:szCs w:val="20"/>
        </w:rPr>
        <w:t>ejných dobí</w:t>
      </w:r>
      <w:r w:rsidRPr="00A27E6F" w:rsidR="00FC6042">
        <w:rPr>
          <w:rFonts w:cstheme="minorHAnsi"/>
          <w:bCs/>
          <w:color w:val="auto"/>
          <w:sz w:val="20"/>
          <w:szCs w:val="20"/>
        </w:rPr>
        <w:t>jecích stanic byla zvolena průměrná podpora 30 tis. Kč za</w:t>
      </w:r>
      <w:r w:rsidRPr="00A27E6F" w:rsidR="00DF4BE4">
        <w:rPr>
          <w:rFonts w:cstheme="minorHAnsi"/>
          <w:bCs/>
          <w:color w:val="auto"/>
          <w:sz w:val="20"/>
          <w:szCs w:val="20"/>
        </w:rPr>
        <w:t xml:space="preserve"> dobí</w:t>
      </w:r>
      <w:r w:rsidRPr="00A27E6F" w:rsidR="00FC6042">
        <w:rPr>
          <w:rFonts w:cstheme="minorHAnsi"/>
          <w:bCs/>
          <w:color w:val="auto"/>
          <w:sz w:val="20"/>
          <w:szCs w:val="20"/>
        </w:rPr>
        <w:t xml:space="preserve">jecí bod. </w:t>
      </w:r>
      <w:r w:rsidRPr="00A27E6F" w:rsidR="00DF4BE4">
        <w:rPr>
          <w:rFonts w:cstheme="minorHAnsi"/>
          <w:bCs/>
          <w:color w:val="auto"/>
          <w:sz w:val="20"/>
          <w:szCs w:val="20"/>
        </w:rPr>
        <w:t>Kdy současná podpora 20 tis. Kč nebyla dostatečná. Za poslední 2 roky, kde si municipality mohly žádat o podporu na neveřejnou dobíjecí stanici bylo podpořeno cca 100 dobíjecích bodů.</w:t>
      </w:r>
      <w:r w:rsidRPr="00A27E6F" w:rsidR="00830DCE">
        <w:rPr>
          <w:rFonts w:cstheme="minorHAnsi"/>
          <w:bCs/>
          <w:color w:val="auto"/>
          <w:sz w:val="20"/>
          <w:szCs w:val="20"/>
        </w:rPr>
        <w:t xml:space="preserve"> (Aktuální cíl 200 bodů).</w:t>
      </w:r>
      <w:r w:rsidRPr="00A27E6F" w:rsidR="00DF4BE4">
        <w:rPr>
          <w:rFonts w:cstheme="minorHAnsi"/>
          <w:bCs/>
          <w:color w:val="auto"/>
          <w:sz w:val="20"/>
          <w:szCs w:val="20"/>
        </w:rPr>
        <w:t xml:space="preserve"> Výše podpor</w:t>
      </w:r>
      <w:r w:rsidRPr="00A27E6F" w:rsidR="00830DCE">
        <w:rPr>
          <w:rFonts w:cstheme="minorHAnsi"/>
          <w:bCs/>
          <w:color w:val="auto"/>
          <w:sz w:val="20"/>
          <w:szCs w:val="20"/>
        </w:rPr>
        <w:t xml:space="preserve"> vozidel</w:t>
      </w:r>
      <w:r w:rsidRPr="00A27E6F" w:rsidR="00DF4BE4">
        <w:rPr>
          <w:rFonts w:cstheme="minorHAnsi"/>
          <w:bCs/>
          <w:color w:val="auto"/>
          <w:sz w:val="20"/>
          <w:szCs w:val="20"/>
        </w:rPr>
        <w:t xml:space="preserve"> v jednotlivých kategoriích budou konzultovány </w:t>
      </w:r>
      <w:proofErr w:type="gramStart"/>
      <w:r w:rsidRPr="00A27E6F" w:rsidR="00DF4BE4">
        <w:rPr>
          <w:rFonts w:cstheme="minorHAnsi"/>
          <w:bCs/>
          <w:color w:val="auto"/>
          <w:sz w:val="20"/>
          <w:szCs w:val="20"/>
        </w:rPr>
        <w:t>ze</w:t>
      </w:r>
      <w:proofErr w:type="gramEnd"/>
      <w:r w:rsidRPr="00A27E6F" w:rsidR="00DF4BE4">
        <w:rPr>
          <w:rFonts w:cstheme="minorHAnsi"/>
          <w:bCs/>
          <w:color w:val="auto"/>
          <w:sz w:val="20"/>
          <w:szCs w:val="20"/>
        </w:rPr>
        <w:t xml:space="preserve"> zástupci automobilového průmyslu a aktuální nabídkou elektromobilů.</w:t>
      </w:r>
      <w:r w:rsidRPr="00A27E6F" w:rsidR="004E58B3">
        <w:rPr>
          <w:rFonts w:cstheme="minorHAnsi"/>
          <w:bCs/>
          <w:color w:val="auto"/>
          <w:sz w:val="20"/>
          <w:szCs w:val="20"/>
        </w:rPr>
        <w:t xml:space="preserve"> </w:t>
      </w:r>
      <w:r w:rsidRPr="00A27E6F" w:rsidR="00830DCE">
        <w:rPr>
          <w:rFonts w:cstheme="minorHAnsi"/>
          <w:bCs/>
          <w:color w:val="auto"/>
          <w:sz w:val="20"/>
          <w:szCs w:val="20"/>
        </w:rPr>
        <w:t xml:space="preserve">Z </w:t>
      </w:r>
      <w:r w:rsidRPr="00A27E6F" w:rsidR="004E58B3">
        <w:rPr>
          <w:rFonts w:cstheme="minorHAnsi"/>
          <w:bCs/>
          <w:color w:val="auto"/>
          <w:sz w:val="20"/>
          <w:szCs w:val="20"/>
        </w:rPr>
        <w:t>minulých výzev máme zkušenost, že zástupci</w:t>
      </w:r>
      <w:r w:rsidRPr="00A27E6F" w:rsidR="00830DCE">
        <w:rPr>
          <w:rFonts w:cstheme="minorHAnsi"/>
          <w:bCs/>
          <w:color w:val="auto"/>
          <w:sz w:val="20"/>
          <w:szCs w:val="20"/>
        </w:rPr>
        <w:t xml:space="preserve"> municipalit</w:t>
      </w:r>
      <w:r w:rsidRPr="00A27E6F" w:rsidR="004E58B3">
        <w:rPr>
          <w:rFonts w:cstheme="minorHAnsi"/>
          <w:bCs/>
          <w:color w:val="auto"/>
          <w:sz w:val="20"/>
          <w:szCs w:val="20"/>
        </w:rPr>
        <w:t xml:space="preserve"> (</w:t>
      </w:r>
      <w:r w:rsidRPr="00A27E6F" w:rsidR="00830DCE">
        <w:rPr>
          <w:rFonts w:cstheme="minorHAnsi"/>
          <w:bCs/>
          <w:color w:val="auto"/>
          <w:sz w:val="20"/>
          <w:szCs w:val="20"/>
        </w:rPr>
        <w:t>zejména menších</w:t>
      </w:r>
      <w:r w:rsidRPr="00A27E6F" w:rsidR="004E58B3">
        <w:rPr>
          <w:rFonts w:cstheme="minorHAnsi"/>
          <w:bCs/>
          <w:color w:val="auto"/>
          <w:sz w:val="20"/>
          <w:szCs w:val="20"/>
        </w:rPr>
        <w:t xml:space="preserve">) volají po co nejmenší administrativní zátěži. I z tohoto důvodu se osvědčila otevřená podpora všech typů elektromobilů (mimo olověné baterie) kde jsme kombinovali fixní </w:t>
      </w:r>
      <w:r w:rsidRPr="00A27E6F" w:rsidR="00830DCE">
        <w:rPr>
          <w:rFonts w:cstheme="minorHAnsi"/>
          <w:bCs/>
          <w:color w:val="auto"/>
          <w:sz w:val="20"/>
          <w:szCs w:val="20"/>
        </w:rPr>
        <w:t>dotaci</w:t>
      </w:r>
      <w:r w:rsidRPr="00A27E6F" w:rsidR="004E58B3">
        <w:rPr>
          <w:rFonts w:cstheme="minorHAnsi"/>
          <w:bCs/>
          <w:color w:val="auto"/>
          <w:sz w:val="20"/>
          <w:szCs w:val="20"/>
        </w:rPr>
        <w:t xml:space="preserve"> s procentuální maximální možnou mírou podpory. Máme také indikaci, že některé municipality přemýšlí také s využitím elektromobilu pro zajištění energetické bezpečnosti v případech </w:t>
      </w:r>
      <w:proofErr w:type="spellStart"/>
      <w:r w:rsidRPr="00A27E6F" w:rsidR="004E58B3">
        <w:rPr>
          <w:rFonts w:cstheme="minorHAnsi"/>
          <w:bCs/>
          <w:color w:val="auto"/>
          <w:sz w:val="20"/>
          <w:szCs w:val="20"/>
        </w:rPr>
        <w:t>black</w:t>
      </w:r>
      <w:proofErr w:type="spellEnd"/>
      <w:r w:rsidRPr="00A27E6F" w:rsidR="004E58B3">
        <w:rPr>
          <w:rFonts w:cstheme="minorHAnsi"/>
          <w:bCs/>
          <w:color w:val="auto"/>
          <w:sz w:val="20"/>
          <w:szCs w:val="20"/>
        </w:rPr>
        <w:t xml:space="preserve"> </w:t>
      </w:r>
      <w:proofErr w:type="spellStart"/>
      <w:r w:rsidRPr="00A27E6F" w:rsidR="004E58B3">
        <w:rPr>
          <w:rFonts w:cstheme="minorHAnsi"/>
          <w:bCs/>
          <w:color w:val="auto"/>
          <w:sz w:val="20"/>
          <w:szCs w:val="20"/>
        </w:rPr>
        <w:t>outu</w:t>
      </w:r>
      <w:proofErr w:type="spellEnd"/>
      <w:r w:rsidRPr="00A27E6F" w:rsidR="004E58B3">
        <w:rPr>
          <w:rFonts w:cstheme="minorHAnsi"/>
          <w:bCs/>
          <w:color w:val="auto"/>
          <w:sz w:val="20"/>
          <w:szCs w:val="20"/>
        </w:rPr>
        <w:t xml:space="preserve"> – tedy využití energie z elektromobilu do budovy.</w:t>
      </w:r>
    </w:p>
    <w:p w:rsidRPr="00A27E6F" w:rsidR="0091015F" w:rsidP="003F753F" w:rsidRDefault="003A12B0" w14:paraId="607D10CA" w14:textId="759E992E">
      <w:pPr>
        <w:numPr>
          <w:ilvl w:val="0"/>
          <w:numId w:val="10"/>
        </w:numPr>
        <w:spacing w:after="120" w:line="240" w:lineRule="auto"/>
        <w:ind w:left="714" w:hanging="357"/>
        <w:contextualSpacing/>
        <w:jc w:val="both"/>
        <w:rPr>
          <w:rFonts w:cstheme="minorHAnsi"/>
          <w:b/>
          <w:color w:val="auto"/>
          <w:sz w:val="20"/>
          <w:szCs w:val="20"/>
        </w:rPr>
      </w:pPr>
      <w:r w:rsidRPr="00A27E6F">
        <w:rPr>
          <w:rFonts w:cstheme="minorHAnsi"/>
          <w:b/>
          <w:color w:val="auto"/>
          <w:sz w:val="20"/>
          <w:szCs w:val="20"/>
        </w:rPr>
        <w:t xml:space="preserve">Program </w:t>
      </w:r>
      <w:r w:rsidRPr="00A27E6F" w:rsidR="002F1D49">
        <w:rPr>
          <w:rFonts w:cstheme="minorHAnsi"/>
          <w:b/>
          <w:color w:val="auto"/>
          <w:sz w:val="20"/>
          <w:szCs w:val="20"/>
        </w:rPr>
        <w:t>CEF</w:t>
      </w:r>
      <w:r w:rsidRPr="00A27E6F">
        <w:rPr>
          <w:rFonts w:cstheme="minorHAnsi"/>
          <w:b/>
          <w:color w:val="auto"/>
          <w:sz w:val="20"/>
          <w:szCs w:val="20"/>
        </w:rPr>
        <w:t xml:space="preserve"> (</w:t>
      </w:r>
      <w:proofErr w:type="spellStart"/>
      <w:r w:rsidRPr="00A27E6F">
        <w:rPr>
          <w:rFonts w:cstheme="minorHAnsi"/>
          <w:b/>
          <w:color w:val="auto"/>
          <w:sz w:val="20"/>
          <w:szCs w:val="20"/>
        </w:rPr>
        <w:t>Connecting</w:t>
      </w:r>
      <w:proofErr w:type="spellEnd"/>
      <w:r w:rsidRPr="00A27E6F">
        <w:rPr>
          <w:rFonts w:cstheme="minorHAnsi"/>
          <w:b/>
          <w:color w:val="auto"/>
          <w:sz w:val="20"/>
          <w:szCs w:val="20"/>
        </w:rPr>
        <w:t xml:space="preserve"> </w:t>
      </w:r>
      <w:proofErr w:type="spellStart"/>
      <w:r w:rsidRPr="00A27E6F">
        <w:rPr>
          <w:rFonts w:cstheme="minorHAnsi"/>
          <w:b/>
          <w:color w:val="auto"/>
          <w:sz w:val="20"/>
          <w:szCs w:val="20"/>
        </w:rPr>
        <w:t>Europe</w:t>
      </w:r>
      <w:proofErr w:type="spellEnd"/>
      <w:r w:rsidRPr="00A27E6F">
        <w:rPr>
          <w:rFonts w:cstheme="minorHAnsi"/>
          <w:b/>
          <w:color w:val="auto"/>
          <w:sz w:val="20"/>
          <w:szCs w:val="20"/>
        </w:rPr>
        <w:t xml:space="preserve"> </w:t>
      </w:r>
      <w:proofErr w:type="spellStart"/>
      <w:r w:rsidRPr="00A27E6F">
        <w:rPr>
          <w:rFonts w:cstheme="minorHAnsi"/>
          <w:b/>
          <w:color w:val="auto"/>
          <w:sz w:val="20"/>
          <w:szCs w:val="20"/>
        </w:rPr>
        <w:t>Facility</w:t>
      </w:r>
      <w:proofErr w:type="spellEnd"/>
      <w:r w:rsidRPr="00A27E6F">
        <w:rPr>
          <w:rFonts w:cstheme="minorHAnsi"/>
          <w:b/>
          <w:color w:val="auto"/>
          <w:sz w:val="20"/>
          <w:szCs w:val="20"/>
        </w:rPr>
        <w:t>)</w:t>
      </w:r>
      <w:r w:rsidR="00A45E06">
        <w:rPr>
          <w:rFonts w:cstheme="minorHAnsi"/>
          <w:b/>
          <w:color w:val="auto"/>
          <w:sz w:val="20"/>
          <w:szCs w:val="20"/>
        </w:rPr>
        <w:t xml:space="preserve"> </w:t>
      </w:r>
      <w:r w:rsidRPr="00A27E6F" w:rsidR="003F753F">
        <w:rPr>
          <w:rFonts w:cstheme="minorHAnsi"/>
          <w:b/>
          <w:color w:val="auto"/>
          <w:sz w:val="20"/>
          <w:szCs w:val="20"/>
        </w:rPr>
        <w:t xml:space="preserve">- </w:t>
      </w:r>
      <w:r w:rsidRPr="00A27E6F" w:rsidR="003F753F">
        <w:rPr>
          <w:rFonts w:cstheme="minorHAnsi"/>
          <w:color w:val="auto"/>
          <w:sz w:val="20"/>
          <w:szCs w:val="20"/>
        </w:rPr>
        <w:t>dva projekty na dobíjecí stanice za cca 4,5 mil. € na více jak 100 dobíjecích stanic.  Jeden projekt za 12 mil. € na 118 dobíjecích stanic v Rakousku, ČR, Bulharsku, Slovensku, Maďarsku, Itálii a Rumunsku. J</w:t>
      </w:r>
      <w:r w:rsidRPr="00A27E6F" w:rsidR="0091015F">
        <w:rPr>
          <w:rFonts w:cstheme="minorHAnsi"/>
          <w:color w:val="auto"/>
          <w:sz w:val="20"/>
          <w:szCs w:val="20"/>
        </w:rPr>
        <w:t>eden</w:t>
      </w:r>
      <w:r w:rsidRPr="00A27E6F" w:rsidR="0091015F">
        <w:rPr>
          <w:rFonts w:cstheme="minorHAnsi"/>
          <w:bCs/>
          <w:color w:val="auto"/>
          <w:sz w:val="20"/>
          <w:szCs w:val="20"/>
        </w:rPr>
        <w:t xml:space="preserve"> proje</w:t>
      </w:r>
      <w:r w:rsidRPr="00A27E6F" w:rsidR="00BC66C0">
        <w:rPr>
          <w:rFonts w:cstheme="minorHAnsi"/>
          <w:bCs/>
          <w:color w:val="auto"/>
          <w:sz w:val="20"/>
          <w:szCs w:val="20"/>
        </w:rPr>
        <w:t>k</w:t>
      </w:r>
      <w:r w:rsidRPr="00A27E6F" w:rsidR="0091015F">
        <w:rPr>
          <w:rFonts w:cstheme="minorHAnsi"/>
          <w:bCs/>
          <w:color w:val="auto"/>
          <w:sz w:val="20"/>
          <w:szCs w:val="20"/>
        </w:rPr>
        <w:t xml:space="preserve">t </w:t>
      </w:r>
      <w:r w:rsidRPr="00A27E6F" w:rsidR="00BC66C0">
        <w:rPr>
          <w:rFonts w:cstheme="minorHAnsi"/>
          <w:bCs/>
          <w:color w:val="auto"/>
          <w:sz w:val="20"/>
          <w:szCs w:val="20"/>
        </w:rPr>
        <w:t>„</w:t>
      </w:r>
      <w:r w:rsidRPr="00A27E6F" w:rsidR="0091015F">
        <w:rPr>
          <w:rFonts w:cstheme="minorHAnsi"/>
          <w:bCs/>
          <w:color w:val="auto"/>
          <w:sz w:val="20"/>
          <w:szCs w:val="20"/>
        </w:rPr>
        <w:t xml:space="preserve">LNG </w:t>
      </w:r>
      <w:proofErr w:type="spellStart"/>
      <w:r w:rsidRPr="00A27E6F" w:rsidR="0091015F">
        <w:rPr>
          <w:rFonts w:cstheme="minorHAnsi"/>
          <w:bCs/>
          <w:color w:val="auto"/>
          <w:sz w:val="20"/>
          <w:szCs w:val="20"/>
        </w:rPr>
        <w:t>Rollout</w:t>
      </w:r>
      <w:proofErr w:type="spellEnd"/>
      <w:r w:rsidRPr="00A27E6F" w:rsidR="0091015F">
        <w:rPr>
          <w:rFonts w:cstheme="minorHAnsi"/>
          <w:bCs/>
          <w:color w:val="auto"/>
          <w:sz w:val="20"/>
          <w:szCs w:val="20"/>
        </w:rPr>
        <w:t xml:space="preserve"> in </w:t>
      </w:r>
      <w:proofErr w:type="spellStart"/>
      <w:r w:rsidRPr="00A27E6F" w:rsidR="0091015F">
        <w:rPr>
          <w:rFonts w:cstheme="minorHAnsi"/>
          <w:bCs/>
          <w:color w:val="auto"/>
          <w:sz w:val="20"/>
          <w:szCs w:val="20"/>
        </w:rPr>
        <w:t>Central</w:t>
      </w:r>
      <w:proofErr w:type="spellEnd"/>
      <w:r w:rsidRPr="00A27E6F" w:rsidR="0091015F">
        <w:rPr>
          <w:rFonts w:cstheme="minorHAnsi"/>
          <w:bCs/>
          <w:color w:val="auto"/>
          <w:sz w:val="20"/>
          <w:szCs w:val="20"/>
        </w:rPr>
        <w:t xml:space="preserve"> </w:t>
      </w:r>
      <w:proofErr w:type="spellStart"/>
      <w:r w:rsidRPr="00A27E6F" w:rsidR="0091015F">
        <w:rPr>
          <w:rFonts w:cstheme="minorHAnsi"/>
          <w:bCs/>
          <w:color w:val="auto"/>
          <w:sz w:val="20"/>
          <w:szCs w:val="20"/>
        </w:rPr>
        <w:t>Europe</w:t>
      </w:r>
      <w:proofErr w:type="spellEnd"/>
      <w:r w:rsidRPr="00A27E6F" w:rsidR="0091015F">
        <w:rPr>
          <w:rFonts w:cstheme="minorHAnsi"/>
          <w:bCs/>
          <w:color w:val="auto"/>
          <w:sz w:val="20"/>
          <w:szCs w:val="20"/>
        </w:rPr>
        <w:t xml:space="preserve"> – </w:t>
      </w:r>
      <w:proofErr w:type="spellStart"/>
      <w:r w:rsidRPr="00A27E6F" w:rsidR="0091015F">
        <w:rPr>
          <w:rFonts w:cstheme="minorHAnsi"/>
          <w:bCs/>
          <w:color w:val="auto"/>
          <w:sz w:val="20"/>
          <w:szCs w:val="20"/>
        </w:rPr>
        <w:t>for</w:t>
      </w:r>
      <w:proofErr w:type="spellEnd"/>
      <w:r w:rsidRPr="00A27E6F" w:rsidR="0091015F">
        <w:rPr>
          <w:rFonts w:cstheme="minorHAnsi"/>
          <w:bCs/>
          <w:color w:val="auto"/>
          <w:sz w:val="20"/>
          <w:szCs w:val="20"/>
        </w:rPr>
        <w:t xml:space="preserve"> a</w:t>
      </w:r>
      <w:r w:rsidRPr="00A27E6F" w:rsidR="00741E3B">
        <w:rPr>
          <w:rFonts w:cstheme="minorHAnsi"/>
          <w:bCs/>
          <w:color w:val="auto"/>
          <w:sz w:val="20"/>
          <w:szCs w:val="20"/>
        </w:rPr>
        <w:t> </w:t>
      </w:r>
      <w:proofErr w:type="spellStart"/>
      <w:r w:rsidRPr="00A27E6F" w:rsidR="0091015F">
        <w:rPr>
          <w:rFonts w:cstheme="minorHAnsi"/>
          <w:bCs/>
          <w:color w:val="auto"/>
          <w:sz w:val="20"/>
          <w:szCs w:val="20"/>
        </w:rPr>
        <w:t>greener</w:t>
      </w:r>
      <w:proofErr w:type="spellEnd"/>
      <w:r w:rsidRPr="00A27E6F" w:rsidR="0091015F">
        <w:rPr>
          <w:rFonts w:cstheme="minorHAnsi"/>
          <w:bCs/>
          <w:color w:val="auto"/>
          <w:sz w:val="20"/>
          <w:szCs w:val="20"/>
        </w:rPr>
        <w:t xml:space="preserve"> </w:t>
      </w:r>
      <w:proofErr w:type="spellStart"/>
      <w:r w:rsidRPr="00A27E6F" w:rsidR="0091015F">
        <w:rPr>
          <w:rFonts w:cstheme="minorHAnsi"/>
          <w:bCs/>
          <w:color w:val="auto"/>
          <w:sz w:val="20"/>
          <w:szCs w:val="20"/>
        </w:rPr>
        <w:t>transportation</w:t>
      </w:r>
      <w:proofErr w:type="spellEnd"/>
      <w:r w:rsidRPr="00A27E6F" w:rsidR="0091015F">
        <w:rPr>
          <w:rFonts w:cstheme="minorHAnsi"/>
          <w:bCs/>
          <w:color w:val="auto"/>
          <w:sz w:val="20"/>
          <w:szCs w:val="20"/>
        </w:rPr>
        <w:t xml:space="preserve"> </w:t>
      </w:r>
      <w:proofErr w:type="spellStart"/>
      <w:r w:rsidRPr="00A27E6F" w:rsidR="0091015F">
        <w:rPr>
          <w:rFonts w:cstheme="minorHAnsi"/>
          <w:bCs/>
          <w:color w:val="auto"/>
          <w:sz w:val="20"/>
          <w:szCs w:val="20"/>
        </w:rPr>
        <w:t>sector</w:t>
      </w:r>
      <w:proofErr w:type="spellEnd"/>
      <w:r w:rsidRPr="00A27E6F" w:rsidR="00BC66C0">
        <w:rPr>
          <w:rFonts w:cstheme="minorHAnsi"/>
          <w:bCs/>
          <w:color w:val="auto"/>
          <w:sz w:val="20"/>
          <w:szCs w:val="20"/>
        </w:rPr>
        <w:t>“</w:t>
      </w:r>
      <w:r w:rsidRPr="00A27E6F" w:rsidR="0091015F">
        <w:rPr>
          <w:rFonts w:cstheme="minorHAnsi"/>
          <w:bCs/>
          <w:color w:val="auto"/>
          <w:sz w:val="20"/>
          <w:szCs w:val="20"/>
        </w:rPr>
        <w:t xml:space="preserve"> (zatím nebyl financován)</w:t>
      </w:r>
    </w:p>
    <w:p w:rsidRPr="00A27E6F" w:rsidR="007A6F3C" w:rsidP="00D10829" w:rsidRDefault="007A6F3C" w14:paraId="6AB98CD3" w14:textId="77777777">
      <w:pPr>
        <w:spacing w:after="120" w:line="240" w:lineRule="auto"/>
        <w:ind w:left="714"/>
        <w:contextualSpacing/>
        <w:jc w:val="both"/>
        <w:rPr>
          <w:rFonts w:cstheme="minorHAnsi"/>
          <w:bCs/>
          <w:color w:val="auto"/>
          <w:sz w:val="20"/>
          <w:szCs w:val="20"/>
        </w:rPr>
      </w:pPr>
    </w:p>
    <w:p w:rsidRPr="00A27E6F" w:rsidR="002C20CF" w:rsidP="00D10829" w:rsidRDefault="002C20CF" w14:paraId="6B5C6C8B" w14:textId="77777777">
      <w:pPr>
        <w:pStyle w:val="K-Nadpis2"/>
        <w:spacing w:before="0" w:after="12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A27E6F">
        <w:rPr>
          <w:rFonts w:asciiTheme="minorHAnsi" w:hAnsiTheme="minorHAnsi" w:cstheme="minorHAnsi"/>
          <w:color w:val="auto"/>
          <w:sz w:val="20"/>
          <w:szCs w:val="20"/>
        </w:rPr>
        <w:t xml:space="preserve">3. </w:t>
      </w:r>
      <w:r w:rsidRPr="00A27E6F" w:rsidR="00AF3BAB">
        <w:rPr>
          <w:rFonts w:asciiTheme="minorHAnsi" w:hAnsiTheme="minorHAnsi" w:cstheme="minorHAnsi"/>
          <w:color w:val="auto"/>
          <w:sz w:val="20"/>
          <w:szCs w:val="20"/>
        </w:rPr>
        <w:t>Popis reforem</w:t>
      </w:r>
      <w:r w:rsidRPr="00A27E6F" w:rsidR="009C04D3">
        <w:rPr>
          <w:rFonts w:asciiTheme="minorHAnsi" w:hAnsiTheme="minorHAnsi" w:cstheme="minorHAnsi"/>
          <w:color w:val="auto"/>
          <w:sz w:val="20"/>
          <w:szCs w:val="20"/>
        </w:rPr>
        <w:t xml:space="preserve"> a</w:t>
      </w:r>
      <w:r w:rsidRPr="00A27E6F" w:rsidR="00741E3B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A27E6F" w:rsidR="009C04D3">
        <w:rPr>
          <w:rFonts w:asciiTheme="minorHAnsi" w:hAnsiTheme="minorHAnsi" w:cstheme="minorHAnsi"/>
          <w:color w:val="auto"/>
          <w:sz w:val="20"/>
          <w:szCs w:val="20"/>
        </w:rPr>
        <w:t>investic</w:t>
      </w:r>
      <w:r w:rsidRPr="00A27E6F" w:rsidR="00AF3BAB">
        <w:rPr>
          <w:rFonts w:asciiTheme="minorHAnsi" w:hAnsiTheme="minorHAnsi" w:cstheme="minorHAnsi"/>
          <w:color w:val="auto"/>
          <w:sz w:val="20"/>
          <w:szCs w:val="20"/>
        </w:rPr>
        <w:t xml:space="preserve"> k</w:t>
      </w:r>
      <w:r w:rsidRPr="00A27E6F">
        <w:rPr>
          <w:rFonts w:asciiTheme="minorHAnsi" w:hAnsiTheme="minorHAnsi" w:cstheme="minorHAnsi"/>
          <w:color w:val="auto"/>
          <w:sz w:val="20"/>
          <w:szCs w:val="20"/>
        </w:rPr>
        <w:t>omponent</w:t>
      </w:r>
      <w:r w:rsidRPr="00A27E6F" w:rsidR="00AF3BAB">
        <w:rPr>
          <w:rFonts w:asciiTheme="minorHAnsi" w:hAnsiTheme="minorHAnsi" w:cstheme="minorHAnsi"/>
          <w:color w:val="auto"/>
          <w:sz w:val="20"/>
          <w:szCs w:val="20"/>
        </w:rPr>
        <w:t>y</w:t>
      </w:r>
      <w:r w:rsidRPr="00A27E6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Pr="00A27E6F" w:rsidR="000C0598" w:rsidP="00D10829" w:rsidRDefault="000C0598" w14:paraId="53BCEDEE" w14:textId="77777777">
      <w:pPr>
        <w:pStyle w:val="K-Nadpis3"/>
        <w:numPr>
          <w:ilvl w:val="0"/>
          <w:numId w:val="14"/>
        </w:numPr>
        <w:ind w:left="360"/>
        <w:rPr>
          <w:rFonts w:asciiTheme="minorHAnsi" w:hAnsiTheme="minorHAnsi" w:cstheme="minorHAnsi"/>
          <w:color w:val="auto"/>
          <w:sz w:val="20"/>
          <w:szCs w:val="20"/>
        </w:rPr>
      </w:pPr>
      <w:bookmarkStart w:name="_Ref63235409" w:id="16"/>
      <w:r w:rsidRPr="00A27E6F">
        <w:rPr>
          <w:rFonts w:asciiTheme="minorHAnsi" w:hAnsiTheme="minorHAnsi" w:cstheme="minorHAnsi"/>
          <w:color w:val="auto"/>
          <w:sz w:val="20"/>
          <w:szCs w:val="20"/>
        </w:rPr>
        <w:t>Popis r</w:t>
      </w:r>
      <w:r w:rsidRPr="00A27E6F" w:rsidR="002E19BA">
        <w:rPr>
          <w:rFonts w:asciiTheme="minorHAnsi" w:hAnsiTheme="minorHAnsi" w:cstheme="minorHAnsi"/>
          <w:color w:val="auto"/>
          <w:sz w:val="20"/>
          <w:szCs w:val="20"/>
        </w:rPr>
        <w:t>efor</w:t>
      </w:r>
      <w:r w:rsidRPr="00A27E6F">
        <w:rPr>
          <w:rFonts w:asciiTheme="minorHAnsi" w:hAnsiTheme="minorHAnsi" w:cstheme="minorHAnsi"/>
          <w:color w:val="auto"/>
          <w:sz w:val="20"/>
          <w:szCs w:val="20"/>
        </w:rPr>
        <w:t>e</w:t>
      </w:r>
      <w:r w:rsidRPr="00A27E6F" w:rsidR="002E19BA">
        <w:rPr>
          <w:rFonts w:asciiTheme="minorHAnsi" w:hAnsiTheme="minorHAnsi" w:cstheme="minorHAnsi"/>
          <w:color w:val="auto"/>
          <w:sz w:val="20"/>
          <w:szCs w:val="20"/>
        </w:rPr>
        <w:t>m</w:t>
      </w:r>
      <w:bookmarkEnd w:id="16"/>
      <w:r w:rsidRPr="00A27E6F" w:rsidR="002E19B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Pr="00A27E6F" w:rsidR="00871E23" w:rsidP="00D10829" w:rsidRDefault="00871E23" w14:paraId="1200B0C9" w14:textId="77777777">
      <w:pPr>
        <w:pStyle w:val="K-Text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27E6F">
        <w:rPr>
          <w:rFonts w:asciiTheme="minorHAnsi" w:hAnsiTheme="minorHAnsi" w:cstheme="minorHAnsi"/>
          <w:sz w:val="20"/>
          <w:szCs w:val="20"/>
        </w:rPr>
        <w:t>Doprava je i v ČR významným zdrojem znečišťujících látek (pevné částice frakce PM</w:t>
      </w:r>
      <w:r w:rsidRPr="00A27E6F">
        <w:rPr>
          <w:rFonts w:asciiTheme="minorHAnsi" w:hAnsiTheme="minorHAnsi" w:cstheme="minorHAnsi"/>
          <w:sz w:val="20"/>
          <w:szCs w:val="20"/>
          <w:vertAlign w:val="subscript"/>
        </w:rPr>
        <w:t>2,5</w:t>
      </w:r>
      <w:r w:rsidRPr="00A27E6F">
        <w:rPr>
          <w:rFonts w:asciiTheme="minorHAnsi" w:hAnsiTheme="minorHAnsi" w:cstheme="minorHAnsi"/>
          <w:sz w:val="20"/>
          <w:szCs w:val="20"/>
        </w:rPr>
        <w:t>, PM</w:t>
      </w:r>
      <w:r w:rsidRPr="00A27E6F">
        <w:rPr>
          <w:rFonts w:asciiTheme="minorHAnsi" w:hAnsiTheme="minorHAnsi" w:cstheme="minorHAnsi"/>
          <w:sz w:val="20"/>
          <w:szCs w:val="20"/>
          <w:vertAlign w:val="subscript"/>
        </w:rPr>
        <w:t>10</w:t>
      </w:r>
      <w:r w:rsidRPr="00A27E6F">
        <w:rPr>
          <w:rFonts w:asciiTheme="minorHAnsi" w:hAnsiTheme="minorHAnsi" w:cstheme="minorHAnsi"/>
          <w:sz w:val="20"/>
          <w:szCs w:val="20"/>
        </w:rPr>
        <w:t>, CO</w:t>
      </w:r>
      <w:r w:rsidRPr="00A27E6F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A27E6F">
        <w:rPr>
          <w:rFonts w:asciiTheme="minorHAnsi" w:hAnsiTheme="minorHAnsi" w:cstheme="minorHAnsi"/>
          <w:sz w:val="20"/>
          <w:szCs w:val="20"/>
        </w:rPr>
        <w:t>, NO</w:t>
      </w:r>
      <w:r w:rsidRPr="00A27E6F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A27E6F">
        <w:rPr>
          <w:rFonts w:asciiTheme="minorHAnsi" w:hAnsiTheme="minorHAnsi" w:cstheme="minorHAnsi"/>
          <w:sz w:val="20"/>
          <w:szCs w:val="20"/>
        </w:rPr>
        <w:t>). Problém znečištění ze silniční dopravy se týká zejména velkých měst a aglomerací, ale nevyhýbá se také menším sídlům s vysokou intenzitou dopravy.</w:t>
      </w:r>
      <w:r w:rsidRPr="00A27E6F" w:rsidR="00110F85">
        <w:rPr>
          <w:rFonts w:asciiTheme="minorHAnsi" w:hAnsiTheme="minorHAnsi" w:cstheme="minorHAnsi"/>
          <w:sz w:val="20"/>
          <w:szCs w:val="20"/>
        </w:rPr>
        <w:t xml:space="preserve"> ČR je rovněž významnou tranzitní zemí.</w:t>
      </w:r>
    </w:p>
    <w:p w:rsidRPr="00A27E6F" w:rsidR="00871E23" w:rsidP="00D10829" w:rsidRDefault="00871E23" w14:paraId="3F8AC305" w14:textId="77777777">
      <w:pPr>
        <w:spacing w:after="120" w:line="240" w:lineRule="auto"/>
        <w:jc w:val="both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color w:val="auto"/>
          <w:sz w:val="20"/>
          <w:szCs w:val="20"/>
        </w:rPr>
        <w:t>Např. v Praze se doprava v roce 2016 podílela na celkových emisích PM</w:t>
      </w:r>
      <w:r w:rsidRPr="00A27E6F">
        <w:rPr>
          <w:rFonts w:cstheme="minorHAnsi"/>
          <w:color w:val="auto"/>
          <w:sz w:val="20"/>
          <w:szCs w:val="20"/>
          <w:vertAlign w:val="subscript"/>
        </w:rPr>
        <w:t>2,5</w:t>
      </w:r>
      <w:r w:rsidRPr="00A27E6F">
        <w:rPr>
          <w:rFonts w:cstheme="minorHAnsi"/>
          <w:color w:val="auto"/>
          <w:sz w:val="20"/>
          <w:szCs w:val="20"/>
        </w:rPr>
        <w:t xml:space="preserve"> téměř 50 % a na celkových emisích oxidů dusíku cca 75 %. </w:t>
      </w:r>
    </w:p>
    <w:p w:rsidRPr="00A27E6F" w:rsidR="00871E23" w:rsidP="00D10829" w:rsidRDefault="00871E23" w14:paraId="496872E7" w14:textId="77777777">
      <w:pPr>
        <w:pStyle w:val="K-Nadpis3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A27E6F">
        <w:rPr>
          <w:rFonts w:asciiTheme="minorHAnsi" w:hAnsiTheme="minorHAnsi" w:cstheme="minorHAnsi"/>
          <w:b w:val="0"/>
          <w:color w:val="auto"/>
          <w:sz w:val="20"/>
          <w:szCs w:val="20"/>
        </w:rPr>
        <w:t>Z výše uvedeného vyplývá, že pro zlepšení kvality ovzduší a snižování emisí z dopravy je žádoucí posílit zastoupení </w:t>
      </w:r>
      <w:proofErr w:type="spellStart"/>
      <w:r w:rsidRPr="00A27E6F">
        <w:rPr>
          <w:rFonts w:asciiTheme="minorHAnsi" w:hAnsiTheme="minorHAnsi" w:cstheme="minorHAnsi"/>
          <w:b w:val="0"/>
          <w:color w:val="auto"/>
          <w:sz w:val="20"/>
          <w:szCs w:val="20"/>
        </w:rPr>
        <w:t>nízkoemisních</w:t>
      </w:r>
      <w:proofErr w:type="spellEnd"/>
      <w:r w:rsidRPr="00A27E6F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způsobů dopravy, tedy čistou mobilitu. Tuto skutečnost zmiňují i některé existující strategické </w:t>
      </w:r>
      <w:r w:rsidRPr="00A27E6F">
        <w:rPr>
          <w:rFonts w:asciiTheme="minorHAnsi" w:hAnsiTheme="minorHAnsi" w:cstheme="minorHAnsi"/>
          <w:b w:val="0"/>
          <w:color w:val="auto"/>
          <w:sz w:val="20"/>
          <w:szCs w:val="20"/>
        </w:rPr>
        <w:lastRenderedPageBreak/>
        <w:t>dokumenty přijaté vládou ČR jako např. Státní politika životního prostředí ČR, Politika ochrany klimatu v ČR, Národní program snižování emisí ČR.</w:t>
      </w:r>
    </w:p>
    <w:p w:rsidRPr="00A27E6F" w:rsidR="00C87389" w:rsidP="00D10829" w:rsidRDefault="00C87389" w14:paraId="470CEAD3" w14:textId="77777777">
      <w:pPr>
        <w:pStyle w:val="K-Nadpis3"/>
        <w:rPr>
          <w:rFonts w:eastAsia="Times New Roman" w:asciiTheme="minorHAnsi" w:hAnsiTheme="minorHAnsi" w:cstheme="minorHAnsi"/>
          <w:b w:val="0"/>
          <w:bCs/>
          <w:color w:val="auto"/>
          <w:sz w:val="20"/>
          <w:szCs w:val="20"/>
          <w:lang w:eastAsia="cs-CZ"/>
        </w:rPr>
      </w:pPr>
      <w:r w:rsidRPr="00A27E6F">
        <w:rPr>
          <w:rFonts w:eastAsia="Times New Roman" w:asciiTheme="minorHAnsi" w:hAnsiTheme="minorHAnsi" w:cstheme="minorHAnsi"/>
          <w:b w:val="0"/>
          <w:bCs/>
          <w:color w:val="auto"/>
          <w:sz w:val="20"/>
          <w:szCs w:val="20"/>
          <w:lang w:eastAsia="cs-CZ"/>
        </w:rPr>
        <w:t xml:space="preserve">Snahou České republiky je mj. snížení emisí v dopravě prostřednictvím opatření uvedených v Aktualizaci Národního akčního plánu čisté mobility, který vznikl na základě požadavku směrnice Evropského parlamentu a Rady 2014/94/EU o zavádění infrastruktury pro alternativní paliva, a ze kterého vychází komponenta čistá mobilita. Zároveň se jedná o podporu transformace automobilového průmyslu v souvislosti s přechodem na </w:t>
      </w:r>
      <w:proofErr w:type="spellStart"/>
      <w:r w:rsidRPr="00A27E6F">
        <w:rPr>
          <w:rFonts w:eastAsia="Times New Roman" w:asciiTheme="minorHAnsi" w:hAnsiTheme="minorHAnsi" w:cstheme="minorHAnsi"/>
          <w:b w:val="0"/>
          <w:bCs/>
          <w:color w:val="auto"/>
          <w:sz w:val="20"/>
          <w:szCs w:val="20"/>
          <w:lang w:eastAsia="cs-CZ"/>
        </w:rPr>
        <w:t>nízkoemisní</w:t>
      </w:r>
      <w:proofErr w:type="spellEnd"/>
      <w:r w:rsidRPr="00A27E6F">
        <w:rPr>
          <w:rFonts w:eastAsia="Times New Roman" w:asciiTheme="minorHAnsi" w:hAnsiTheme="minorHAnsi" w:cstheme="minorHAnsi"/>
          <w:b w:val="0"/>
          <w:bCs/>
          <w:color w:val="auto"/>
          <w:sz w:val="20"/>
          <w:szCs w:val="20"/>
          <w:lang w:eastAsia="cs-CZ"/>
        </w:rPr>
        <w:t xml:space="preserve"> mobilitu v souladu s Memorandem o budoucnosti automobilového průmyslu.  </w:t>
      </w:r>
    </w:p>
    <w:p w:rsidRPr="00A27E6F" w:rsidR="00C87389" w:rsidP="00F1568F" w:rsidRDefault="00C87389" w14:paraId="55997180" w14:textId="77777777">
      <w:pPr>
        <w:pStyle w:val="K-Nadpis3"/>
        <w:rPr>
          <w:rFonts w:eastAsia="Times New Roman" w:asciiTheme="minorHAnsi" w:hAnsiTheme="minorHAnsi" w:cstheme="minorHAnsi"/>
          <w:b w:val="0"/>
          <w:bCs/>
          <w:color w:val="auto"/>
          <w:sz w:val="20"/>
          <w:szCs w:val="20"/>
          <w:lang w:eastAsia="cs-CZ"/>
        </w:rPr>
      </w:pPr>
      <w:r w:rsidRPr="00A27E6F">
        <w:rPr>
          <w:rFonts w:eastAsia="Times New Roman" w:asciiTheme="minorHAnsi" w:hAnsiTheme="minorHAnsi" w:cstheme="minorHAnsi"/>
          <w:b w:val="0"/>
          <w:bCs/>
          <w:color w:val="auto"/>
          <w:sz w:val="20"/>
          <w:szCs w:val="20"/>
          <w:lang w:eastAsia="cs-CZ"/>
        </w:rPr>
        <w:t xml:space="preserve">V souvislosti s podporou </w:t>
      </w:r>
      <w:proofErr w:type="spellStart"/>
      <w:r w:rsidRPr="00A27E6F">
        <w:rPr>
          <w:rFonts w:eastAsia="Times New Roman" w:asciiTheme="minorHAnsi" w:hAnsiTheme="minorHAnsi" w:cstheme="minorHAnsi"/>
          <w:b w:val="0"/>
          <w:bCs/>
          <w:color w:val="auto"/>
          <w:sz w:val="20"/>
          <w:szCs w:val="20"/>
          <w:lang w:eastAsia="cs-CZ"/>
        </w:rPr>
        <w:t>nízkoemisních</w:t>
      </w:r>
      <w:proofErr w:type="spellEnd"/>
      <w:r w:rsidRPr="00A27E6F">
        <w:rPr>
          <w:rFonts w:eastAsia="Times New Roman" w:asciiTheme="minorHAnsi" w:hAnsiTheme="minorHAnsi" w:cstheme="minorHAnsi"/>
          <w:b w:val="0"/>
          <w:bCs/>
          <w:color w:val="auto"/>
          <w:sz w:val="20"/>
          <w:szCs w:val="20"/>
          <w:lang w:eastAsia="cs-CZ"/>
        </w:rPr>
        <w:t xml:space="preserve"> vozidel (elektromobily a </w:t>
      </w:r>
      <w:proofErr w:type="spellStart"/>
      <w:r w:rsidRPr="00A27E6F">
        <w:rPr>
          <w:rFonts w:eastAsia="Times New Roman" w:asciiTheme="minorHAnsi" w:hAnsiTheme="minorHAnsi" w:cstheme="minorHAnsi"/>
          <w:b w:val="0"/>
          <w:bCs/>
          <w:color w:val="auto"/>
          <w:sz w:val="20"/>
          <w:szCs w:val="20"/>
          <w:lang w:eastAsia="cs-CZ"/>
        </w:rPr>
        <w:t>PHEVs</w:t>
      </w:r>
      <w:proofErr w:type="spellEnd"/>
      <w:r w:rsidRPr="00A27E6F">
        <w:rPr>
          <w:rFonts w:eastAsia="Times New Roman" w:asciiTheme="minorHAnsi" w:hAnsiTheme="minorHAnsi" w:cstheme="minorHAnsi"/>
          <w:b w:val="0"/>
          <w:bCs/>
          <w:color w:val="auto"/>
          <w:sz w:val="20"/>
          <w:szCs w:val="20"/>
          <w:lang w:eastAsia="cs-CZ"/>
        </w:rPr>
        <w:t>) bude v případě osobních vozidel aplikován limit 50 g CO2/km. Tento limit vychází ze Směrnice EP a Rady 2019/1161, kterou se mění směrnice 2009/33/ES o podpoře čistých a energeticky účinných silničních vozidel, která stanoví povinný podíl nízko a bezemisních vozidel pořizovaných veřejnými zadavateli</w:t>
      </w:r>
      <w:r w:rsidRPr="00A27E6F" w:rsidR="00914682">
        <w:rPr>
          <w:rFonts w:eastAsia="Times New Roman" w:asciiTheme="minorHAnsi" w:hAnsiTheme="minorHAnsi" w:cstheme="minorHAnsi"/>
          <w:b w:val="0"/>
          <w:bCs/>
          <w:color w:val="auto"/>
          <w:sz w:val="20"/>
          <w:szCs w:val="20"/>
          <w:lang w:eastAsia="cs-CZ"/>
        </w:rPr>
        <w:t>.</w:t>
      </w:r>
    </w:p>
    <w:p w:rsidRPr="00A27E6F" w:rsidR="00C87389" w:rsidP="00D10829" w:rsidRDefault="00C87389" w14:paraId="7AA414F6" w14:textId="77777777">
      <w:pPr>
        <w:pStyle w:val="K-Nadpis3"/>
        <w:rPr>
          <w:rFonts w:eastAsia="Times New Roman" w:asciiTheme="minorHAnsi" w:hAnsiTheme="minorHAnsi" w:cstheme="minorHAnsi"/>
          <w:b w:val="0"/>
          <w:bCs/>
          <w:color w:val="auto"/>
          <w:sz w:val="20"/>
          <w:szCs w:val="20"/>
          <w:lang w:eastAsia="cs-CZ"/>
        </w:rPr>
      </w:pPr>
      <w:r w:rsidRPr="00A27E6F">
        <w:rPr>
          <w:rFonts w:eastAsia="Times New Roman" w:asciiTheme="minorHAnsi" w:hAnsiTheme="minorHAnsi" w:cstheme="minorHAnsi"/>
          <w:b w:val="0"/>
          <w:bCs/>
          <w:color w:val="auto"/>
          <w:sz w:val="20"/>
          <w:szCs w:val="20"/>
          <w:lang w:eastAsia="cs-CZ"/>
        </w:rPr>
        <w:t xml:space="preserve">Cílem je rozvoj potřebné infrastruktury pro vozidla na alternativní paliva a zvýšení počtu těchto vozidel v České republice. To pomůže nastartování výroby a prodejů vozidel na alternativní paliva v ČR. Vazba tohoto cíle je v doporučeních EU pro ČR v rámci udržitelné dopravní infrastruktury. </w:t>
      </w:r>
    </w:p>
    <w:p w:rsidRPr="00A27E6F" w:rsidR="00871E23" w:rsidP="274C9896" w:rsidRDefault="680A5980" w14:paraId="03C51CEE" w14:textId="77777777">
      <w:pPr>
        <w:pStyle w:val="K-Nadpis3"/>
        <w:rPr>
          <w:rFonts w:eastAsia="Times New Roman" w:asciiTheme="minorHAnsi" w:hAnsiTheme="minorHAnsi" w:cstheme="minorHAnsi"/>
          <w:b w:val="0"/>
          <w:color w:val="auto"/>
          <w:sz w:val="20"/>
          <w:szCs w:val="20"/>
          <w:lang w:eastAsia="cs-CZ"/>
        </w:rPr>
      </w:pPr>
      <w:r w:rsidRPr="00A27E6F">
        <w:rPr>
          <w:rFonts w:eastAsia="Times New Roman" w:asciiTheme="minorHAnsi" w:hAnsiTheme="minorHAnsi" w:cstheme="minorHAnsi"/>
          <w:b w:val="0"/>
          <w:color w:val="auto"/>
          <w:sz w:val="20"/>
          <w:szCs w:val="20"/>
          <w:lang w:eastAsia="cs-CZ"/>
        </w:rPr>
        <w:t xml:space="preserve">Veřejná dobíjecí infrastruktura je klíčová pro rozvoj </w:t>
      </w:r>
      <w:proofErr w:type="spellStart"/>
      <w:r w:rsidRPr="00A27E6F">
        <w:rPr>
          <w:rFonts w:eastAsia="Times New Roman" w:asciiTheme="minorHAnsi" w:hAnsiTheme="minorHAnsi" w:cstheme="minorHAnsi"/>
          <w:b w:val="0"/>
          <w:color w:val="auto"/>
          <w:sz w:val="20"/>
          <w:szCs w:val="20"/>
          <w:lang w:eastAsia="cs-CZ"/>
        </w:rPr>
        <w:t>elektromobility</w:t>
      </w:r>
      <w:proofErr w:type="spellEnd"/>
      <w:r w:rsidRPr="00A27E6F">
        <w:rPr>
          <w:rFonts w:eastAsia="Times New Roman" w:asciiTheme="minorHAnsi" w:hAnsiTheme="minorHAnsi" w:cstheme="minorHAnsi"/>
          <w:b w:val="0"/>
          <w:color w:val="auto"/>
          <w:sz w:val="20"/>
          <w:szCs w:val="20"/>
          <w:lang w:eastAsia="cs-CZ"/>
        </w:rPr>
        <w:t>, ale těžištěm dobíjení bude neveřejné dobíjení, kterým se zpravidla myslí dobíjení v domácnostech anebo v zaměstnání (často citovanou hodnotou je 80% podíl). Z logiky věci vyplývá, že veřejné a neveřejné dobíjení se navzájem doplňují. Zatímco neveřejné dobíjení bude atraktivní zejména nízkými náklady, hlavním parametrem veřejné infrastruktury je její výkon, tj. rychlost dobíjení.</w:t>
      </w:r>
      <w:r w:rsidRPr="00A27E6F" w:rsidR="23C558E5">
        <w:rPr>
          <w:rFonts w:asciiTheme="minorHAnsi" w:hAnsiTheme="minorHAnsi" w:cstheme="minorHAnsi"/>
          <w:sz w:val="20"/>
          <w:szCs w:val="20"/>
        </w:rPr>
        <w:t xml:space="preserve"> </w:t>
      </w:r>
      <w:r w:rsidRPr="00A27E6F" w:rsidR="23C558E5">
        <w:rPr>
          <w:rFonts w:eastAsia="Times New Roman" w:asciiTheme="minorHAnsi" w:hAnsiTheme="minorHAnsi" w:cstheme="minorHAnsi"/>
          <w:b w:val="0"/>
          <w:color w:val="auto"/>
          <w:sz w:val="20"/>
          <w:szCs w:val="20"/>
          <w:lang w:eastAsia="cs-CZ"/>
        </w:rPr>
        <w:t>Podpora budování veřejné infrastruktury je plánována v rámci připravovaného Operačního programu Doprava 2021-2027 (OPD3).</w:t>
      </w:r>
    </w:p>
    <w:p w:rsidRPr="00A27E6F" w:rsidR="00871E23" w:rsidP="00D10829" w:rsidRDefault="00871E23" w14:paraId="3BF377CE" w14:textId="77777777">
      <w:pPr>
        <w:pStyle w:val="K-Nadpis3"/>
        <w:rPr>
          <w:rFonts w:eastAsia="Times New Roman" w:asciiTheme="minorHAnsi" w:hAnsiTheme="minorHAnsi" w:cstheme="minorHAnsi"/>
          <w:b w:val="0"/>
          <w:bCs/>
          <w:color w:val="auto"/>
          <w:sz w:val="20"/>
          <w:szCs w:val="20"/>
          <w:lang w:eastAsia="cs-CZ"/>
        </w:rPr>
      </w:pPr>
      <w:r w:rsidRPr="00A27E6F">
        <w:rPr>
          <w:rFonts w:eastAsia="Times New Roman" w:asciiTheme="minorHAnsi" w:hAnsiTheme="minorHAnsi" w:cstheme="minorHAnsi"/>
          <w:b w:val="0"/>
          <w:bCs/>
          <w:color w:val="auto"/>
          <w:sz w:val="20"/>
          <w:szCs w:val="20"/>
          <w:lang w:eastAsia="cs-CZ"/>
        </w:rPr>
        <w:t xml:space="preserve">Specifickým segmentem </w:t>
      </w:r>
      <w:proofErr w:type="spellStart"/>
      <w:r w:rsidRPr="00A27E6F">
        <w:rPr>
          <w:rFonts w:eastAsia="Times New Roman" w:asciiTheme="minorHAnsi" w:hAnsiTheme="minorHAnsi" w:cstheme="minorHAnsi"/>
          <w:b w:val="0"/>
          <w:bCs/>
          <w:color w:val="auto"/>
          <w:sz w:val="20"/>
          <w:szCs w:val="20"/>
          <w:lang w:eastAsia="cs-CZ"/>
        </w:rPr>
        <w:t>elektromobility</w:t>
      </w:r>
      <w:proofErr w:type="spellEnd"/>
      <w:r w:rsidRPr="00A27E6F">
        <w:rPr>
          <w:rFonts w:eastAsia="Times New Roman" w:asciiTheme="minorHAnsi" w:hAnsiTheme="minorHAnsi" w:cstheme="minorHAnsi"/>
          <w:b w:val="0"/>
          <w:bCs/>
          <w:color w:val="auto"/>
          <w:sz w:val="20"/>
          <w:szCs w:val="20"/>
          <w:lang w:eastAsia="cs-CZ"/>
        </w:rPr>
        <w:t xml:space="preserve"> je využití v rámci MHD, kdy lze maximálně vytěžit výhody lokálně bezemisního provozu.</w:t>
      </w:r>
    </w:p>
    <w:p w:rsidRPr="00A27E6F" w:rsidR="00871E23" w:rsidP="00D10829" w:rsidRDefault="00871E23" w14:paraId="0647ED29" w14:textId="77777777">
      <w:pPr>
        <w:pStyle w:val="K-Nadpis3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A27E6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Pokud se mají efekty rozvoje čisté mobility v rámci EU projevit odpovídajícím způsobem, je třeba, aby byly využity i nástroje stimulace poptávky po bezemisních a </w:t>
      </w:r>
      <w:proofErr w:type="spellStart"/>
      <w:r w:rsidRPr="00A27E6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nízkoemisních</w:t>
      </w:r>
      <w:proofErr w:type="spellEnd"/>
      <w:r w:rsidRPr="00A27E6F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vozidlech.</w:t>
      </w:r>
    </w:p>
    <w:p w:rsidRPr="00A27E6F" w:rsidR="005905DC" w:rsidP="00D10829" w:rsidRDefault="005905DC" w14:paraId="1061F0C6" w14:textId="77777777">
      <w:pPr>
        <w:pStyle w:val="K-Nadpis3"/>
        <w:rPr>
          <w:rFonts w:eastAsia="Times New Roman" w:asciiTheme="minorHAnsi" w:hAnsiTheme="minorHAnsi" w:cstheme="minorHAnsi"/>
          <w:b w:val="0"/>
          <w:bCs/>
          <w:color w:val="auto"/>
          <w:sz w:val="20"/>
          <w:szCs w:val="20"/>
          <w:lang w:eastAsia="cs-CZ"/>
        </w:rPr>
      </w:pPr>
    </w:p>
    <w:p w:rsidRPr="00A27E6F" w:rsidR="002E19BA" w:rsidP="00D10829" w:rsidRDefault="000C0598" w14:paraId="185E9C39" w14:textId="77777777">
      <w:pPr>
        <w:pStyle w:val="K-Nadpis3"/>
        <w:numPr>
          <w:ilvl w:val="0"/>
          <w:numId w:val="14"/>
        </w:numPr>
        <w:ind w:left="360"/>
        <w:rPr>
          <w:rFonts w:asciiTheme="minorHAnsi" w:hAnsiTheme="minorHAnsi" w:cstheme="minorHAnsi"/>
          <w:color w:val="auto"/>
          <w:sz w:val="20"/>
          <w:szCs w:val="20"/>
        </w:rPr>
      </w:pPr>
      <w:r w:rsidRPr="00A27E6F">
        <w:rPr>
          <w:rFonts w:asciiTheme="minorHAnsi" w:hAnsiTheme="minorHAnsi" w:cstheme="minorHAnsi"/>
          <w:color w:val="auto"/>
          <w:sz w:val="20"/>
          <w:szCs w:val="20"/>
        </w:rPr>
        <w:t xml:space="preserve">Popis </w:t>
      </w:r>
      <w:r w:rsidRPr="00A27E6F" w:rsidR="002E19BA">
        <w:rPr>
          <w:rFonts w:asciiTheme="minorHAnsi" w:hAnsiTheme="minorHAnsi" w:cstheme="minorHAnsi"/>
          <w:color w:val="auto"/>
          <w:sz w:val="20"/>
          <w:szCs w:val="20"/>
        </w:rPr>
        <w:t>investic</w:t>
      </w:r>
    </w:p>
    <w:p w:rsidRPr="00A27E6F" w:rsidR="005B3665" w:rsidP="00D10829" w:rsidRDefault="005B3665" w14:paraId="009BE458" w14:textId="77777777">
      <w:pPr>
        <w:spacing w:after="120" w:line="240" w:lineRule="auto"/>
        <w:rPr>
          <w:rFonts w:cstheme="minorHAnsi"/>
          <w:color w:val="auto"/>
          <w:sz w:val="20"/>
          <w:szCs w:val="20"/>
        </w:rPr>
      </w:pPr>
    </w:p>
    <w:p w:rsidRPr="00A27E6F" w:rsidR="00F91337" w:rsidP="00D10829" w:rsidRDefault="00F91337" w14:paraId="7793A8D5" w14:textId="703584B4">
      <w:pPr>
        <w:spacing w:after="120" w:line="240" w:lineRule="auto"/>
        <w:rPr>
          <w:rFonts w:cstheme="minorHAnsi"/>
          <w:b/>
          <w:color w:val="auto"/>
          <w:sz w:val="20"/>
          <w:szCs w:val="20"/>
        </w:rPr>
      </w:pPr>
      <w:r w:rsidRPr="00A27E6F">
        <w:rPr>
          <w:rFonts w:cstheme="minorHAnsi"/>
          <w:b/>
          <w:color w:val="auto"/>
          <w:sz w:val="20"/>
          <w:szCs w:val="20"/>
        </w:rPr>
        <w:t xml:space="preserve">Budování </w:t>
      </w:r>
      <w:r w:rsidRPr="00A27E6F" w:rsidR="000C74A7">
        <w:rPr>
          <w:rFonts w:cstheme="minorHAnsi"/>
          <w:b/>
          <w:color w:val="auto"/>
          <w:sz w:val="20"/>
          <w:szCs w:val="20"/>
        </w:rPr>
        <w:t>infrastruktury – pro</w:t>
      </w:r>
      <w:r w:rsidRPr="00A27E6F" w:rsidR="008D52A7">
        <w:rPr>
          <w:rFonts w:cstheme="minorHAnsi"/>
          <w:b/>
          <w:color w:val="auto"/>
          <w:sz w:val="20"/>
          <w:szCs w:val="20"/>
          <w:lang w:eastAsia="cs-CZ"/>
        </w:rPr>
        <w:t xml:space="preserve"> veřejnou dopravu (Praha)</w:t>
      </w:r>
      <w:r w:rsidRPr="00A27E6F">
        <w:rPr>
          <w:rFonts w:cstheme="minorHAnsi"/>
          <w:b/>
          <w:color w:val="auto"/>
          <w:sz w:val="20"/>
          <w:szCs w:val="20"/>
        </w:rPr>
        <w:t xml:space="preserve">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7214"/>
      </w:tblGrid>
      <w:tr w:rsidRPr="00A27E6F" w:rsidR="00914682" w:rsidTr="112AC459" w14:paraId="1CF35552" w14:textId="77777777">
        <w:tc>
          <w:tcPr>
            <w:tcW w:w="2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76C0DB4D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Výzva</w:t>
            </w:r>
          </w:p>
        </w:tc>
        <w:tc>
          <w:tcPr>
            <w:tcW w:w="72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7A6F3C" w:rsidRDefault="009D1EAD" w14:paraId="5FAA2251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Nedostatek dobíjecí infrastruktury pro veřejnou dopravu (Praha)</w:t>
            </w:r>
          </w:p>
        </w:tc>
      </w:tr>
      <w:tr w:rsidRPr="00A27E6F" w:rsidR="00914682" w:rsidTr="112AC459" w14:paraId="4A66EAA8" w14:textId="77777777">
        <w:tc>
          <w:tcPr>
            <w:tcW w:w="2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3E1CE0BD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7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27E6F" w:rsidR="00F91337" w:rsidP="36384684" w:rsidRDefault="009D1EAD" w14:paraId="74E6841B" w14:textId="454E56C9">
            <w:pPr>
              <w:spacing w:after="120" w:line="240" w:lineRule="auto"/>
              <w:jc w:val="both"/>
              <w:rPr>
                <w:color w:val="auto"/>
                <w:sz w:val="20"/>
                <w:szCs w:val="20"/>
                <w:lang w:eastAsia="cs-CZ"/>
              </w:rPr>
            </w:pPr>
            <w:r w:rsidRPr="36384684">
              <w:rPr>
                <w:color w:val="auto"/>
                <w:sz w:val="20"/>
                <w:szCs w:val="20"/>
              </w:rPr>
              <w:t xml:space="preserve"> </w:t>
            </w:r>
            <w:r w:rsidRPr="36384684">
              <w:rPr>
                <w:color w:val="auto"/>
                <w:sz w:val="20"/>
                <w:szCs w:val="20"/>
                <w:lang w:eastAsia="cs-CZ"/>
              </w:rPr>
              <w:t xml:space="preserve">Navýšit počet </w:t>
            </w:r>
            <w:r w:rsidRPr="36384684" w:rsidR="009E6FA9">
              <w:rPr>
                <w:color w:val="auto"/>
                <w:sz w:val="20"/>
                <w:szCs w:val="20"/>
                <w:lang w:eastAsia="cs-CZ"/>
              </w:rPr>
              <w:t>na</w:t>
            </w:r>
            <w:r w:rsidRPr="36384684">
              <w:rPr>
                <w:color w:val="auto"/>
                <w:sz w:val="20"/>
                <w:szCs w:val="20"/>
                <w:lang w:eastAsia="cs-CZ"/>
              </w:rPr>
              <w:t xml:space="preserve">bíjecích bodů pro </w:t>
            </w:r>
            <w:proofErr w:type="spellStart"/>
            <w:r w:rsidRPr="36384684">
              <w:rPr>
                <w:color w:val="auto"/>
                <w:sz w:val="20"/>
                <w:szCs w:val="20"/>
                <w:lang w:eastAsia="cs-CZ"/>
              </w:rPr>
              <w:t>elektrobusy</w:t>
            </w:r>
            <w:proofErr w:type="spellEnd"/>
            <w:r w:rsidRPr="36384684">
              <w:rPr>
                <w:color w:val="auto"/>
                <w:sz w:val="20"/>
                <w:szCs w:val="20"/>
                <w:lang w:eastAsia="cs-CZ"/>
              </w:rPr>
              <w:t xml:space="preserve"> </w:t>
            </w:r>
            <w:r w:rsidRPr="36384684" w:rsidR="000C57CB">
              <w:rPr>
                <w:color w:val="auto"/>
                <w:sz w:val="20"/>
                <w:szCs w:val="20"/>
                <w:lang w:eastAsia="cs-CZ"/>
              </w:rPr>
              <w:t xml:space="preserve">a bateriové trolejbusy </w:t>
            </w:r>
            <w:r w:rsidRPr="36384684">
              <w:rPr>
                <w:color w:val="auto"/>
                <w:sz w:val="20"/>
                <w:szCs w:val="20"/>
                <w:lang w:eastAsia="cs-CZ"/>
              </w:rPr>
              <w:t xml:space="preserve">v Praze – </w:t>
            </w:r>
            <w:r w:rsidRPr="36384684" w:rsidR="009E6FA9">
              <w:rPr>
                <w:color w:val="auto"/>
                <w:sz w:val="20"/>
                <w:szCs w:val="20"/>
                <w:lang w:eastAsia="cs-CZ"/>
              </w:rPr>
              <w:t>o celkem 52 nabíjecích bodů</w:t>
            </w:r>
            <w:r w:rsidRPr="36384684" w:rsidR="00D34AAD">
              <w:rPr>
                <w:color w:val="auto"/>
                <w:sz w:val="20"/>
                <w:szCs w:val="20"/>
                <w:lang w:eastAsia="cs-CZ"/>
              </w:rPr>
              <w:t xml:space="preserve"> </w:t>
            </w:r>
            <w:r w:rsidRPr="36384684" w:rsidR="009E6FA9">
              <w:rPr>
                <w:color w:val="auto"/>
                <w:sz w:val="20"/>
                <w:szCs w:val="20"/>
                <w:lang w:eastAsia="cs-CZ"/>
              </w:rPr>
              <w:t xml:space="preserve">a zvýšit počet km dynamického dobíjení pro bateriové trolejbusy o </w:t>
            </w:r>
            <w:r w:rsidRPr="36384684" w:rsidR="4D106506">
              <w:rPr>
                <w:color w:val="auto"/>
                <w:sz w:val="20"/>
                <w:szCs w:val="20"/>
                <w:lang w:eastAsia="cs-CZ"/>
              </w:rPr>
              <w:t>40</w:t>
            </w:r>
            <w:r w:rsidRPr="36384684" w:rsidR="009E6FA9">
              <w:rPr>
                <w:color w:val="auto"/>
                <w:sz w:val="20"/>
                <w:szCs w:val="20"/>
                <w:lang w:eastAsia="cs-CZ"/>
              </w:rPr>
              <w:t xml:space="preserve"> km jednostopého trolejového vedení.</w:t>
            </w:r>
            <w:r w:rsidRPr="36384684" w:rsidR="003F753F">
              <w:rPr>
                <w:color w:val="auto"/>
                <w:sz w:val="20"/>
                <w:szCs w:val="20"/>
                <w:lang w:eastAsia="cs-CZ"/>
              </w:rPr>
              <w:t xml:space="preserve"> Snížit emise u městské hromadné dopravy a snížit hlučnost ve městě. </w:t>
            </w:r>
          </w:p>
        </w:tc>
      </w:tr>
      <w:tr w:rsidRPr="00A27E6F" w:rsidR="00914682" w:rsidTr="112AC459" w14:paraId="19431DA8" w14:textId="77777777">
        <w:tc>
          <w:tcPr>
            <w:tcW w:w="2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694509C4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Implementace</w:t>
            </w:r>
          </w:p>
        </w:tc>
        <w:tc>
          <w:tcPr>
            <w:tcW w:w="7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5CEDD745" w:rsidRDefault="00F91337" w14:paraId="1894A322" w14:textId="696430DD">
            <w:pPr>
              <w:spacing w:after="120" w:line="240" w:lineRule="auto"/>
              <w:jc w:val="both"/>
              <w:rPr>
                <w:color w:val="auto"/>
                <w:sz w:val="20"/>
                <w:szCs w:val="20"/>
                <w:lang w:eastAsia="cs-CZ"/>
              </w:rPr>
            </w:pPr>
            <w:r w:rsidRPr="5CEDD745">
              <w:rPr>
                <w:color w:val="auto"/>
                <w:sz w:val="20"/>
                <w:szCs w:val="20"/>
                <w:lang w:eastAsia="cs-CZ"/>
              </w:rPr>
              <w:t>Dopravní podnik hlavního města Prahy</w:t>
            </w:r>
            <w:r w:rsidRPr="5CEDD745" w:rsidR="4C8E0743">
              <w:rPr>
                <w:color w:val="auto"/>
                <w:sz w:val="20"/>
                <w:szCs w:val="20"/>
                <w:lang w:eastAsia="cs-CZ"/>
              </w:rPr>
              <w:t xml:space="preserve"> – gesce </w:t>
            </w:r>
            <w:r w:rsidRPr="5CEDD745" w:rsidR="6A012CEB">
              <w:rPr>
                <w:color w:val="auto"/>
                <w:sz w:val="20"/>
                <w:szCs w:val="20"/>
                <w:lang w:eastAsia="cs-CZ"/>
              </w:rPr>
              <w:t>MD</w:t>
            </w:r>
          </w:p>
        </w:tc>
      </w:tr>
      <w:tr w:rsidRPr="00A27E6F" w:rsidR="00914682" w:rsidTr="112AC459" w14:paraId="10261256" w14:textId="77777777">
        <w:trPr>
          <w:trHeight w:val="70"/>
        </w:trPr>
        <w:tc>
          <w:tcPr>
            <w:tcW w:w="2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3ED56264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Spolupráce a</w:t>
            </w:r>
            <w:r w:rsidRPr="00A27E6F" w:rsidR="00741E3B">
              <w:rPr>
                <w:rFonts w:cstheme="minorHAnsi"/>
                <w:color w:val="auto"/>
                <w:sz w:val="20"/>
                <w:szCs w:val="20"/>
                <w:lang w:eastAsia="cs-CZ"/>
              </w:rPr>
              <w:t> 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zapojení zúčastněných stran</w:t>
            </w:r>
          </w:p>
        </w:tc>
        <w:tc>
          <w:tcPr>
            <w:tcW w:w="7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7A6F3C" w:rsidRDefault="00F91337" w14:paraId="1B2C5E30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Dopravní podnik hlavního města Prahy, energetické společnosti, </w:t>
            </w:r>
            <w:r w:rsidRPr="00A27E6F" w:rsidR="008B40D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 </w:t>
            </w:r>
          </w:p>
        </w:tc>
      </w:tr>
      <w:tr w:rsidRPr="00A27E6F" w:rsidR="00914682" w:rsidTr="112AC459" w14:paraId="1CD3463F" w14:textId="77777777">
        <w:tc>
          <w:tcPr>
            <w:tcW w:w="2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1F9A17E1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Překážky a</w:t>
            </w:r>
            <w:r w:rsidRPr="00A27E6F" w:rsidR="00741E3B">
              <w:rPr>
                <w:rFonts w:cstheme="minorHAnsi"/>
                <w:color w:val="auto"/>
                <w:sz w:val="20"/>
                <w:szCs w:val="20"/>
                <w:lang w:eastAsia="cs-CZ"/>
              </w:rPr>
              <w:t> 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rizika</w:t>
            </w:r>
          </w:p>
        </w:tc>
        <w:tc>
          <w:tcPr>
            <w:tcW w:w="7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7A6F3C" w:rsidRDefault="00F91337" w14:paraId="7592D3C6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Schvalovací procesy </w:t>
            </w:r>
          </w:p>
        </w:tc>
      </w:tr>
      <w:tr w:rsidRPr="00A27E6F" w:rsidR="00914682" w:rsidTr="112AC459" w14:paraId="5346F26E" w14:textId="77777777">
        <w:tc>
          <w:tcPr>
            <w:tcW w:w="2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703AA757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Cílové skupiny populace a</w:t>
            </w:r>
            <w:r w:rsidRPr="00A27E6F" w:rsidR="00741E3B">
              <w:rPr>
                <w:rFonts w:cstheme="minorHAnsi"/>
                <w:color w:val="auto"/>
                <w:sz w:val="20"/>
                <w:szCs w:val="20"/>
                <w:lang w:eastAsia="cs-CZ"/>
              </w:rPr>
              <w:t> 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ekonomické subjekty</w:t>
            </w:r>
          </w:p>
        </w:tc>
        <w:tc>
          <w:tcPr>
            <w:tcW w:w="7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7A6F3C" w:rsidRDefault="00F91337" w14:paraId="1532A740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Uživatelé veřejné dopravy v</w:t>
            </w:r>
            <w:r w:rsidRPr="00A27E6F" w:rsidR="00741E3B">
              <w:rPr>
                <w:rFonts w:cstheme="minorHAnsi"/>
                <w:color w:val="auto"/>
                <w:sz w:val="20"/>
                <w:szCs w:val="20"/>
                <w:lang w:eastAsia="cs-CZ"/>
              </w:rPr>
              <w:t> 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Praze </w:t>
            </w:r>
          </w:p>
        </w:tc>
      </w:tr>
      <w:tr w:rsidRPr="00A27E6F" w:rsidR="00914682" w:rsidTr="112AC459" w14:paraId="15B98F50" w14:textId="77777777">
        <w:tc>
          <w:tcPr>
            <w:tcW w:w="2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63CF37EE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Souhrnné náklady realizace financované z</w:t>
            </w:r>
            <w:r w:rsidRPr="00A27E6F" w:rsidR="00741E3B">
              <w:rPr>
                <w:rFonts w:cstheme="minorHAnsi"/>
                <w:color w:val="auto"/>
                <w:sz w:val="20"/>
                <w:szCs w:val="20"/>
                <w:lang w:eastAsia="cs-CZ"/>
              </w:rPr>
              <w:t> 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RRF za celé období</w:t>
            </w:r>
          </w:p>
        </w:tc>
        <w:tc>
          <w:tcPr>
            <w:tcW w:w="7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7A6F3C" w:rsidRDefault="008C05AD" w14:paraId="1FA19ABA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1200</w:t>
            </w:r>
            <w:r w:rsidRPr="00A27E6F" w:rsidR="00EE271E">
              <w:rPr>
                <w:rFonts w:cstheme="minorHAnsi"/>
                <w:color w:val="auto"/>
                <w:sz w:val="20"/>
                <w:szCs w:val="20"/>
                <w:lang w:eastAsia="cs-CZ"/>
              </w:rPr>
              <w:t>,0</w:t>
            </w:r>
            <w:r w:rsidRPr="00A27E6F" w:rsidR="00F91337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 mil. Kč</w:t>
            </w:r>
          </w:p>
        </w:tc>
      </w:tr>
      <w:tr w:rsidRPr="00A27E6F" w:rsidR="00914682" w:rsidTr="112AC459" w14:paraId="2F79209D" w14:textId="77777777">
        <w:tc>
          <w:tcPr>
            <w:tcW w:w="2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0ABBBD51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Dodržování pravidel státní podpory</w:t>
            </w:r>
          </w:p>
        </w:tc>
        <w:tc>
          <w:tcPr>
            <w:tcW w:w="7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7A6F3C" w:rsidRDefault="009D1EAD" w14:paraId="5F5A8A51" w14:textId="0CFF662A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MMR zatím nemá stanoveny podmínky za jakých bude podporovat dobíjecí/plnicí infrastrukturu v rámci IROP</w:t>
            </w:r>
            <w:r w:rsidRPr="00A27E6F" w:rsidR="00F43705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.</w:t>
            </w:r>
            <w:r w:rsidRPr="00A27E6F" w:rsidR="005163EF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Pr="00A27E6F" w:rsidR="00F91337" w:rsidTr="112AC459" w14:paraId="14619B95" w14:textId="77777777">
        <w:tc>
          <w:tcPr>
            <w:tcW w:w="2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54E5030C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Uveďte dobu implementace</w:t>
            </w:r>
          </w:p>
        </w:tc>
        <w:tc>
          <w:tcPr>
            <w:tcW w:w="7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112AC459" w:rsidRDefault="00F91337" w14:paraId="70B2BF4B" w14:textId="6FEB0A06">
            <w:pPr>
              <w:pStyle w:val="Normln"/>
              <w:spacing w:after="120" w:line="240" w:lineRule="auto"/>
              <w:jc w:val="both"/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</w:pPr>
            <w:r w:rsidRPr="112AC459" w:rsidR="00F91337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Plánovaná doba realizace (</w:t>
            </w:r>
            <w:r w:rsidRPr="112AC459" w:rsidR="0DEAB038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2022-202</w:t>
            </w:r>
            <w:r w:rsidRPr="112AC459" w:rsidR="00A45E06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5</w:t>
            </w:r>
            <w:r w:rsidRPr="112AC459" w:rsidR="3AB338BA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)</w:t>
            </w:r>
            <w:r w:rsidRPr="112AC459" w:rsidR="00F91337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. Kdy se očekává dokončení (</w:t>
            </w:r>
            <w:r w:rsidRPr="112AC459" w:rsidR="2747FDD7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 xml:space="preserve">4Q </w:t>
            </w:r>
            <w:r w:rsidRPr="112AC459" w:rsidR="2A011915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202</w:t>
            </w:r>
            <w:r w:rsidRPr="112AC459" w:rsidR="00A45E06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5</w:t>
            </w:r>
            <w:r w:rsidRPr="112AC459" w:rsidR="00F91337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 xml:space="preserve">). </w:t>
            </w:r>
          </w:p>
        </w:tc>
      </w:tr>
    </w:tbl>
    <w:p w:rsidRPr="00A27E6F" w:rsidR="00F91337" w:rsidP="00D10829" w:rsidRDefault="00F91337" w14:paraId="7F9A5600" w14:textId="77777777">
      <w:pPr>
        <w:spacing w:after="120" w:line="240" w:lineRule="auto"/>
        <w:rPr>
          <w:rFonts w:cstheme="minorHAnsi"/>
          <w:color w:val="auto"/>
          <w:sz w:val="20"/>
          <w:szCs w:val="20"/>
        </w:rPr>
      </w:pPr>
    </w:p>
    <w:p w:rsidR="00A27E6F" w:rsidRDefault="00A27E6F" w14:paraId="7E2F07F3" w14:textId="77777777">
      <w:pPr>
        <w:spacing w:after="200" w:line="276" w:lineRule="auto"/>
        <w:rPr>
          <w:rFonts w:cstheme="minorHAnsi"/>
          <w:color w:val="auto"/>
          <w:sz w:val="20"/>
          <w:szCs w:val="20"/>
        </w:rPr>
      </w:pPr>
      <w:r>
        <w:rPr>
          <w:rFonts w:cstheme="minorHAnsi"/>
          <w:color w:val="auto"/>
          <w:sz w:val="20"/>
          <w:szCs w:val="20"/>
        </w:rPr>
        <w:br w:type="page"/>
      </w:r>
    </w:p>
    <w:p w:rsidRPr="00A27E6F" w:rsidR="00F91337" w:rsidP="00D10829" w:rsidRDefault="00F91337" w14:paraId="5EE24B03" w14:textId="6D50DFAC">
      <w:pPr>
        <w:spacing w:after="120" w:line="240" w:lineRule="auto"/>
        <w:rPr>
          <w:rFonts w:cstheme="minorHAnsi"/>
          <w:b/>
          <w:color w:val="auto"/>
          <w:sz w:val="20"/>
          <w:szCs w:val="20"/>
        </w:rPr>
      </w:pPr>
      <w:r w:rsidRPr="00A27E6F">
        <w:rPr>
          <w:rFonts w:cstheme="minorHAnsi"/>
          <w:b/>
          <w:color w:val="auto"/>
          <w:sz w:val="20"/>
          <w:szCs w:val="20"/>
        </w:rPr>
        <w:lastRenderedPageBreak/>
        <w:t xml:space="preserve">Budování neveřejné infrastruktury                    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7214"/>
      </w:tblGrid>
      <w:tr w:rsidRPr="00A27E6F" w:rsidR="00914682" w:rsidTr="112AC459" w14:paraId="36937912" w14:textId="77777777">
        <w:tc>
          <w:tcPr>
            <w:tcW w:w="2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2A64AC99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Výzva</w:t>
            </w:r>
          </w:p>
        </w:tc>
        <w:tc>
          <w:tcPr>
            <w:tcW w:w="7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27E6F" w:rsidR="00F91337" w:rsidP="007A6F3C" w:rsidRDefault="009D1EAD" w14:paraId="733E42BE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Nedostatek neveřejné dobíjecí infrastruktury</w:t>
            </w:r>
          </w:p>
        </w:tc>
      </w:tr>
      <w:tr w:rsidRPr="00A27E6F" w:rsidR="00914682" w:rsidTr="112AC459" w14:paraId="3968A571" w14:textId="77777777">
        <w:tc>
          <w:tcPr>
            <w:tcW w:w="2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52987FBB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7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5CEDD745" w:rsidRDefault="00F91337" w14:paraId="3F68FAC1" w14:textId="3CFF1760">
            <w:pPr>
              <w:spacing w:after="120" w:line="240" w:lineRule="auto"/>
              <w:jc w:val="both"/>
              <w:rPr>
                <w:color w:val="auto"/>
                <w:sz w:val="20"/>
                <w:szCs w:val="20"/>
                <w:lang w:eastAsia="cs-CZ"/>
              </w:rPr>
            </w:pPr>
            <w:r w:rsidRPr="5CEDD745">
              <w:rPr>
                <w:color w:val="auto"/>
                <w:sz w:val="20"/>
                <w:szCs w:val="20"/>
                <w:lang w:eastAsia="cs-CZ"/>
              </w:rPr>
              <w:t>Rozšíření počtu neveřejných dobíjecích bodů u</w:t>
            </w:r>
            <w:r w:rsidRPr="5CEDD745" w:rsidR="00741E3B">
              <w:rPr>
                <w:color w:val="auto"/>
                <w:sz w:val="20"/>
                <w:szCs w:val="20"/>
                <w:lang w:eastAsia="cs-CZ"/>
              </w:rPr>
              <w:t> </w:t>
            </w:r>
            <w:r w:rsidRPr="5CEDD745">
              <w:rPr>
                <w:color w:val="auto"/>
                <w:sz w:val="20"/>
                <w:szCs w:val="20"/>
                <w:lang w:eastAsia="cs-CZ"/>
              </w:rPr>
              <w:t>podnikatelů o</w:t>
            </w:r>
            <w:r w:rsidRPr="5CEDD745" w:rsidR="00741E3B">
              <w:rPr>
                <w:color w:val="auto"/>
                <w:sz w:val="20"/>
                <w:szCs w:val="20"/>
                <w:lang w:eastAsia="cs-CZ"/>
              </w:rPr>
              <w:t> </w:t>
            </w:r>
            <w:r w:rsidRPr="5CEDD745">
              <w:rPr>
                <w:color w:val="auto"/>
                <w:sz w:val="20"/>
                <w:szCs w:val="20"/>
                <w:lang w:eastAsia="cs-CZ"/>
              </w:rPr>
              <w:t>1 </w:t>
            </w:r>
            <w:r w:rsidRPr="5CEDD745" w:rsidR="31AD74A6">
              <w:rPr>
                <w:color w:val="auto"/>
                <w:sz w:val="20"/>
                <w:szCs w:val="20"/>
                <w:lang w:eastAsia="cs-CZ"/>
              </w:rPr>
              <w:t>500</w:t>
            </w:r>
            <w:r w:rsidRPr="5CEDD745">
              <w:rPr>
                <w:color w:val="auto"/>
                <w:sz w:val="20"/>
                <w:szCs w:val="20"/>
                <w:lang w:eastAsia="cs-CZ"/>
              </w:rPr>
              <w:t xml:space="preserve"> ks </w:t>
            </w:r>
          </w:p>
        </w:tc>
      </w:tr>
      <w:tr w:rsidRPr="00A27E6F" w:rsidR="00914682" w:rsidTr="112AC459" w14:paraId="2BB337F1" w14:textId="77777777">
        <w:tc>
          <w:tcPr>
            <w:tcW w:w="2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7E9FA608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Implementace</w:t>
            </w:r>
          </w:p>
        </w:tc>
        <w:tc>
          <w:tcPr>
            <w:tcW w:w="7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7A6F3C" w:rsidRDefault="00F91337" w14:paraId="4DB173C5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Podnikatelské </w:t>
            </w:r>
            <w:r w:rsidRPr="00A27E6F" w:rsidR="009C1C3A">
              <w:rPr>
                <w:rFonts w:cstheme="minorHAnsi"/>
                <w:color w:val="auto"/>
                <w:sz w:val="20"/>
                <w:szCs w:val="20"/>
                <w:lang w:eastAsia="cs-CZ"/>
              </w:rPr>
              <w:t>subjekty – gesce MPO</w:t>
            </w:r>
          </w:p>
        </w:tc>
      </w:tr>
      <w:tr w:rsidRPr="00A27E6F" w:rsidR="00914682" w:rsidTr="112AC459" w14:paraId="32278B14" w14:textId="77777777">
        <w:trPr>
          <w:trHeight w:val="70"/>
        </w:trPr>
        <w:tc>
          <w:tcPr>
            <w:tcW w:w="2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1575D732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Spolupráce a</w:t>
            </w:r>
            <w:r w:rsidRPr="00A27E6F" w:rsidR="00741E3B">
              <w:rPr>
                <w:rFonts w:cstheme="minorHAnsi"/>
                <w:color w:val="auto"/>
                <w:sz w:val="20"/>
                <w:szCs w:val="20"/>
                <w:lang w:eastAsia="cs-CZ"/>
              </w:rPr>
              <w:t> 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zapojení zúčastněných stran</w:t>
            </w:r>
          </w:p>
        </w:tc>
        <w:tc>
          <w:tcPr>
            <w:tcW w:w="7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7A6F3C" w:rsidRDefault="00F91337" w14:paraId="64CD46F1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Podnikatelské subjekty jako vlastníci dobíjecí infrastruktury,</w:t>
            </w:r>
            <w:r w:rsidRPr="00A27E6F" w:rsidR="007A6F3C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jejich elektromobily, firmy zabývající se výstavbou dobíjecích stanice</w:t>
            </w:r>
          </w:p>
        </w:tc>
      </w:tr>
      <w:tr w:rsidRPr="00A27E6F" w:rsidR="00914682" w:rsidTr="112AC459" w14:paraId="5485EC8B" w14:textId="77777777">
        <w:tc>
          <w:tcPr>
            <w:tcW w:w="2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320F5DF3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Překážky a</w:t>
            </w:r>
            <w:r w:rsidRPr="00A27E6F" w:rsidR="00741E3B">
              <w:rPr>
                <w:rFonts w:cstheme="minorHAnsi"/>
                <w:color w:val="auto"/>
                <w:sz w:val="20"/>
                <w:szCs w:val="20"/>
                <w:lang w:eastAsia="cs-CZ"/>
              </w:rPr>
              <w:t> 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rizika</w:t>
            </w:r>
          </w:p>
        </w:tc>
        <w:tc>
          <w:tcPr>
            <w:tcW w:w="7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7A6F3C" w:rsidRDefault="00F91337" w14:paraId="12940B65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Dlouhodobé schvalovací procesy výstavby, dlouhodobost připojení nových objektů do sítě</w:t>
            </w:r>
          </w:p>
        </w:tc>
      </w:tr>
      <w:tr w:rsidRPr="00A27E6F" w:rsidR="00914682" w:rsidTr="112AC459" w14:paraId="46C6BCB4" w14:textId="77777777">
        <w:tc>
          <w:tcPr>
            <w:tcW w:w="2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30D07BF2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Cílové skupiny populace a</w:t>
            </w:r>
            <w:r w:rsidRPr="00A27E6F" w:rsidR="00741E3B">
              <w:rPr>
                <w:rFonts w:cstheme="minorHAnsi"/>
                <w:color w:val="auto"/>
                <w:sz w:val="20"/>
                <w:szCs w:val="20"/>
                <w:lang w:eastAsia="cs-CZ"/>
              </w:rPr>
              <w:t> 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ekonomické subjekty</w:t>
            </w:r>
          </w:p>
        </w:tc>
        <w:tc>
          <w:tcPr>
            <w:tcW w:w="7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7A6F3C" w:rsidRDefault="00F91337" w14:paraId="492FB886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A27E6F" w:rsidR="009D1EAD">
              <w:rPr>
                <w:rFonts w:cstheme="minorHAnsi"/>
                <w:color w:val="auto"/>
                <w:sz w:val="20"/>
                <w:szCs w:val="20"/>
                <w:lang w:eastAsia="cs-CZ"/>
              </w:rPr>
              <w:t>Podnikatelé</w:t>
            </w:r>
          </w:p>
        </w:tc>
      </w:tr>
      <w:tr w:rsidRPr="00A27E6F" w:rsidR="00914682" w:rsidTr="112AC459" w14:paraId="2EB8F9A3" w14:textId="77777777">
        <w:tc>
          <w:tcPr>
            <w:tcW w:w="2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51421EEE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Souhrnné náklady realizace financované z</w:t>
            </w:r>
            <w:r w:rsidRPr="00A27E6F" w:rsidR="00741E3B">
              <w:rPr>
                <w:rFonts w:cstheme="minorHAnsi"/>
                <w:color w:val="auto"/>
                <w:sz w:val="20"/>
                <w:szCs w:val="20"/>
                <w:lang w:eastAsia="cs-CZ"/>
              </w:rPr>
              <w:t> 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RRF za celé období</w:t>
            </w:r>
          </w:p>
        </w:tc>
        <w:tc>
          <w:tcPr>
            <w:tcW w:w="7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7A6F3C" w:rsidRDefault="00F91337" w14:paraId="70A96C9F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300 mil. Kč  </w:t>
            </w:r>
          </w:p>
        </w:tc>
      </w:tr>
      <w:tr w:rsidRPr="00A27E6F" w:rsidR="00914682" w:rsidTr="112AC459" w14:paraId="284990E4" w14:textId="77777777">
        <w:tc>
          <w:tcPr>
            <w:tcW w:w="2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094DAF05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Dodržování pravidel státní podpory</w:t>
            </w:r>
          </w:p>
        </w:tc>
        <w:tc>
          <w:tcPr>
            <w:tcW w:w="7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7A6F3C" w:rsidRDefault="009D1EAD" w14:paraId="04400D44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Podpora bude poskytována v režimu de </w:t>
            </w:r>
            <w:proofErr w:type="spellStart"/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minimis</w:t>
            </w:r>
            <w:proofErr w:type="spellEnd"/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.</w:t>
            </w:r>
            <w:r w:rsidRPr="00A27E6F" w:rsidR="005163E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A27E6F" w:rsidR="005163EF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DPH nebude uznáváno jako způsobilý výdaj.</w:t>
            </w:r>
          </w:p>
        </w:tc>
      </w:tr>
      <w:tr w:rsidRPr="00A27E6F" w:rsidR="00F91337" w:rsidTr="112AC459" w14:paraId="3A6FDC3F" w14:textId="77777777">
        <w:tc>
          <w:tcPr>
            <w:tcW w:w="2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29485498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Uveďte dobu implementace</w:t>
            </w:r>
          </w:p>
        </w:tc>
        <w:tc>
          <w:tcPr>
            <w:tcW w:w="7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112AC459" w:rsidRDefault="008B40DF" w14:paraId="56E215EC" w14:textId="57DF941E">
            <w:pPr>
              <w:pStyle w:val="Normln"/>
              <w:spacing w:after="120" w:line="240" w:lineRule="auto"/>
              <w:jc w:val="both"/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</w:pPr>
            <w:r w:rsidRPr="112AC459" w:rsidR="2C71E795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Plánovaná doba realizace (</w:t>
            </w:r>
            <w:r w:rsidRPr="112AC459" w:rsidR="0DEAB038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2022-202</w:t>
            </w:r>
            <w:r w:rsidRPr="112AC459" w:rsidR="00A45E06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5</w:t>
            </w:r>
            <w:r w:rsidRPr="112AC459" w:rsidR="2C71E795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). Kdy se očekává dokončení (</w:t>
            </w:r>
            <w:r w:rsidRPr="112AC459" w:rsidR="4B7017D7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 xml:space="preserve">4Q </w:t>
            </w:r>
            <w:r w:rsidRPr="112AC459" w:rsidR="2A011915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202</w:t>
            </w:r>
            <w:r w:rsidRPr="112AC459" w:rsidR="00A45E06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5</w:t>
            </w:r>
            <w:r w:rsidRPr="112AC459" w:rsidR="2C71E795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).</w:t>
            </w:r>
          </w:p>
        </w:tc>
      </w:tr>
    </w:tbl>
    <w:p w:rsidRPr="00A27E6F" w:rsidR="00F91337" w:rsidP="00D10829" w:rsidRDefault="00F91337" w14:paraId="70612ABC" w14:textId="77777777">
      <w:pPr>
        <w:spacing w:after="120" w:line="240" w:lineRule="auto"/>
        <w:rPr>
          <w:rFonts w:cstheme="minorHAnsi"/>
          <w:color w:val="auto"/>
          <w:sz w:val="20"/>
          <w:szCs w:val="20"/>
        </w:rPr>
      </w:pPr>
    </w:p>
    <w:p w:rsidRPr="00A27E6F" w:rsidR="00F91337" w:rsidP="00D10829" w:rsidRDefault="00F91337" w14:paraId="6253A88E" w14:textId="52A1C6FD">
      <w:pPr>
        <w:spacing w:after="120" w:line="240" w:lineRule="auto"/>
        <w:rPr>
          <w:rFonts w:cstheme="minorHAnsi"/>
          <w:b/>
          <w:color w:val="auto"/>
          <w:sz w:val="20"/>
          <w:szCs w:val="20"/>
        </w:rPr>
      </w:pPr>
      <w:r w:rsidRPr="00A27E6F">
        <w:rPr>
          <w:rFonts w:cstheme="minorHAnsi"/>
          <w:b/>
          <w:color w:val="auto"/>
          <w:sz w:val="20"/>
          <w:szCs w:val="20"/>
        </w:rPr>
        <w:t>Budování infrastruktury – dobíjecí stanic</w:t>
      </w:r>
      <w:r w:rsidRPr="00A27E6F" w:rsidR="008A3CDA">
        <w:rPr>
          <w:rFonts w:cstheme="minorHAnsi"/>
          <w:b/>
          <w:color w:val="auto"/>
          <w:sz w:val="20"/>
          <w:szCs w:val="20"/>
        </w:rPr>
        <w:t>e</w:t>
      </w:r>
      <w:r w:rsidRPr="00A27E6F">
        <w:rPr>
          <w:rFonts w:cstheme="minorHAnsi"/>
          <w:b/>
          <w:color w:val="auto"/>
          <w:sz w:val="20"/>
          <w:szCs w:val="20"/>
        </w:rPr>
        <w:t xml:space="preserve"> pro obytné budovy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7214"/>
      </w:tblGrid>
      <w:tr w:rsidRPr="00A27E6F" w:rsidR="00914682" w:rsidTr="112AC459" w14:paraId="7EA70692" w14:textId="77777777">
        <w:tc>
          <w:tcPr>
            <w:tcW w:w="2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3E763C88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Výzva</w:t>
            </w:r>
          </w:p>
        </w:tc>
        <w:tc>
          <w:tcPr>
            <w:tcW w:w="7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27E6F" w:rsidR="00F91337" w:rsidP="00673284" w:rsidRDefault="009D1EAD" w14:paraId="58FD0B4A" w14:textId="774FBA16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Nedostatek dobíjecích stanic </w:t>
            </w:r>
            <w:r w:rsidRPr="00A27E6F" w:rsidR="00673284">
              <w:rPr>
                <w:rFonts w:cstheme="minorHAnsi"/>
                <w:color w:val="auto"/>
                <w:sz w:val="20"/>
                <w:szCs w:val="20"/>
                <w:lang w:eastAsia="cs-CZ"/>
              </w:rPr>
              <w:t>v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 obytn</w:t>
            </w:r>
            <w:r w:rsidRPr="00A27E6F" w:rsidR="00673284">
              <w:rPr>
                <w:rFonts w:cstheme="minorHAnsi"/>
                <w:color w:val="auto"/>
                <w:sz w:val="20"/>
                <w:szCs w:val="20"/>
                <w:lang w:eastAsia="cs-CZ"/>
              </w:rPr>
              <w:t>ých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 budov</w:t>
            </w:r>
            <w:r w:rsidRPr="00A27E6F" w:rsidR="00673284">
              <w:rPr>
                <w:rFonts w:cstheme="minorHAnsi"/>
                <w:color w:val="auto"/>
                <w:sz w:val="20"/>
                <w:szCs w:val="20"/>
                <w:lang w:eastAsia="cs-CZ"/>
              </w:rPr>
              <w:t>ách</w:t>
            </w:r>
          </w:p>
        </w:tc>
      </w:tr>
      <w:tr w:rsidRPr="00A27E6F" w:rsidR="00914682" w:rsidTr="112AC459" w14:paraId="6A21DFED" w14:textId="77777777">
        <w:tc>
          <w:tcPr>
            <w:tcW w:w="2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68B4166F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7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673284" w:rsidRDefault="00F91337" w14:paraId="5FCD82DA" w14:textId="6099A5AA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Vybudování </w:t>
            </w:r>
            <w:r w:rsidRPr="00A27E6F" w:rsidR="00673284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chytrých 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dobíjecích stanic </w:t>
            </w:r>
            <w:r w:rsidRPr="00A27E6F" w:rsidR="00673284">
              <w:rPr>
                <w:rFonts w:cstheme="minorHAnsi"/>
                <w:color w:val="auto"/>
                <w:sz w:val="20"/>
                <w:szCs w:val="20"/>
                <w:lang w:eastAsia="cs-CZ"/>
              </w:rPr>
              <w:t>v rodinných a bytových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 dom</w:t>
            </w:r>
            <w:r w:rsidRPr="00A27E6F" w:rsidR="00673284">
              <w:rPr>
                <w:rFonts w:cstheme="minorHAnsi"/>
                <w:color w:val="auto"/>
                <w:sz w:val="20"/>
                <w:szCs w:val="20"/>
                <w:lang w:eastAsia="cs-CZ"/>
              </w:rPr>
              <w:t>ech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 jak v</w:t>
            </w:r>
            <w:r w:rsidRPr="00A27E6F" w:rsidR="00741E3B">
              <w:rPr>
                <w:rFonts w:cstheme="minorHAnsi"/>
                <w:color w:val="auto"/>
                <w:sz w:val="20"/>
                <w:szCs w:val="20"/>
                <w:lang w:eastAsia="cs-CZ"/>
              </w:rPr>
              <w:t> 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soukromých garážích, tak na souvisejících parkovacích místech</w:t>
            </w:r>
            <w:r w:rsidRPr="00A27E6F" w:rsidR="00673284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 vyhrazených pro obyvatele daného domu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. Rozšíření dobíjecí </w:t>
            </w:r>
            <w:r w:rsidRPr="00A27E6F" w:rsidR="000C74A7">
              <w:rPr>
                <w:rFonts w:cstheme="minorHAnsi"/>
                <w:color w:val="auto"/>
                <w:sz w:val="20"/>
                <w:szCs w:val="20"/>
                <w:lang w:eastAsia="cs-CZ"/>
              </w:rPr>
              <w:t>infrastruktury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 pro obytné budovy o</w:t>
            </w:r>
            <w:r w:rsidRPr="00A27E6F" w:rsidR="00741E3B">
              <w:rPr>
                <w:rFonts w:cstheme="minorHAnsi"/>
                <w:color w:val="auto"/>
                <w:sz w:val="20"/>
                <w:szCs w:val="20"/>
                <w:lang w:eastAsia="cs-CZ"/>
              </w:rPr>
              <w:t> </w:t>
            </w:r>
            <w:r w:rsidRPr="00A27E6F" w:rsidR="000C74A7">
              <w:rPr>
                <w:rFonts w:cstheme="minorHAnsi"/>
                <w:color w:val="auto"/>
                <w:sz w:val="20"/>
                <w:szCs w:val="20"/>
                <w:lang w:eastAsia="cs-CZ"/>
              </w:rPr>
              <w:t>2880</w:t>
            </w:r>
            <w:r w:rsidRPr="00A27E6F" w:rsidR="008B40D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dobíjecích bodů</w:t>
            </w:r>
          </w:p>
        </w:tc>
      </w:tr>
      <w:tr w:rsidRPr="00A27E6F" w:rsidR="00914682" w:rsidTr="112AC459" w14:paraId="4E5D87CA" w14:textId="77777777">
        <w:tc>
          <w:tcPr>
            <w:tcW w:w="2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3098752B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Implementace</w:t>
            </w:r>
          </w:p>
        </w:tc>
        <w:tc>
          <w:tcPr>
            <w:tcW w:w="7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284C36" w:rsidRDefault="00F91337" w14:paraId="63D3C5F1" w14:textId="017547E6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Sdružení vlastníků bytů, majitelé obytných domů</w:t>
            </w:r>
            <w:r w:rsidRPr="00A27E6F" w:rsidR="009C1C3A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 – </w:t>
            </w:r>
            <w:r w:rsidRPr="00A27E6F" w:rsidR="00284C36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program Nová zelená úsporám v </w:t>
            </w:r>
            <w:r w:rsidRPr="00A27E6F" w:rsidR="009C1C3A">
              <w:rPr>
                <w:rFonts w:cstheme="minorHAnsi"/>
                <w:color w:val="auto"/>
                <w:sz w:val="20"/>
                <w:szCs w:val="20"/>
                <w:lang w:eastAsia="cs-CZ"/>
              </w:rPr>
              <w:t>gesc</w:t>
            </w:r>
            <w:r w:rsidRPr="00A27E6F" w:rsidR="00284C36">
              <w:rPr>
                <w:rFonts w:cstheme="minorHAnsi"/>
                <w:color w:val="auto"/>
                <w:sz w:val="20"/>
                <w:szCs w:val="20"/>
                <w:lang w:eastAsia="cs-CZ"/>
              </w:rPr>
              <w:t>i</w:t>
            </w:r>
            <w:r w:rsidRPr="00A27E6F" w:rsidR="009C1C3A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A27E6F" w:rsidR="000367FF">
              <w:rPr>
                <w:rFonts w:cstheme="minorHAnsi"/>
                <w:color w:val="auto"/>
                <w:sz w:val="20"/>
                <w:szCs w:val="20"/>
                <w:lang w:eastAsia="cs-CZ"/>
              </w:rPr>
              <w:t>MŽP</w:t>
            </w:r>
          </w:p>
        </w:tc>
      </w:tr>
      <w:tr w:rsidRPr="00A27E6F" w:rsidR="00914682" w:rsidTr="112AC459" w14:paraId="70988401" w14:textId="77777777">
        <w:trPr>
          <w:trHeight w:val="70"/>
        </w:trPr>
        <w:tc>
          <w:tcPr>
            <w:tcW w:w="2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752F3708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Spolupráce a</w:t>
            </w:r>
            <w:r w:rsidRPr="00A27E6F" w:rsidR="00741E3B">
              <w:rPr>
                <w:rFonts w:cstheme="minorHAnsi"/>
                <w:color w:val="auto"/>
                <w:sz w:val="20"/>
                <w:szCs w:val="20"/>
                <w:lang w:eastAsia="cs-CZ"/>
              </w:rPr>
              <w:t> 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zapojení zúčastněných stran</w:t>
            </w:r>
          </w:p>
        </w:tc>
        <w:tc>
          <w:tcPr>
            <w:tcW w:w="7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7A6F3C" w:rsidRDefault="00F91337" w14:paraId="2F5F2844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Sdružení vlastníků bytů, majitelé obytných domů, firmy budující dobíjecí infrastrukturu </w:t>
            </w:r>
          </w:p>
        </w:tc>
      </w:tr>
      <w:tr w:rsidRPr="00A27E6F" w:rsidR="00914682" w:rsidTr="112AC459" w14:paraId="0860E8FB" w14:textId="77777777">
        <w:tc>
          <w:tcPr>
            <w:tcW w:w="2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260D0942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Překážky a</w:t>
            </w:r>
            <w:r w:rsidRPr="00A27E6F" w:rsidR="00741E3B">
              <w:rPr>
                <w:rFonts w:cstheme="minorHAnsi"/>
                <w:color w:val="auto"/>
                <w:sz w:val="20"/>
                <w:szCs w:val="20"/>
                <w:lang w:eastAsia="cs-CZ"/>
              </w:rPr>
              <w:t> 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rizika</w:t>
            </w:r>
          </w:p>
        </w:tc>
        <w:tc>
          <w:tcPr>
            <w:tcW w:w="7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7A6F3C" w:rsidRDefault="00F91337" w14:paraId="5D28FC38" w14:textId="0B53ED91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Dlouhodobé schvalovací procesy výstavby, dlouhodobost připojení nových objektů do sítě, </w:t>
            </w:r>
            <w:r w:rsidRPr="00A27E6F" w:rsidR="00673284">
              <w:rPr>
                <w:rFonts w:cstheme="minorHAnsi"/>
                <w:color w:val="auto"/>
                <w:sz w:val="20"/>
                <w:szCs w:val="20"/>
                <w:lang w:eastAsia="cs-CZ"/>
              </w:rPr>
              <w:t>v případě bytových domů ve společném vlastnictví n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utnost souhlasu všech vlastníků SVJ</w:t>
            </w:r>
          </w:p>
        </w:tc>
      </w:tr>
      <w:tr w:rsidRPr="00A27E6F" w:rsidR="00914682" w:rsidTr="112AC459" w14:paraId="4247A9DB" w14:textId="77777777">
        <w:tc>
          <w:tcPr>
            <w:tcW w:w="2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08D6A999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Cílové skupiny populace a</w:t>
            </w:r>
            <w:r w:rsidRPr="00A27E6F" w:rsidR="00741E3B">
              <w:rPr>
                <w:rFonts w:cstheme="minorHAnsi"/>
                <w:color w:val="auto"/>
                <w:sz w:val="20"/>
                <w:szCs w:val="20"/>
                <w:lang w:eastAsia="cs-CZ"/>
              </w:rPr>
              <w:t> 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ekonomické subjekty</w:t>
            </w:r>
          </w:p>
        </w:tc>
        <w:tc>
          <w:tcPr>
            <w:tcW w:w="7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673284" w:rsidRDefault="00F91337" w14:paraId="2E34FFD7" w14:textId="0D8015AA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Majitelé elektromobilů, žijící v</w:t>
            </w:r>
            <w:r w:rsidRPr="00A27E6F" w:rsidR="00673284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 rodinných a 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bytových domech, kteří</w:t>
            </w:r>
            <w:r w:rsidRPr="00A27E6F" w:rsidR="00673284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 tak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 budou moci dobíjet </w:t>
            </w:r>
            <w:r w:rsidRPr="00A27E6F" w:rsidR="00673284">
              <w:rPr>
                <w:rFonts w:cstheme="minorHAnsi"/>
                <w:color w:val="auto"/>
                <w:sz w:val="20"/>
                <w:szCs w:val="20"/>
                <w:lang w:eastAsia="cs-CZ"/>
              </w:rPr>
              <w:t>své elektromobily ve svém domě (tj. v místě, kde se elektromobil nachází nejdelší dobu)</w:t>
            </w:r>
            <w:r w:rsidRPr="00A27E6F" w:rsidR="00284C36">
              <w:rPr>
                <w:rFonts w:cstheme="minorHAnsi"/>
                <w:color w:val="auto"/>
                <w:sz w:val="20"/>
                <w:szCs w:val="20"/>
                <w:lang w:eastAsia="cs-CZ"/>
              </w:rPr>
              <w:t>, příjemci podpory budou vybíráni standar</w:t>
            </w:r>
            <w:r w:rsidRPr="00A27E6F" w:rsidR="003F753F">
              <w:rPr>
                <w:rFonts w:cstheme="minorHAnsi"/>
                <w:color w:val="auto"/>
                <w:sz w:val="20"/>
                <w:szCs w:val="20"/>
                <w:lang w:eastAsia="cs-CZ"/>
              </w:rPr>
              <w:t>t</w:t>
            </w:r>
            <w:r w:rsidRPr="00A27E6F" w:rsidR="00284C36">
              <w:rPr>
                <w:rFonts w:cstheme="minorHAnsi"/>
                <w:color w:val="auto"/>
                <w:sz w:val="20"/>
                <w:szCs w:val="20"/>
                <w:lang w:eastAsia="cs-CZ"/>
              </w:rPr>
              <w:t>ním výběrovým p</w:t>
            </w:r>
            <w:r w:rsidRPr="00A27E6F" w:rsidR="003F753F">
              <w:rPr>
                <w:rFonts w:cstheme="minorHAnsi"/>
                <w:color w:val="auto"/>
                <w:sz w:val="20"/>
                <w:szCs w:val="20"/>
                <w:lang w:eastAsia="cs-CZ"/>
              </w:rPr>
              <w:t>r</w:t>
            </w:r>
            <w:r w:rsidRPr="00A27E6F" w:rsidR="00284C36">
              <w:rPr>
                <w:rFonts w:cstheme="minorHAnsi"/>
                <w:color w:val="auto"/>
                <w:sz w:val="20"/>
                <w:szCs w:val="20"/>
                <w:lang w:eastAsia="cs-CZ"/>
              </w:rPr>
              <w:t>ocesem programu Nová zelená úsporám 2030</w:t>
            </w:r>
          </w:p>
        </w:tc>
      </w:tr>
      <w:tr w:rsidRPr="00A27E6F" w:rsidR="00914682" w:rsidTr="112AC459" w14:paraId="3A487651" w14:textId="77777777">
        <w:tc>
          <w:tcPr>
            <w:tcW w:w="2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524C0CBA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Souhrnné náklady realizace financované z</w:t>
            </w:r>
            <w:r w:rsidRPr="00A27E6F" w:rsidR="00741E3B">
              <w:rPr>
                <w:rFonts w:cstheme="minorHAnsi"/>
                <w:color w:val="auto"/>
                <w:sz w:val="20"/>
                <w:szCs w:val="20"/>
                <w:lang w:eastAsia="cs-CZ"/>
              </w:rPr>
              <w:t> 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RRF za celé období</w:t>
            </w:r>
          </w:p>
        </w:tc>
        <w:tc>
          <w:tcPr>
            <w:tcW w:w="7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7A6F3C" w:rsidRDefault="00F91337" w14:paraId="4A911110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1</w:t>
            </w:r>
            <w:r w:rsidRPr="00A27E6F" w:rsidR="000C74A7">
              <w:rPr>
                <w:rFonts w:cstheme="minorHAnsi"/>
                <w:color w:val="auto"/>
                <w:sz w:val="20"/>
                <w:szCs w:val="20"/>
                <w:lang w:eastAsia="cs-CZ"/>
              </w:rPr>
              <w:t>44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 mil. Kč</w:t>
            </w:r>
          </w:p>
        </w:tc>
      </w:tr>
      <w:tr w:rsidRPr="00A27E6F" w:rsidR="00914682" w:rsidTr="112AC459" w14:paraId="19933D05" w14:textId="77777777">
        <w:tc>
          <w:tcPr>
            <w:tcW w:w="2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08EFE3A9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Dodržování pravidel státní podpory</w:t>
            </w:r>
          </w:p>
        </w:tc>
        <w:tc>
          <w:tcPr>
            <w:tcW w:w="7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7A6F3C" w:rsidRDefault="009D1EAD" w14:paraId="75FD82E3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Bude poskytována v režimu de </w:t>
            </w:r>
            <w:proofErr w:type="spellStart"/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minimis</w:t>
            </w:r>
            <w:proofErr w:type="spellEnd"/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.</w:t>
            </w:r>
            <w:r w:rsidRPr="00A27E6F" w:rsidR="005163EF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DPH nebude uznáváno jako způsobilý výdaj.</w:t>
            </w:r>
          </w:p>
        </w:tc>
      </w:tr>
      <w:tr w:rsidRPr="00A27E6F" w:rsidR="00F91337" w:rsidTr="112AC459" w14:paraId="2FAB925F" w14:textId="77777777">
        <w:tc>
          <w:tcPr>
            <w:tcW w:w="2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4098BAB7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Uveďte dobu implementace</w:t>
            </w:r>
          </w:p>
        </w:tc>
        <w:tc>
          <w:tcPr>
            <w:tcW w:w="7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112AC459" w:rsidRDefault="00F91337" w14:paraId="3E3FC669" w14:textId="1276EB3E">
            <w:pPr>
              <w:pStyle w:val="Normln"/>
              <w:spacing w:after="120" w:line="240" w:lineRule="auto"/>
              <w:jc w:val="both"/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</w:pPr>
            <w:r w:rsidRPr="112AC459" w:rsidR="00F91337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Plánovaná doba realizace (</w:t>
            </w:r>
            <w:r w:rsidRPr="112AC459" w:rsidR="0DEAB038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2021-202</w:t>
            </w:r>
            <w:r w:rsidRPr="112AC459" w:rsidR="00A45E06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5</w:t>
            </w:r>
            <w:r w:rsidRPr="112AC459" w:rsidR="00F91337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). Kdy se očekává dokončení (</w:t>
            </w:r>
            <w:r w:rsidRPr="112AC459" w:rsidR="6432F5FC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 xml:space="preserve">4Q </w:t>
            </w:r>
            <w:r w:rsidRPr="112AC459" w:rsidR="2A011915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202</w:t>
            </w:r>
            <w:r w:rsidRPr="112AC459" w:rsidR="00A45E06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5</w:t>
            </w:r>
            <w:r w:rsidRPr="112AC459" w:rsidR="00F91337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).</w:t>
            </w:r>
          </w:p>
        </w:tc>
      </w:tr>
    </w:tbl>
    <w:p w:rsidRPr="00A27E6F" w:rsidR="00F91337" w:rsidP="00D10829" w:rsidRDefault="00F91337" w14:paraId="641B1363" w14:textId="77777777">
      <w:pPr>
        <w:spacing w:after="120" w:line="240" w:lineRule="auto"/>
        <w:rPr>
          <w:rFonts w:cstheme="minorHAnsi"/>
          <w:color w:val="auto"/>
          <w:sz w:val="20"/>
          <w:szCs w:val="20"/>
        </w:rPr>
      </w:pPr>
    </w:p>
    <w:p w:rsidRPr="00A27E6F" w:rsidR="00F91337" w:rsidP="00D10829" w:rsidRDefault="00F91337" w14:paraId="7DC3A4BD" w14:textId="77777777">
      <w:pPr>
        <w:spacing w:after="120" w:line="240" w:lineRule="auto"/>
        <w:rPr>
          <w:rFonts w:cstheme="minorHAnsi"/>
          <w:color w:val="auto"/>
          <w:sz w:val="20"/>
          <w:szCs w:val="20"/>
        </w:rPr>
      </w:pPr>
    </w:p>
    <w:p w:rsidR="00A27E6F" w:rsidRDefault="00A27E6F" w14:paraId="4C82CEA1" w14:textId="77777777">
      <w:pPr>
        <w:spacing w:after="200" w:line="276" w:lineRule="auto"/>
        <w:rPr>
          <w:rFonts w:cstheme="minorHAnsi"/>
          <w:color w:val="auto"/>
          <w:sz w:val="20"/>
          <w:szCs w:val="20"/>
        </w:rPr>
      </w:pPr>
      <w:r>
        <w:rPr>
          <w:rFonts w:cstheme="minorHAnsi"/>
          <w:color w:val="auto"/>
          <w:sz w:val="20"/>
          <w:szCs w:val="20"/>
        </w:rPr>
        <w:br w:type="page"/>
      </w:r>
    </w:p>
    <w:p w:rsidRPr="00A27E6F" w:rsidR="00F91337" w:rsidP="00D10829" w:rsidRDefault="00F91337" w14:paraId="5593D674" w14:textId="513DCE4E">
      <w:pPr>
        <w:spacing w:after="120" w:line="240" w:lineRule="auto"/>
        <w:rPr>
          <w:rFonts w:cstheme="minorHAnsi"/>
          <w:b/>
          <w:color w:val="auto"/>
          <w:sz w:val="20"/>
          <w:szCs w:val="20"/>
        </w:rPr>
      </w:pPr>
      <w:r w:rsidRPr="00A27E6F">
        <w:rPr>
          <w:rFonts w:cstheme="minorHAnsi"/>
          <w:b/>
          <w:color w:val="auto"/>
          <w:sz w:val="20"/>
          <w:szCs w:val="20"/>
        </w:rPr>
        <w:lastRenderedPageBreak/>
        <w:t xml:space="preserve">Podpora nákupu vozidel – </w:t>
      </w:r>
      <w:r w:rsidRPr="00A27E6F" w:rsidR="00521823">
        <w:rPr>
          <w:rFonts w:cstheme="minorHAnsi"/>
          <w:b/>
          <w:color w:val="auto"/>
          <w:sz w:val="20"/>
          <w:szCs w:val="20"/>
        </w:rPr>
        <w:t>v</w:t>
      </w:r>
      <w:r w:rsidRPr="00A27E6F">
        <w:rPr>
          <w:rFonts w:cstheme="minorHAnsi"/>
          <w:b/>
          <w:color w:val="auto"/>
          <w:sz w:val="20"/>
          <w:szCs w:val="20"/>
        </w:rPr>
        <w:t>ozidla (el, H2) pro podnikatelské subjekty včetně E-</w:t>
      </w:r>
      <w:proofErr w:type="spellStart"/>
      <w:r w:rsidRPr="00A27E6F">
        <w:rPr>
          <w:rFonts w:cstheme="minorHAnsi"/>
          <w:b/>
          <w:color w:val="auto"/>
          <w:sz w:val="20"/>
          <w:szCs w:val="20"/>
        </w:rPr>
        <w:t>cargokol</w:t>
      </w:r>
      <w:proofErr w:type="spellEnd"/>
      <w:r w:rsidRPr="00A27E6F">
        <w:rPr>
          <w:rFonts w:cstheme="minorHAnsi"/>
          <w:b/>
          <w:color w:val="auto"/>
          <w:sz w:val="20"/>
          <w:szCs w:val="20"/>
        </w:rPr>
        <w:t xml:space="preserve">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7214"/>
      </w:tblGrid>
      <w:tr w:rsidRPr="00A27E6F" w:rsidR="00914682" w:rsidTr="112AC459" w14:paraId="604BC982" w14:textId="77777777">
        <w:tc>
          <w:tcPr>
            <w:tcW w:w="2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2396FA48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Výzva</w:t>
            </w:r>
          </w:p>
        </w:tc>
        <w:tc>
          <w:tcPr>
            <w:tcW w:w="72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7A6F3C" w:rsidRDefault="00307D70" w14:paraId="720C6356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Malá penetrace vozidel na alternativní paliva u podnikatelských subjektů  </w:t>
            </w:r>
          </w:p>
        </w:tc>
      </w:tr>
      <w:tr w:rsidRPr="00A27E6F" w:rsidR="00914682" w:rsidTr="112AC459" w14:paraId="632F2BE4" w14:textId="77777777">
        <w:tc>
          <w:tcPr>
            <w:tcW w:w="2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567E7663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7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3E8FE825" w:rsidRDefault="14600A8A" w14:paraId="4C909EF6" w14:textId="0ADE585E">
            <w:pPr>
              <w:spacing w:after="120" w:line="240" w:lineRule="auto"/>
              <w:jc w:val="both"/>
              <w:rPr>
                <w:color w:val="auto"/>
                <w:sz w:val="20"/>
                <w:szCs w:val="20"/>
                <w:lang w:eastAsia="cs-CZ"/>
              </w:rPr>
            </w:pPr>
            <w:r w:rsidRPr="3E8FE825">
              <w:rPr>
                <w:color w:val="auto"/>
                <w:sz w:val="20"/>
                <w:szCs w:val="20"/>
                <w:lang w:eastAsia="cs-CZ"/>
              </w:rPr>
              <w:t>Navýšení počtu vozidel na alternativní paliva u</w:t>
            </w:r>
            <w:r w:rsidRPr="3E8FE825" w:rsidR="0BB665D3">
              <w:rPr>
                <w:color w:val="auto"/>
                <w:sz w:val="20"/>
                <w:szCs w:val="20"/>
                <w:lang w:eastAsia="cs-CZ"/>
              </w:rPr>
              <w:t> </w:t>
            </w:r>
            <w:r w:rsidRPr="3E8FE825">
              <w:rPr>
                <w:color w:val="auto"/>
                <w:sz w:val="20"/>
                <w:szCs w:val="20"/>
                <w:lang w:eastAsia="cs-CZ"/>
              </w:rPr>
              <w:t>podnikatelů o</w:t>
            </w:r>
            <w:r w:rsidRPr="3E8FE825" w:rsidR="0BB665D3">
              <w:rPr>
                <w:color w:val="auto"/>
                <w:sz w:val="20"/>
                <w:szCs w:val="20"/>
                <w:lang w:eastAsia="cs-CZ"/>
              </w:rPr>
              <w:t> </w:t>
            </w:r>
            <w:r w:rsidRPr="3E8FE825" w:rsidR="08977640">
              <w:rPr>
                <w:color w:val="auto"/>
                <w:sz w:val="20"/>
                <w:szCs w:val="20"/>
                <w:lang w:eastAsia="cs-CZ"/>
              </w:rPr>
              <w:t xml:space="preserve">4 </w:t>
            </w:r>
            <w:r w:rsidRPr="3E8FE825">
              <w:rPr>
                <w:color w:val="auto"/>
                <w:sz w:val="20"/>
                <w:szCs w:val="20"/>
                <w:lang w:eastAsia="cs-CZ"/>
              </w:rPr>
              <w:t>555</w:t>
            </w:r>
            <w:r w:rsidRPr="3E8FE825">
              <w:rPr>
                <w:color w:val="auto"/>
                <w:sz w:val="20"/>
                <w:szCs w:val="20"/>
                <w:lang w:eastAsia="cs-CZ"/>
              </w:rPr>
              <w:t>ks</w:t>
            </w:r>
          </w:p>
        </w:tc>
      </w:tr>
      <w:tr w:rsidRPr="00A27E6F" w:rsidR="00914682" w:rsidTr="112AC459" w14:paraId="2A069D61" w14:textId="77777777">
        <w:tc>
          <w:tcPr>
            <w:tcW w:w="2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23B3B294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Implementace</w:t>
            </w:r>
          </w:p>
        </w:tc>
        <w:tc>
          <w:tcPr>
            <w:tcW w:w="7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7A6F3C" w:rsidRDefault="00F91337" w14:paraId="3FD6AF0F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Podnikatelské subjekty</w:t>
            </w:r>
            <w:r w:rsidRPr="00A27E6F" w:rsidR="009C1C3A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 – gesce MPO</w:t>
            </w:r>
          </w:p>
        </w:tc>
      </w:tr>
      <w:tr w:rsidRPr="00A27E6F" w:rsidR="00914682" w:rsidTr="112AC459" w14:paraId="479410B2" w14:textId="77777777">
        <w:trPr>
          <w:trHeight w:val="70"/>
        </w:trPr>
        <w:tc>
          <w:tcPr>
            <w:tcW w:w="2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5AD05E4A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Spolupráce a</w:t>
            </w:r>
            <w:r w:rsidRPr="00A27E6F" w:rsidR="00741E3B">
              <w:rPr>
                <w:rFonts w:cstheme="minorHAnsi"/>
                <w:color w:val="auto"/>
                <w:sz w:val="20"/>
                <w:szCs w:val="20"/>
                <w:lang w:eastAsia="cs-CZ"/>
              </w:rPr>
              <w:t> 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zapojení zúčastněných stran</w:t>
            </w:r>
          </w:p>
        </w:tc>
        <w:tc>
          <w:tcPr>
            <w:tcW w:w="7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7A6F3C" w:rsidRDefault="00F91337" w14:paraId="06BE24BD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Podnikatelské subjekty, dopravci, prodejci vozidel, </w:t>
            </w:r>
          </w:p>
        </w:tc>
      </w:tr>
      <w:tr w:rsidRPr="00A27E6F" w:rsidR="00914682" w:rsidTr="112AC459" w14:paraId="7FC69CBB" w14:textId="77777777">
        <w:tc>
          <w:tcPr>
            <w:tcW w:w="2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165152AF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Překážky a</w:t>
            </w:r>
            <w:r w:rsidRPr="00A27E6F" w:rsidR="00741E3B">
              <w:rPr>
                <w:rFonts w:cstheme="minorHAnsi"/>
                <w:color w:val="auto"/>
                <w:sz w:val="20"/>
                <w:szCs w:val="20"/>
                <w:lang w:eastAsia="cs-CZ"/>
              </w:rPr>
              <w:t> 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rizika</w:t>
            </w:r>
          </w:p>
        </w:tc>
        <w:tc>
          <w:tcPr>
            <w:tcW w:w="7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7A6F3C" w:rsidRDefault="00F91337" w14:paraId="48DDCB21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Nedostatek vozidel na trhu, nutnost výběrového řízení  </w:t>
            </w:r>
          </w:p>
        </w:tc>
      </w:tr>
      <w:tr w:rsidRPr="00A27E6F" w:rsidR="00914682" w:rsidTr="112AC459" w14:paraId="62815212" w14:textId="77777777">
        <w:tc>
          <w:tcPr>
            <w:tcW w:w="2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0177B9C8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Cílové skupiny populace a</w:t>
            </w:r>
            <w:r w:rsidRPr="00A27E6F" w:rsidR="00741E3B">
              <w:rPr>
                <w:rFonts w:cstheme="minorHAnsi"/>
                <w:color w:val="auto"/>
                <w:sz w:val="20"/>
                <w:szCs w:val="20"/>
                <w:lang w:eastAsia="cs-CZ"/>
              </w:rPr>
              <w:t> 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ekonomické subjekty</w:t>
            </w:r>
          </w:p>
        </w:tc>
        <w:tc>
          <w:tcPr>
            <w:tcW w:w="7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7A6F3C" w:rsidRDefault="00F91337" w14:paraId="691EED45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Podnikatelské subjekty a</w:t>
            </w:r>
            <w:r w:rsidRPr="00A27E6F" w:rsidR="00741E3B">
              <w:rPr>
                <w:rFonts w:cstheme="minorHAnsi"/>
                <w:color w:val="auto"/>
                <w:sz w:val="20"/>
                <w:szCs w:val="20"/>
                <w:lang w:eastAsia="cs-CZ"/>
              </w:rPr>
              <w:t> 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dopravci,</w:t>
            </w:r>
          </w:p>
        </w:tc>
      </w:tr>
      <w:tr w:rsidRPr="00A27E6F" w:rsidR="00914682" w:rsidTr="112AC459" w14:paraId="5E3C5C81" w14:textId="77777777">
        <w:tc>
          <w:tcPr>
            <w:tcW w:w="2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16367853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Souhrnné náklady realizace financované z</w:t>
            </w:r>
            <w:r w:rsidRPr="00A27E6F" w:rsidR="00741E3B">
              <w:rPr>
                <w:rFonts w:cstheme="minorHAnsi"/>
                <w:color w:val="auto"/>
                <w:sz w:val="20"/>
                <w:szCs w:val="20"/>
                <w:lang w:eastAsia="cs-CZ"/>
              </w:rPr>
              <w:t> 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RRF za celé období</w:t>
            </w:r>
          </w:p>
        </w:tc>
        <w:tc>
          <w:tcPr>
            <w:tcW w:w="7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5CEDD745" w:rsidRDefault="76ECE4E1" w14:paraId="42B2BE53" w14:textId="44A5AFC8">
            <w:pPr>
              <w:spacing w:after="120" w:line="240" w:lineRule="auto"/>
              <w:jc w:val="both"/>
              <w:rPr>
                <w:color w:val="auto"/>
                <w:sz w:val="20"/>
                <w:szCs w:val="20"/>
                <w:lang w:eastAsia="cs-CZ"/>
              </w:rPr>
            </w:pPr>
            <w:r w:rsidRPr="5CEDD745">
              <w:rPr>
                <w:color w:val="auto"/>
                <w:sz w:val="20"/>
                <w:szCs w:val="20"/>
                <w:lang w:eastAsia="cs-CZ"/>
              </w:rPr>
              <w:t>9</w:t>
            </w:r>
            <w:r w:rsidRPr="5CEDD745" w:rsidR="3339E168">
              <w:rPr>
                <w:color w:val="auto"/>
                <w:sz w:val="20"/>
                <w:szCs w:val="20"/>
                <w:lang w:eastAsia="cs-CZ"/>
              </w:rPr>
              <w:t>40</w:t>
            </w:r>
            <w:r w:rsidRPr="5CEDD745" w:rsidR="14600A8A">
              <w:rPr>
                <w:color w:val="auto"/>
                <w:sz w:val="20"/>
                <w:szCs w:val="20"/>
                <w:lang w:eastAsia="cs-CZ"/>
              </w:rPr>
              <w:t xml:space="preserve"> mil. Kč </w:t>
            </w:r>
          </w:p>
        </w:tc>
      </w:tr>
      <w:tr w:rsidRPr="00A27E6F" w:rsidR="00914682" w:rsidTr="112AC459" w14:paraId="48FB8D6C" w14:textId="77777777">
        <w:tc>
          <w:tcPr>
            <w:tcW w:w="2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4CB59F59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Dodržování pravidel státní podpory</w:t>
            </w:r>
          </w:p>
        </w:tc>
        <w:tc>
          <w:tcPr>
            <w:tcW w:w="7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7A6F3C" w:rsidRDefault="00307D70" w14:paraId="6EAEF50B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Podpora se bude řídit podle článku 36 Nařízení Komise (EU) č.  651/2014 ze dne 17. června 2014, kterým se v souladu s články 107 a 108 Smlouvy prohlašují určité kategorie podpory za slučitelné s vnitřním trhem, případně bude poskytována v režimu de </w:t>
            </w:r>
            <w:proofErr w:type="spellStart"/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minimis</w:t>
            </w:r>
            <w:proofErr w:type="spellEnd"/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.</w:t>
            </w:r>
            <w:r w:rsidRPr="00A27E6F" w:rsidR="005163E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A27E6F" w:rsidR="005163EF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DPH nebude uznáváno jako způsobilý výdaj.</w:t>
            </w:r>
          </w:p>
        </w:tc>
      </w:tr>
      <w:tr w:rsidRPr="00A27E6F" w:rsidR="00F91337" w:rsidTr="112AC459" w14:paraId="107AFBE3" w14:textId="77777777">
        <w:tc>
          <w:tcPr>
            <w:tcW w:w="2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756D4DC2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Uveďte dobu implementace</w:t>
            </w:r>
          </w:p>
        </w:tc>
        <w:tc>
          <w:tcPr>
            <w:tcW w:w="7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112AC459" w:rsidRDefault="00F91337" w14:paraId="7D4D1065" w14:textId="5094F37F">
            <w:pPr>
              <w:pStyle w:val="Normln"/>
              <w:spacing w:after="120" w:line="240" w:lineRule="auto"/>
              <w:jc w:val="both"/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</w:pPr>
            <w:r w:rsidRPr="112AC459" w:rsidR="00F91337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Plánovaná doba realizace (</w:t>
            </w:r>
            <w:r w:rsidRPr="112AC459" w:rsidR="0996E1A2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2021-202</w:t>
            </w:r>
            <w:r w:rsidRPr="112AC459" w:rsidR="00A45E06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5</w:t>
            </w:r>
            <w:r w:rsidRPr="112AC459" w:rsidR="00F91337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). Kdy se očekává dokončení (</w:t>
            </w:r>
            <w:r w:rsidRPr="112AC459" w:rsidR="67D42021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 xml:space="preserve">4Q </w:t>
            </w:r>
            <w:r w:rsidRPr="112AC459" w:rsidR="2A011915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202</w:t>
            </w:r>
            <w:r w:rsidRPr="112AC459" w:rsidR="00A45E06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5</w:t>
            </w:r>
            <w:r w:rsidRPr="112AC459" w:rsidR="00F91337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).</w:t>
            </w:r>
          </w:p>
        </w:tc>
      </w:tr>
    </w:tbl>
    <w:p w:rsidRPr="00A27E6F" w:rsidR="00F91337" w:rsidP="00D10829" w:rsidRDefault="00F91337" w14:paraId="591DFD6B" w14:textId="77777777">
      <w:pPr>
        <w:spacing w:after="120" w:line="240" w:lineRule="auto"/>
        <w:rPr>
          <w:rFonts w:cstheme="minorHAnsi"/>
          <w:color w:val="auto"/>
          <w:sz w:val="20"/>
          <w:szCs w:val="20"/>
        </w:rPr>
      </w:pPr>
    </w:p>
    <w:p w:rsidRPr="00A27E6F" w:rsidR="00F91337" w:rsidP="00D10829" w:rsidRDefault="14600A8A" w14:paraId="6E8FD66C" w14:textId="235BBB58">
      <w:pPr>
        <w:spacing w:after="120" w:line="240" w:lineRule="auto"/>
        <w:rPr>
          <w:rFonts w:cstheme="minorHAnsi"/>
          <w:b/>
          <w:color w:val="auto"/>
          <w:sz w:val="20"/>
          <w:szCs w:val="20"/>
        </w:rPr>
      </w:pPr>
      <w:r w:rsidRPr="00A27E6F">
        <w:rPr>
          <w:rFonts w:cstheme="minorHAnsi"/>
          <w:b/>
          <w:color w:val="auto"/>
          <w:sz w:val="20"/>
          <w:szCs w:val="20"/>
        </w:rPr>
        <w:t>Podpora nákupu vozidel</w:t>
      </w:r>
      <w:r w:rsidRPr="00A27E6F" w:rsidR="76ECE4E1">
        <w:rPr>
          <w:rFonts w:cstheme="minorHAnsi"/>
          <w:b/>
          <w:color w:val="auto"/>
          <w:sz w:val="20"/>
          <w:szCs w:val="20"/>
        </w:rPr>
        <w:t xml:space="preserve"> (el. H2) a </w:t>
      </w:r>
      <w:r w:rsidRPr="00A27E6F" w:rsidR="76ECE4E1">
        <w:rPr>
          <w:rFonts w:cstheme="minorHAnsi"/>
          <w:b/>
          <w:sz w:val="20"/>
          <w:szCs w:val="20"/>
        </w:rPr>
        <w:t>neveřejné dobíjecí infrastruktury</w:t>
      </w:r>
      <w:r w:rsidRPr="00A27E6F" w:rsidR="76971B7A">
        <w:rPr>
          <w:rFonts w:cstheme="minorHAnsi"/>
          <w:b/>
          <w:sz w:val="20"/>
          <w:szCs w:val="20"/>
        </w:rPr>
        <w:t xml:space="preserve"> </w:t>
      </w:r>
      <w:r w:rsidRPr="00A27E6F">
        <w:rPr>
          <w:rFonts w:cstheme="minorHAnsi"/>
          <w:b/>
          <w:color w:val="auto"/>
          <w:sz w:val="20"/>
          <w:szCs w:val="20"/>
        </w:rPr>
        <w:t xml:space="preserve">pro </w:t>
      </w:r>
      <w:bookmarkStart w:name="_Hlk59025889" w:id="17"/>
      <w:r w:rsidRPr="00A27E6F">
        <w:rPr>
          <w:rFonts w:cstheme="minorHAnsi"/>
          <w:b/>
          <w:color w:val="auto"/>
          <w:sz w:val="20"/>
          <w:szCs w:val="20"/>
        </w:rPr>
        <w:t>obce, kraje, státní správu</w:t>
      </w:r>
      <w:bookmarkEnd w:id="17"/>
      <w:r w:rsidRPr="00A27E6F">
        <w:rPr>
          <w:rFonts w:cstheme="minorHAnsi"/>
          <w:b/>
          <w:color w:val="auto"/>
          <w:sz w:val="20"/>
          <w:szCs w:val="20"/>
        </w:rPr>
        <w:t xml:space="preserve">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7214"/>
      </w:tblGrid>
      <w:tr w:rsidRPr="00A27E6F" w:rsidR="00914682" w:rsidTr="112AC459" w14:paraId="1CC81306" w14:textId="77777777">
        <w:tc>
          <w:tcPr>
            <w:tcW w:w="2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1F21E44C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Výzva</w:t>
            </w:r>
          </w:p>
        </w:tc>
        <w:tc>
          <w:tcPr>
            <w:tcW w:w="72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27E6F" w:rsidR="00F91337" w:rsidP="007A6F3C" w:rsidRDefault="00307D70" w14:paraId="72400336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Navýšit vozový park na alternativní paliva obce, kraje, státní správu </w:t>
            </w:r>
            <w:r w:rsidRPr="00A27E6F" w:rsidR="00D20D66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a dalších 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splnit povinné podíly při pořizovaní nových vozidel  </w:t>
            </w:r>
          </w:p>
        </w:tc>
      </w:tr>
      <w:tr w:rsidRPr="00A27E6F" w:rsidR="00914682" w:rsidTr="112AC459" w14:paraId="7227FA79" w14:textId="77777777">
        <w:tc>
          <w:tcPr>
            <w:tcW w:w="2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428E8FF1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7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32D2AFB8" w:rsidRDefault="00F91337" w14:paraId="7234E451" w14:textId="0A07813D">
            <w:pPr>
              <w:spacing w:after="120" w:line="240" w:lineRule="auto"/>
              <w:jc w:val="both"/>
              <w:rPr>
                <w:color w:val="auto"/>
                <w:sz w:val="20"/>
                <w:szCs w:val="20"/>
                <w:lang w:eastAsia="cs-CZ"/>
              </w:rPr>
            </w:pPr>
            <w:r w:rsidRPr="32D2AFB8">
              <w:rPr>
                <w:color w:val="auto"/>
                <w:sz w:val="20"/>
                <w:szCs w:val="20"/>
                <w:lang w:eastAsia="cs-CZ"/>
              </w:rPr>
              <w:t>Navýšení počtu vozidel u</w:t>
            </w:r>
            <w:r w:rsidRPr="32D2AFB8" w:rsidR="00741E3B">
              <w:rPr>
                <w:color w:val="auto"/>
                <w:sz w:val="20"/>
                <w:szCs w:val="20"/>
                <w:lang w:eastAsia="cs-CZ"/>
              </w:rPr>
              <w:t> </w:t>
            </w:r>
            <w:r w:rsidRPr="32D2AFB8" w:rsidR="00B7463C">
              <w:rPr>
                <w:color w:val="auto"/>
                <w:sz w:val="20"/>
                <w:szCs w:val="20"/>
                <w:lang w:eastAsia="cs-CZ"/>
              </w:rPr>
              <w:t xml:space="preserve">obcí, krajů, státní </w:t>
            </w:r>
            <w:r w:rsidRPr="32D2AFB8" w:rsidR="00F73972">
              <w:rPr>
                <w:color w:val="auto"/>
                <w:sz w:val="20"/>
                <w:szCs w:val="20"/>
                <w:lang w:eastAsia="cs-CZ"/>
              </w:rPr>
              <w:t>správy</w:t>
            </w:r>
            <w:r w:rsidRPr="32D2AFB8" w:rsidR="00B7463C">
              <w:rPr>
                <w:color w:val="auto"/>
                <w:sz w:val="20"/>
                <w:szCs w:val="20"/>
                <w:lang w:eastAsia="cs-CZ"/>
              </w:rPr>
              <w:t xml:space="preserve"> </w:t>
            </w:r>
            <w:r w:rsidRPr="32D2AFB8">
              <w:rPr>
                <w:color w:val="auto"/>
                <w:sz w:val="20"/>
                <w:szCs w:val="20"/>
                <w:lang w:eastAsia="cs-CZ"/>
              </w:rPr>
              <w:t>o</w:t>
            </w:r>
            <w:r w:rsidRPr="32D2AFB8" w:rsidR="00741E3B">
              <w:rPr>
                <w:color w:val="auto"/>
                <w:sz w:val="20"/>
                <w:szCs w:val="20"/>
                <w:lang w:eastAsia="cs-CZ"/>
              </w:rPr>
              <w:t> </w:t>
            </w:r>
            <w:r w:rsidRPr="32D2AFB8" w:rsidR="00644661">
              <w:rPr>
                <w:color w:val="auto"/>
                <w:sz w:val="20"/>
                <w:szCs w:val="20"/>
                <w:lang w:eastAsia="cs-CZ"/>
              </w:rPr>
              <w:t>1 485</w:t>
            </w:r>
            <w:r w:rsidRPr="32D2AFB8">
              <w:rPr>
                <w:color w:val="auto"/>
                <w:sz w:val="20"/>
                <w:szCs w:val="20"/>
                <w:lang w:eastAsia="cs-CZ"/>
              </w:rPr>
              <w:t xml:space="preserve"> vozidel</w:t>
            </w:r>
            <w:r w:rsidRPr="32D2AFB8" w:rsidR="00644661">
              <w:rPr>
                <w:color w:val="auto"/>
                <w:sz w:val="20"/>
                <w:szCs w:val="20"/>
                <w:lang w:eastAsia="cs-CZ"/>
              </w:rPr>
              <w:t xml:space="preserve"> a navýšení počtu neveřejných dobíjecích stanic u </w:t>
            </w:r>
            <w:r w:rsidRPr="32D2AFB8" w:rsidR="00644661">
              <w:rPr>
                <w:color w:val="auto"/>
                <w:sz w:val="20"/>
                <w:szCs w:val="20"/>
              </w:rPr>
              <w:t>obcí, krajů, státní správy</w:t>
            </w:r>
            <w:r w:rsidRPr="32D2AFB8" w:rsidR="00644661">
              <w:rPr>
                <w:color w:val="auto"/>
                <w:sz w:val="20"/>
                <w:szCs w:val="20"/>
                <w:lang w:eastAsia="cs-CZ"/>
              </w:rPr>
              <w:t xml:space="preserve"> a jimi zřízených institucí o 200 ks </w:t>
            </w:r>
            <w:r w:rsidRPr="32D2AFB8">
              <w:rPr>
                <w:color w:val="auto"/>
                <w:sz w:val="20"/>
                <w:szCs w:val="20"/>
                <w:lang w:eastAsia="cs-CZ"/>
              </w:rPr>
              <w:t xml:space="preserve"> </w:t>
            </w:r>
          </w:p>
        </w:tc>
      </w:tr>
      <w:tr w:rsidRPr="00A27E6F" w:rsidR="00914682" w:rsidTr="112AC459" w14:paraId="5BBB0B36" w14:textId="77777777">
        <w:tc>
          <w:tcPr>
            <w:tcW w:w="2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02C0E853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Implementace</w:t>
            </w:r>
          </w:p>
        </w:tc>
        <w:tc>
          <w:tcPr>
            <w:tcW w:w="7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7A6F3C" w:rsidRDefault="00185CE0" w14:paraId="3D9D6F13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Obce, kraje, státní správa</w:t>
            </w:r>
            <w:r w:rsidRPr="00A27E6F" w:rsidR="00F91337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A27E6F" w:rsidR="009C1C3A">
              <w:rPr>
                <w:rFonts w:cstheme="minorHAnsi"/>
                <w:color w:val="auto"/>
                <w:sz w:val="20"/>
                <w:szCs w:val="20"/>
                <w:lang w:eastAsia="cs-CZ"/>
              </w:rPr>
              <w:t>– gesce MŽP</w:t>
            </w:r>
          </w:p>
        </w:tc>
      </w:tr>
      <w:tr w:rsidRPr="00A27E6F" w:rsidR="00914682" w:rsidTr="112AC459" w14:paraId="101EA38D" w14:textId="77777777">
        <w:trPr>
          <w:trHeight w:val="70"/>
        </w:trPr>
        <w:tc>
          <w:tcPr>
            <w:tcW w:w="2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31AA0942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Spolupráce a</w:t>
            </w:r>
            <w:r w:rsidRPr="00A27E6F" w:rsidR="00741E3B">
              <w:rPr>
                <w:rFonts w:cstheme="minorHAnsi"/>
                <w:color w:val="auto"/>
                <w:sz w:val="20"/>
                <w:szCs w:val="20"/>
                <w:lang w:eastAsia="cs-CZ"/>
              </w:rPr>
              <w:t> 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zapojení zúčastněných stran</w:t>
            </w:r>
          </w:p>
        </w:tc>
        <w:tc>
          <w:tcPr>
            <w:tcW w:w="7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7A6F3C" w:rsidRDefault="00185CE0" w14:paraId="6331FF5E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Obce, kraje, státní správa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A27E6F" w:rsidR="00F91337">
              <w:rPr>
                <w:rFonts w:cstheme="minorHAnsi"/>
                <w:color w:val="auto"/>
                <w:sz w:val="20"/>
                <w:szCs w:val="20"/>
                <w:lang w:eastAsia="cs-CZ"/>
              </w:rPr>
              <w:t>a</w:t>
            </w:r>
            <w:r w:rsidRPr="00A27E6F" w:rsidR="00741E3B">
              <w:rPr>
                <w:rFonts w:cstheme="minorHAnsi"/>
                <w:color w:val="auto"/>
                <w:sz w:val="20"/>
                <w:szCs w:val="20"/>
                <w:lang w:eastAsia="cs-CZ"/>
              </w:rPr>
              <w:t> </w:t>
            </w:r>
            <w:r w:rsidRPr="00A27E6F" w:rsidR="00F91337">
              <w:rPr>
                <w:rFonts w:cstheme="minorHAnsi"/>
                <w:color w:val="auto"/>
                <w:sz w:val="20"/>
                <w:szCs w:val="20"/>
                <w:lang w:eastAsia="cs-CZ"/>
              </w:rPr>
              <w:t>jim podřízení organizace, prodejci vozidel</w:t>
            </w:r>
          </w:p>
        </w:tc>
      </w:tr>
      <w:tr w:rsidRPr="00A27E6F" w:rsidR="00914682" w:rsidTr="112AC459" w14:paraId="6503FF5A" w14:textId="77777777">
        <w:tc>
          <w:tcPr>
            <w:tcW w:w="2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02750901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Překážky a</w:t>
            </w:r>
            <w:r w:rsidRPr="00A27E6F" w:rsidR="00741E3B">
              <w:rPr>
                <w:rFonts w:cstheme="minorHAnsi"/>
                <w:color w:val="auto"/>
                <w:sz w:val="20"/>
                <w:szCs w:val="20"/>
                <w:lang w:eastAsia="cs-CZ"/>
              </w:rPr>
              <w:t> 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rizika</w:t>
            </w:r>
          </w:p>
        </w:tc>
        <w:tc>
          <w:tcPr>
            <w:tcW w:w="7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7A6F3C" w:rsidRDefault="00F91337" w14:paraId="5EE7285A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Po </w:t>
            </w:r>
            <w:proofErr w:type="spellStart"/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coronavirové</w:t>
            </w:r>
            <w:proofErr w:type="spellEnd"/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 krizi výrazný pokles příjmů obcí a</w:t>
            </w:r>
            <w:r w:rsidRPr="00A27E6F" w:rsidR="00741E3B">
              <w:rPr>
                <w:rFonts w:cstheme="minorHAnsi"/>
                <w:color w:val="auto"/>
                <w:sz w:val="20"/>
                <w:szCs w:val="20"/>
                <w:lang w:eastAsia="cs-CZ"/>
              </w:rPr>
              <w:t> 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krajů a</w:t>
            </w:r>
            <w:r w:rsidRPr="00A27E6F" w:rsidR="00741E3B">
              <w:rPr>
                <w:rFonts w:cstheme="minorHAnsi"/>
                <w:color w:val="auto"/>
                <w:sz w:val="20"/>
                <w:szCs w:val="20"/>
                <w:lang w:eastAsia="cs-CZ"/>
              </w:rPr>
              <w:t> 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nutnost seškrtávání investic do obnovy vozového parku, zdlouhavost veřejné zakázky, nedostatek vozidel u</w:t>
            </w:r>
            <w:r w:rsidRPr="00A27E6F" w:rsidR="00741E3B">
              <w:rPr>
                <w:rFonts w:cstheme="minorHAnsi"/>
                <w:color w:val="auto"/>
                <w:sz w:val="20"/>
                <w:szCs w:val="20"/>
                <w:lang w:eastAsia="cs-CZ"/>
              </w:rPr>
              <w:t> 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prodej</w:t>
            </w:r>
            <w:r w:rsidRPr="00A27E6F" w:rsidR="00CB734D">
              <w:rPr>
                <w:rFonts w:cstheme="minorHAnsi"/>
                <w:color w:val="auto"/>
                <w:sz w:val="20"/>
                <w:szCs w:val="20"/>
                <w:lang w:eastAsia="cs-CZ"/>
              </w:rPr>
              <w:t>c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ů.  </w:t>
            </w:r>
            <w:r w:rsidRPr="00A27E6F" w:rsidR="00DF4BE4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Složitost výzvy a projektových žádostí. Zástupci municipalit (nejen velkých ale zejména menších) volají po co nejjednodušší výzvě, jelikož nemají administrativní kapacitu </w:t>
            </w:r>
            <w:r w:rsidRPr="00A27E6F" w:rsidR="004E58B3">
              <w:rPr>
                <w:rFonts w:cstheme="minorHAnsi"/>
                <w:color w:val="auto"/>
                <w:sz w:val="20"/>
                <w:szCs w:val="20"/>
                <w:lang w:eastAsia="cs-CZ"/>
              </w:rPr>
              <w:t>na podávání složitých žádostí.</w:t>
            </w:r>
          </w:p>
        </w:tc>
      </w:tr>
      <w:tr w:rsidRPr="00A27E6F" w:rsidR="00914682" w:rsidTr="112AC459" w14:paraId="0F08D186" w14:textId="77777777">
        <w:tc>
          <w:tcPr>
            <w:tcW w:w="2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65681DCC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Cílové skupiny populace a</w:t>
            </w:r>
            <w:r w:rsidRPr="00A27E6F" w:rsidR="00741E3B">
              <w:rPr>
                <w:rFonts w:cstheme="minorHAnsi"/>
                <w:color w:val="auto"/>
                <w:sz w:val="20"/>
                <w:szCs w:val="20"/>
                <w:lang w:eastAsia="cs-CZ"/>
              </w:rPr>
              <w:t> 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ekonomické subjekty</w:t>
            </w:r>
          </w:p>
        </w:tc>
        <w:tc>
          <w:tcPr>
            <w:tcW w:w="7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7A6F3C" w:rsidRDefault="00185CE0" w14:paraId="664C0FD8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Obce, kraje, státní správa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A27E6F" w:rsidR="00F91337">
              <w:rPr>
                <w:rFonts w:cstheme="minorHAnsi"/>
                <w:color w:val="auto"/>
                <w:sz w:val="20"/>
                <w:szCs w:val="20"/>
                <w:lang w:eastAsia="cs-CZ"/>
              </w:rPr>
              <w:t>a</w:t>
            </w:r>
            <w:r w:rsidRPr="00A27E6F" w:rsidR="00741E3B">
              <w:rPr>
                <w:rFonts w:cstheme="minorHAnsi"/>
                <w:color w:val="auto"/>
                <w:sz w:val="20"/>
                <w:szCs w:val="20"/>
                <w:lang w:eastAsia="cs-CZ"/>
              </w:rPr>
              <w:t> </w:t>
            </w:r>
            <w:r w:rsidRPr="00A27E6F" w:rsidR="00F91337">
              <w:rPr>
                <w:rFonts w:cstheme="minorHAnsi"/>
                <w:color w:val="auto"/>
                <w:sz w:val="20"/>
                <w:szCs w:val="20"/>
                <w:lang w:eastAsia="cs-CZ"/>
              </w:rPr>
              <w:t>jim podřízení organizace, prodejci vozidel</w:t>
            </w:r>
          </w:p>
        </w:tc>
      </w:tr>
      <w:tr w:rsidRPr="00A27E6F" w:rsidR="00914682" w:rsidTr="112AC459" w14:paraId="5F53138D" w14:textId="77777777">
        <w:tc>
          <w:tcPr>
            <w:tcW w:w="2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605AC56A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Souhrnné náklady realizace financované z</w:t>
            </w:r>
            <w:r w:rsidRPr="00A27E6F" w:rsidR="00741E3B">
              <w:rPr>
                <w:rFonts w:cstheme="minorHAnsi"/>
                <w:color w:val="auto"/>
                <w:sz w:val="20"/>
                <w:szCs w:val="20"/>
                <w:lang w:eastAsia="cs-CZ"/>
              </w:rPr>
              <w:t> 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RRF za celé období</w:t>
            </w:r>
          </w:p>
        </w:tc>
        <w:tc>
          <w:tcPr>
            <w:tcW w:w="7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7A6F3C" w:rsidRDefault="00F91337" w14:paraId="15545524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 600 mil. Kč </w:t>
            </w:r>
          </w:p>
        </w:tc>
      </w:tr>
      <w:tr w:rsidRPr="00A27E6F" w:rsidR="00914682" w:rsidTr="112AC459" w14:paraId="09973CB7" w14:textId="77777777">
        <w:tc>
          <w:tcPr>
            <w:tcW w:w="2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11220163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Dodržování pravidel státní podpory</w:t>
            </w:r>
          </w:p>
        </w:tc>
        <w:tc>
          <w:tcPr>
            <w:tcW w:w="7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307D70" w:rsidP="007A6F3C" w:rsidRDefault="00307D70" w14:paraId="609BDB6D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Nařízení Komise (EU) č. 651/2014 ze dne 17. 6. 2014, kterým se v souladu s články 107 a 108 Smlouvy prohlašují určité kategorie podpory za slučitelné s vnitřním trhem (podle dle relevantních článků, zejména čl. 36);  </w:t>
            </w:r>
          </w:p>
          <w:p w:rsidRPr="00A27E6F" w:rsidR="00307D70" w:rsidP="007A6F3C" w:rsidRDefault="00307D70" w14:paraId="563DC1BC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Nařízení Komise (EU) č. 1407/2013 ze dne 18. 12. 2013, o použití článků 107 a 108 Smlouvy o fungování Evropské unie na podporu de </w:t>
            </w:r>
            <w:proofErr w:type="spellStart"/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minimis</w:t>
            </w:r>
            <w:proofErr w:type="spellEnd"/>
            <w:r w:rsidRPr="00A27E6F" w:rsidR="00F1568F">
              <w:rPr>
                <w:rFonts w:cstheme="minorHAnsi"/>
                <w:color w:val="auto"/>
                <w:sz w:val="20"/>
                <w:szCs w:val="20"/>
                <w:lang w:eastAsia="cs-CZ"/>
              </w:rPr>
              <w:t>;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  </w:t>
            </w:r>
          </w:p>
          <w:p w:rsidRPr="00A27E6F" w:rsidR="00307D70" w:rsidP="007A6F3C" w:rsidRDefault="00307D70" w14:paraId="1A3E1AAC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Rozhodnutí Komise ze dne 20. prosince 2011 o použití čl. 106 odst. 2</w:t>
            </w:r>
            <w:r w:rsidRPr="00A27E6F" w:rsidR="007A6F3C">
              <w:rPr>
                <w:rFonts w:cstheme="minorHAnsi"/>
                <w:color w:val="auto"/>
                <w:sz w:val="20"/>
                <w:szCs w:val="20"/>
                <w:lang w:eastAsia="cs-CZ"/>
              </w:rPr>
              <w:t> 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Smlouvy o fungování Evropské unie na státní podporu ve formě vyrovnávací platby za závazek 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lastRenderedPageBreak/>
              <w:t xml:space="preserve">veřejné služby udělené určitým podnikům pověřeným poskytováním služeb obecného hospodářského zájmu;  </w:t>
            </w:r>
          </w:p>
          <w:p w:rsidRPr="00A27E6F" w:rsidR="00F91337" w:rsidP="007A6F3C" w:rsidRDefault="00307D70" w14:paraId="5B91F600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Nařízení Komise (EU) č. 360/2012 ze dne 25. dubna 2012 o použití článků 107 a 108 Smlouvy o fungování Evropské unie na podporu de </w:t>
            </w:r>
            <w:proofErr w:type="spellStart"/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minimis</w:t>
            </w:r>
            <w:proofErr w:type="spellEnd"/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 udílenou podnikům poskytujícím služby obecného hospodářského zájmu.</w:t>
            </w:r>
            <w:r w:rsidRPr="00A27E6F" w:rsidR="005163E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A27E6F" w:rsidR="005163EF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DPH nebude uznáváno jako způsobilý výdaj.</w:t>
            </w:r>
          </w:p>
        </w:tc>
      </w:tr>
      <w:tr w:rsidRPr="00A27E6F" w:rsidR="00F91337" w:rsidTr="112AC459" w14:paraId="1A56A7FB" w14:textId="77777777">
        <w:tc>
          <w:tcPr>
            <w:tcW w:w="2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0A00DC60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lastRenderedPageBreak/>
              <w:t>Uveďte dobu implementace</w:t>
            </w:r>
          </w:p>
        </w:tc>
        <w:tc>
          <w:tcPr>
            <w:tcW w:w="7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112AC459" w:rsidRDefault="00F91337" w14:paraId="5E130293" w14:textId="0AF9DA00">
            <w:pPr>
              <w:spacing w:after="120" w:line="240" w:lineRule="auto"/>
              <w:jc w:val="both"/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</w:pPr>
            <w:r w:rsidRPr="112AC459" w:rsidR="00F91337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Plánovaná doba realizace (</w:t>
            </w:r>
            <w:r w:rsidRPr="112AC459" w:rsidR="0996E1A2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2021-202</w:t>
            </w:r>
            <w:r w:rsidRPr="112AC459" w:rsidR="00D20D66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5</w:t>
            </w:r>
            <w:r w:rsidRPr="112AC459" w:rsidR="00F91337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). Kdy se očekává dokončení (</w:t>
            </w:r>
            <w:r w:rsidRPr="112AC459" w:rsidR="171BC5B8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 xml:space="preserve">4Q </w:t>
            </w:r>
            <w:r w:rsidRPr="112AC459" w:rsidR="2A011915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202</w:t>
            </w:r>
            <w:r w:rsidRPr="112AC459" w:rsidR="00D20D66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5</w:t>
            </w:r>
            <w:r w:rsidRPr="112AC459" w:rsidR="00F91337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).</w:t>
            </w:r>
          </w:p>
        </w:tc>
      </w:tr>
    </w:tbl>
    <w:p w:rsidRPr="00A27E6F" w:rsidR="00F91337" w:rsidP="00D10829" w:rsidRDefault="00F91337" w14:paraId="09771537" w14:textId="77777777">
      <w:pPr>
        <w:spacing w:after="120" w:line="240" w:lineRule="auto"/>
        <w:rPr>
          <w:rFonts w:cstheme="minorHAnsi"/>
          <w:color w:val="auto"/>
          <w:sz w:val="20"/>
          <w:szCs w:val="20"/>
        </w:rPr>
      </w:pPr>
    </w:p>
    <w:p w:rsidRPr="00A27E6F" w:rsidR="00F91337" w:rsidP="00D10829" w:rsidRDefault="00F91337" w14:paraId="387587F8" w14:textId="4B205BAE">
      <w:pPr>
        <w:spacing w:after="120" w:line="240" w:lineRule="auto"/>
        <w:rPr>
          <w:rFonts w:cstheme="minorHAnsi"/>
          <w:b/>
          <w:color w:val="auto"/>
          <w:sz w:val="20"/>
          <w:szCs w:val="20"/>
        </w:rPr>
      </w:pPr>
      <w:r w:rsidRPr="00A27E6F">
        <w:rPr>
          <w:rFonts w:cstheme="minorHAnsi"/>
          <w:b/>
          <w:color w:val="auto"/>
          <w:sz w:val="20"/>
          <w:szCs w:val="20"/>
        </w:rPr>
        <w:t xml:space="preserve">Podpora nákupu vozidel – </w:t>
      </w:r>
      <w:r w:rsidRPr="00A27E6F" w:rsidR="00521823">
        <w:rPr>
          <w:rFonts w:cstheme="minorHAnsi"/>
          <w:b/>
          <w:color w:val="auto"/>
          <w:sz w:val="20"/>
          <w:szCs w:val="20"/>
        </w:rPr>
        <w:t xml:space="preserve">vozidla </w:t>
      </w:r>
      <w:r w:rsidRPr="00A27E6F">
        <w:rPr>
          <w:rFonts w:cstheme="minorHAnsi"/>
          <w:b/>
          <w:color w:val="auto"/>
          <w:sz w:val="20"/>
          <w:szCs w:val="20"/>
        </w:rPr>
        <w:t>(</w:t>
      </w:r>
      <w:r w:rsidRPr="00A27E6F" w:rsidR="00D34AAD">
        <w:rPr>
          <w:rFonts w:cstheme="minorHAnsi"/>
          <w:b/>
          <w:color w:val="auto"/>
          <w:sz w:val="20"/>
          <w:szCs w:val="20"/>
        </w:rPr>
        <w:t xml:space="preserve">bateriové trolejbusy a nízkopodlažní tramvaje </w:t>
      </w:r>
      <w:r w:rsidRPr="00A27E6F">
        <w:rPr>
          <w:rFonts w:cstheme="minorHAnsi"/>
          <w:b/>
          <w:color w:val="auto"/>
          <w:sz w:val="20"/>
          <w:szCs w:val="20"/>
        </w:rPr>
        <w:t>pro veřejnou hromadnou dopravu v</w:t>
      </w:r>
      <w:r w:rsidRPr="00A27E6F" w:rsidR="00741E3B">
        <w:rPr>
          <w:rFonts w:cstheme="minorHAnsi"/>
          <w:b/>
          <w:color w:val="auto"/>
          <w:sz w:val="20"/>
          <w:szCs w:val="20"/>
        </w:rPr>
        <w:t> </w:t>
      </w:r>
      <w:r w:rsidRPr="00A27E6F">
        <w:rPr>
          <w:rFonts w:cstheme="minorHAnsi"/>
          <w:b/>
          <w:color w:val="auto"/>
          <w:sz w:val="20"/>
          <w:szCs w:val="20"/>
        </w:rPr>
        <w:t xml:space="preserve">Hlavním městě Praha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7214"/>
      </w:tblGrid>
      <w:tr w:rsidRPr="00A27E6F" w:rsidR="00D20D66" w:rsidTr="112AC459" w14:paraId="2F97A380" w14:textId="77777777">
        <w:tc>
          <w:tcPr>
            <w:tcW w:w="2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00D10829" w:rsidRDefault="00F91337" w14:paraId="0FEDF649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Výzva</w:t>
            </w:r>
          </w:p>
        </w:tc>
        <w:tc>
          <w:tcPr>
            <w:tcW w:w="72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F91337" w:rsidP="5CEDD745" w:rsidRDefault="00F91337" w14:paraId="370E030C" w14:textId="23555D68">
            <w:pPr>
              <w:spacing w:after="120" w:line="240" w:lineRule="auto"/>
              <w:jc w:val="both"/>
              <w:rPr>
                <w:color w:val="auto"/>
                <w:sz w:val="20"/>
                <w:szCs w:val="20"/>
                <w:lang w:eastAsia="cs-CZ"/>
              </w:rPr>
            </w:pPr>
            <w:r w:rsidRPr="5CEDD745">
              <w:rPr>
                <w:color w:val="auto"/>
                <w:sz w:val="20"/>
                <w:szCs w:val="20"/>
                <w:lang w:eastAsia="cs-CZ"/>
              </w:rPr>
              <w:t xml:space="preserve">Podpora nákupu vozidel – </w:t>
            </w:r>
            <w:r w:rsidRPr="5CEDD745" w:rsidR="00521823">
              <w:rPr>
                <w:color w:val="auto"/>
                <w:sz w:val="20"/>
                <w:szCs w:val="20"/>
                <w:lang w:eastAsia="cs-CZ"/>
              </w:rPr>
              <w:t xml:space="preserve">vozidla </w:t>
            </w:r>
            <w:r w:rsidRPr="5CEDD745">
              <w:rPr>
                <w:color w:val="auto"/>
                <w:sz w:val="20"/>
                <w:szCs w:val="20"/>
                <w:lang w:eastAsia="cs-CZ"/>
              </w:rPr>
              <w:t>(</w:t>
            </w:r>
            <w:r w:rsidRPr="5CEDD745" w:rsidR="4C8E0743">
              <w:rPr>
                <w:color w:val="auto"/>
                <w:sz w:val="20"/>
                <w:szCs w:val="20"/>
                <w:lang w:eastAsia="cs-CZ"/>
              </w:rPr>
              <w:t xml:space="preserve">bateriové trolejbusy a </w:t>
            </w:r>
            <w:r w:rsidRPr="5CEDD745" w:rsidR="79F48088">
              <w:rPr>
                <w:color w:val="auto"/>
                <w:sz w:val="20"/>
                <w:szCs w:val="20"/>
                <w:lang w:eastAsia="cs-CZ"/>
              </w:rPr>
              <w:t>nízkopodlažní tramvaje</w:t>
            </w:r>
            <w:r w:rsidRPr="5CEDD745" w:rsidR="4C8E0743">
              <w:rPr>
                <w:color w:val="auto"/>
                <w:sz w:val="20"/>
                <w:szCs w:val="20"/>
                <w:lang w:eastAsia="cs-CZ"/>
              </w:rPr>
              <w:t xml:space="preserve"> </w:t>
            </w:r>
            <w:r w:rsidRPr="5CEDD745">
              <w:rPr>
                <w:color w:val="auto"/>
                <w:sz w:val="20"/>
                <w:szCs w:val="20"/>
                <w:lang w:eastAsia="cs-CZ"/>
              </w:rPr>
              <w:t>pro veřejnou hromadnou dopravu v</w:t>
            </w:r>
            <w:r w:rsidRPr="5CEDD745" w:rsidR="00741E3B">
              <w:rPr>
                <w:color w:val="auto"/>
                <w:sz w:val="20"/>
                <w:szCs w:val="20"/>
                <w:lang w:eastAsia="cs-CZ"/>
              </w:rPr>
              <w:t> </w:t>
            </w:r>
            <w:r w:rsidRPr="5CEDD745">
              <w:rPr>
                <w:color w:val="auto"/>
                <w:sz w:val="20"/>
                <w:szCs w:val="20"/>
                <w:lang w:eastAsia="cs-CZ"/>
              </w:rPr>
              <w:t>Hlavním městě Praha</w:t>
            </w:r>
          </w:p>
        </w:tc>
      </w:tr>
      <w:tr w:rsidRPr="00A27E6F" w:rsidR="00D20D66" w:rsidTr="112AC459" w14:paraId="39BD500C" w14:textId="77777777">
        <w:tc>
          <w:tcPr>
            <w:tcW w:w="2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95286D" w:rsidP="0095286D" w:rsidRDefault="0095286D" w14:paraId="67682B8E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7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95286D" w:rsidP="0095286D" w:rsidRDefault="0095286D" w14:paraId="225BE06C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Navýšení počtu bateriových trolejbusů a nízkopodlažních tramvají o 40 ks </w:t>
            </w:r>
          </w:p>
        </w:tc>
      </w:tr>
      <w:tr w:rsidRPr="00A27E6F" w:rsidR="00D20D66" w:rsidTr="112AC459" w14:paraId="220F7D40" w14:textId="77777777">
        <w:tc>
          <w:tcPr>
            <w:tcW w:w="2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95286D" w:rsidP="0095286D" w:rsidRDefault="0095286D" w14:paraId="2EB4BAC5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Implementace</w:t>
            </w:r>
          </w:p>
        </w:tc>
        <w:tc>
          <w:tcPr>
            <w:tcW w:w="7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27E6F" w:rsidR="0095286D" w:rsidP="5CEDD745" w:rsidRDefault="0095286D" w14:paraId="666DEC4F" w14:textId="1CED18C7">
            <w:pPr>
              <w:spacing w:after="120" w:line="240" w:lineRule="auto"/>
              <w:jc w:val="both"/>
              <w:rPr>
                <w:color w:val="auto"/>
                <w:sz w:val="20"/>
                <w:szCs w:val="20"/>
                <w:lang w:eastAsia="cs-CZ"/>
              </w:rPr>
            </w:pPr>
            <w:r w:rsidRPr="5CEDD745">
              <w:rPr>
                <w:color w:val="auto"/>
                <w:sz w:val="20"/>
                <w:szCs w:val="20"/>
                <w:lang w:eastAsia="cs-CZ"/>
              </w:rPr>
              <w:t xml:space="preserve">Dopravní podnik hlavního města Prahy – gesce </w:t>
            </w:r>
            <w:r w:rsidRPr="5CEDD745" w:rsidR="411B012D">
              <w:rPr>
                <w:color w:val="auto"/>
                <w:sz w:val="20"/>
                <w:szCs w:val="20"/>
                <w:lang w:eastAsia="cs-CZ"/>
              </w:rPr>
              <w:t>MD</w:t>
            </w:r>
          </w:p>
        </w:tc>
      </w:tr>
      <w:tr w:rsidRPr="00A27E6F" w:rsidR="00D20D66" w:rsidTr="112AC459" w14:paraId="5A7E0783" w14:textId="77777777">
        <w:trPr>
          <w:trHeight w:val="70"/>
        </w:trPr>
        <w:tc>
          <w:tcPr>
            <w:tcW w:w="2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95286D" w:rsidP="0095286D" w:rsidRDefault="0095286D" w14:paraId="4744BEF7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Spolupráce a zapojení zúčastněných stran</w:t>
            </w:r>
          </w:p>
        </w:tc>
        <w:tc>
          <w:tcPr>
            <w:tcW w:w="7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95286D" w:rsidP="0095286D" w:rsidRDefault="0095286D" w14:paraId="335EE4D8" w14:textId="219BB3BB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Dopravní podnik hlavního města Prahy, prodejci </w:t>
            </w:r>
            <w:r w:rsidRPr="00A27E6F" w:rsidR="00F43705">
              <w:rPr>
                <w:rFonts w:cstheme="minorHAnsi"/>
                <w:color w:val="auto"/>
                <w:sz w:val="20"/>
                <w:szCs w:val="20"/>
                <w:lang w:eastAsia="cs-CZ"/>
              </w:rPr>
              <w:t>trolejbusů a tramvají</w:t>
            </w:r>
            <w:r w:rsidRPr="00A27E6F" w:rsidR="005163E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, výrobci dobíjecí infastruktury, </w:t>
            </w:r>
          </w:p>
        </w:tc>
      </w:tr>
      <w:tr w:rsidRPr="00A27E6F" w:rsidR="00D20D66" w:rsidTr="112AC459" w14:paraId="1A4A242B" w14:textId="77777777">
        <w:tc>
          <w:tcPr>
            <w:tcW w:w="2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95286D" w:rsidP="0095286D" w:rsidRDefault="0095286D" w14:paraId="2FF30CA6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Překážky a rizika</w:t>
            </w:r>
          </w:p>
        </w:tc>
        <w:tc>
          <w:tcPr>
            <w:tcW w:w="7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95286D" w:rsidP="0095286D" w:rsidRDefault="0095286D" w14:paraId="1A3910E7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Zdlouhavost výběrových řízení, nedostatek vozidel </w:t>
            </w:r>
          </w:p>
        </w:tc>
      </w:tr>
      <w:tr w:rsidRPr="00A27E6F" w:rsidR="00D20D66" w:rsidTr="112AC459" w14:paraId="7FFD6212" w14:textId="77777777">
        <w:tc>
          <w:tcPr>
            <w:tcW w:w="2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95286D" w:rsidP="0095286D" w:rsidRDefault="0095286D" w14:paraId="295A4C94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Cílové skupiny populace a ekonomické subjekty</w:t>
            </w:r>
          </w:p>
        </w:tc>
        <w:tc>
          <w:tcPr>
            <w:tcW w:w="7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95286D" w:rsidP="0095286D" w:rsidRDefault="0095286D" w14:paraId="0838A422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 </w:t>
            </w:r>
          </w:p>
        </w:tc>
      </w:tr>
      <w:tr w:rsidRPr="00A27E6F" w:rsidR="00D20D66" w:rsidTr="112AC459" w14:paraId="17AB20D4" w14:textId="77777777">
        <w:tc>
          <w:tcPr>
            <w:tcW w:w="2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95286D" w:rsidP="0095286D" w:rsidRDefault="0095286D" w14:paraId="36A855CF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Souhrnné náklady realizace financované z RRF za celé období</w:t>
            </w:r>
          </w:p>
        </w:tc>
        <w:tc>
          <w:tcPr>
            <w:tcW w:w="7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95286D" w:rsidP="0095286D" w:rsidRDefault="0095286D" w14:paraId="72F0B70B" w14:textId="6C73CB89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1 </w:t>
            </w:r>
            <w:r w:rsidRPr="00A27E6F" w:rsidR="35AE0C20">
              <w:rPr>
                <w:rFonts w:cstheme="minorHAnsi"/>
                <w:color w:val="auto"/>
                <w:sz w:val="20"/>
                <w:szCs w:val="20"/>
                <w:lang w:eastAsia="cs-CZ"/>
              </w:rPr>
              <w:t>7</w:t>
            </w: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00 mil. Kč. </w:t>
            </w:r>
          </w:p>
        </w:tc>
      </w:tr>
      <w:tr w:rsidRPr="00A27E6F" w:rsidR="00D20D66" w:rsidTr="112AC459" w14:paraId="1A17856E" w14:textId="77777777">
        <w:tc>
          <w:tcPr>
            <w:tcW w:w="2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95286D" w:rsidP="0095286D" w:rsidRDefault="0095286D" w14:paraId="1B171400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Dodržování pravidel státní podpory</w:t>
            </w:r>
          </w:p>
        </w:tc>
        <w:tc>
          <w:tcPr>
            <w:tcW w:w="7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95286D" w:rsidP="0095286D" w:rsidRDefault="0095286D" w14:paraId="5F66F334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1. Všechna pořizovaná vozidla musí mít perspektivní využití v přepravě cestujících po celou dobu životnosti vozidla a pořizovací investiční náklady musí být omezeny na nezbytné minimum na základě transparentního a otevřeného výběrového/zadávacího řízení podle platné legislativy. </w:t>
            </w:r>
          </w:p>
          <w:p w:rsidRPr="00A27E6F" w:rsidR="0095286D" w:rsidP="0095286D" w:rsidRDefault="0095286D" w14:paraId="0B8CFC5E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2. Žadatel musí mít při podání žádosti o podporu platnou a plněnou smlouvu o veřejných službách v přepravě cestujících v souladu s nařízením č. 1370/2007 a s příslušnými ustanoveními zákona č. 194/2010 Sb., nebo smlouvu o smlouvě budoucí o veřejných službách. Pokud nebyla smlouva ke dni podání žádosti uzavřena, musí žadatel předložit vyjádření objednatele o úmyslu smlouvu o veřejných službách s žadatelem uzavřít. Současné platné smlouvy podle nařízení Rady (EHS) č. 1191/69 a č. 1107/70 musí být uzavřené v souladu s článkem 8 nařízení 1370/2007 odst. </w:t>
            </w:r>
          </w:p>
          <w:p w:rsidRPr="00A27E6F" w:rsidR="0095286D" w:rsidP="0095286D" w:rsidRDefault="0095286D" w14:paraId="3ABA59E5" w14:textId="77777777">
            <w:pPr>
              <w:spacing w:after="120" w:line="240" w:lineRule="auto"/>
              <w:jc w:val="both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 xml:space="preserve">3. Smlouvy o veřejných službách musí být uzavřeny na základě transparentního a otevřeného výběrového/zadávacího řízení či na základě přímého zadání podle platné legislativy, nejméně však do konce doby udržitelnosti projektu (5 let).  </w:t>
            </w:r>
          </w:p>
        </w:tc>
      </w:tr>
      <w:tr w:rsidRPr="00A27E6F" w:rsidR="00D20D66" w:rsidTr="112AC459" w14:paraId="08B78A5C" w14:textId="77777777">
        <w:tc>
          <w:tcPr>
            <w:tcW w:w="2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95286D" w:rsidP="0095286D" w:rsidRDefault="0095286D" w14:paraId="13667B45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  <w:lang w:eastAsia="cs-CZ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  <w:lang w:eastAsia="cs-CZ"/>
              </w:rPr>
              <w:t>Uveďte dobu implementace</w:t>
            </w:r>
          </w:p>
        </w:tc>
        <w:tc>
          <w:tcPr>
            <w:tcW w:w="7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27E6F" w:rsidR="0095286D" w:rsidP="112AC459" w:rsidRDefault="0095286D" w14:paraId="5D93C348" w14:textId="2F09EE56">
            <w:pPr>
              <w:spacing w:after="120" w:line="240" w:lineRule="auto"/>
              <w:jc w:val="both"/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</w:pPr>
            <w:r w:rsidRPr="112AC459" w:rsidR="0095286D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Plánovaná doba realizace (2021-2026). Kdy se očekává dokončení (</w:t>
            </w:r>
            <w:r w:rsidRPr="112AC459" w:rsidR="2A80448C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 xml:space="preserve">1Q </w:t>
            </w:r>
            <w:r w:rsidRPr="112AC459" w:rsidR="0095286D">
              <w:rPr>
                <w:rFonts w:cs="Calibri" w:cstheme="minorAscii"/>
                <w:color w:val="auto"/>
                <w:sz w:val="20"/>
                <w:szCs w:val="20"/>
                <w:lang w:eastAsia="cs-CZ"/>
              </w:rPr>
              <w:t>2026).</w:t>
            </w:r>
          </w:p>
        </w:tc>
      </w:tr>
    </w:tbl>
    <w:p w:rsidRPr="00A27E6F" w:rsidR="00CB734D" w:rsidP="00D10829" w:rsidRDefault="00CB734D" w14:paraId="04439FCD" w14:textId="77777777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:rsidRPr="00A27E6F" w:rsidR="00CB734D" w:rsidP="00A27E6F" w:rsidRDefault="00CB734D" w14:paraId="31562DAD" w14:textId="77777777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hAnsiTheme="minorHAnsi" w:eastAsiaTheme="majorEastAsia" w:cstheme="minorHAnsi"/>
          <w:b/>
          <w:bCs/>
          <w:sz w:val="20"/>
          <w:szCs w:val="20"/>
        </w:rPr>
      </w:pPr>
      <w:r w:rsidRPr="00A27E6F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5. </w:t>
      </w:r>
      <w:r w:rsidRPr="00A27E6F">
        <w:rPr>
          <w:rStyle w:val="tabchar"/>
          <w:rFonts w:asciiTheme="minorHAnsi" w:hAnsiTheme="minorHAnsi" w:cstheme="minorHAnsi"/>
          <w:sz w:val="20"/>
          <w:szCs w:val="20"/>
        </w:rPr>
        <w:t xml:space="preserve"> </w:t>
      </w:r>
      <w:r w:rsidRPr="00A27E6F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Přeshraniční projekty a projekty realizované více státy</w:t>
      </w:r>
      <w:r w:rsidRPr="00A27E6F">
        <w:rPr>
          <w:rStyle w:val="eop"/>
          <w:rFonts w:asciiTheme="minorHAnsi" w:hAnsiTheme="minorHAnsi" w:eastAsiaTheme="majorEastAsia" w:cstheme="minorHAnsi"/>
          <w:b/>
          <w:bCs/>
          <w:sz w:val="20"/>
          <w:szCs w:val="20"/>
        </w:rPr>
        <w:t> </w:t>
      </w:r>
    </w:p>
    <w:p w:rsidRPr="00A27E6F" w:rsidR="00CB734D" w:rsidP="00D10829" w:rsidRDefault="00CB734D" w14:paraId="52231426" w14:textId="77777777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hAnsiTheme="minorHAnsi" w:eastAsiaTheme="majorEastAsia" w:cstheme="minorHAnsi"/>
          <w:sz w:val="20"/>
          <w:szCs w:val="20"/>
        </w:rPr>
      </w:pPr>
      <w:bookmarkStart w:name="_Hlk66481710" w:id="18"/>
      <w:r w:rsidRPr="00A27E6F">
        <w:rPr>
          <w:rStyle w:val="eop"/>
          <w:rFonts w:asciiTheme="minorHAnsi" w:hAnsiTheme="minorHAnsi" w:eastAsiaTheme="majorEastAsia" w:cstheme="minorHAnsi"/>
          <w:sz w:val="20"/>
          <w:szCs w:val="20"/>
        </w:rPr>
        <w:t>Není relevantní k této komponentě.</w:t>
      </w:r>
    </w:p>
    <w:bookmarkEnd w:id="18"/>
    <w:p w:rsidRPr="00A27E6F" w:rsidR="00F1576D" w:rsidP="00A27E6F" w:rsidRDefault="00CB734D" w14:paraId="26C8C887" w14:textId="77777777">
      <w:pPr>
        <w:pStyle w:val="K-Nadpis2"/>
        <w:spacing w:before="0" w:after="12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A27E6F">
        <w:rPr>
          <w:rFonts w:asciiTheme="minorHAnsi" w:hAnsiTheme="minorHAnsi" w:cstheme="minorHAnsi"/>
          <w:color w:val="auto"/>
          <w:sz w:val="20"/>
          <w:szCs w:val="20"/>
        </w:rPr>
        <w:t>6.</w:t>
      </w:r>
      <w:r w:rsidRPr="00A27E6F" w:rsidR="00465830">
        <w:rPr>
          <w:rFonts w:asciiTheme="minorHAnsi" w:hAnsiTheme="minorHAnsi" w:cstheme="minorHAnsi"/>
          <w:color w:val="auto"/>
          <w:sz w:val="20"/>
          <w:szCs w:val="20"/>
        </w:rPr>
        <w:t xml:space="preserve"> Zelená</w:t>
      </w:r>
      <w:r w:rsidRPr="00A27E6F">
        <w:rPr>
          <w:rFonts w:asciiTheme="minorHAnsi" w:hAnsiTheme="minorHAnsi" w:cstheme="minorHAnsi"/>
          <w:color w:val="auto"/>
          <w:sz w:val="20"/>
          <w:szCs w:val="20"/>
        </w:rPr>
        <w:t xml:space="preserve"> dimenze</w:t>
      </w:r>
      <w:r w:rsidRPr="00A27E6F" w:rsidR="002C20C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Pr="00A27E6F" w:rsidR="003A12B0" w:rsidP="00D10829" w:rsidRDefault="003A12B0" w14:paraId="7FC1AAE5" w14:textId="77777777">
      <w:pPr>
        <w:spacing w:after="120" w:line="240" w:lineRule="auto"/>
        <w:jc w:val="both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color w:val="auto"/>
          <w:sz w:val="20"/>
          <w:szCs w:val="20"/>
        </w:rPr>
        <w:t>Aktualizovaný Národní program snižování emisí ČR (dále jen „NPSE“) obsahuje projekci emisí znečisťujících látek z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>jednotlivých sektorů (energetika, průmysl, doprava a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>zemědělství) do konce roku 2030. Emisní projekce je v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>NPSE provedena za účelem zjištěni plnění národních závazků ke snížení emisí stanovených pro roky 2020, 2025 a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>2030 v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>souladu se směrnicí Evropského parlamentu a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>Rady (EU) 2016/2284 ze dne 14. prosince 2016 o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 xml:space="preserve">snížení národních emisí </w:t>
      </w:r>
      <w:r w:rsidRPr="00A27E6F">
        <w:rPr>
          <w:rFonts w:cstheme="minorHAnsi"/>
          <w:color w:val="auto"/>
          <w:sz w:val="20"/>
          <w:szCs w:val="20"/>
        </w:rPr>
        <w:lastRenderedPageBreak/>
        <w:t>některých látek znečišťujících ovzduší. Projekce emisí znečisťujících látek vychází ze spotřeby jednotlivých druhů paliv dle návrhu Vnitrostátního plánu ČR v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>oblasti energetiky a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 xml:space="preserve">klimatu.  </w:t>
      </w:r>
    </w:p>
    <w:p w:rsidRPr="00A27E6F" w:rsidR="003A12B0" w:rsidP="00D10829" w:rsidRDefault="003A12B0" w14:paraId="43C61AD0" w14:textId="77777777">
      <w:pPr>
        <w:spacing w:after="120" w:line="240" w:lineRule="auto"/>
        <w:jc w:val="both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color w:val="auto"/>
          <w:sz w:val="20"/>
          <w:szCs w:val="20"/>
        </w:rPr>
        <w:t>Z provedené emisní projekce vyplývá, že Česká republika v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 xml:space="preserve">roce 2030 nesplní národní závazky ve snížení emisí pro </w:t>
      </w:r>
      <w:proofErr w:type="spellStart"/>
      <w:r w:rsidRPr="00A27E6F">
        <w:rPr>
          <w:rFonts w:cstheme="minorHAnsi"/>
          <w:color w:val="auto"/>
          <w:sz w:val="20"/>
          <w:szCs w:val="20"/>
        </w:rPr>
        <w:t>NOx</w:t>
      </w:r>
      <w:proofErr w:type="spellEnd"/>
      <w:r w:rsidRPr="00A27E6F">
        <w:rPr>
          <w:rFonts w:cstheme="minorHAnsi"/>
          <w:color w:val="auto"/>
          <w:sz w:val="20"/>
          <w:szCs w:val="20"/>
        </w:rPr>
        <w:t>, VOC a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>NH</w:t>
      </w:r>
      <w:r w:rsidRPr="00A27E6F">
        <w:rPr>
          <w:rFonts w:cstheme="minorHAnsi"/>
          <w:color w:val="auto"/>
          <w:sz w:val="20"/>
          <w:szCs w:val="20"/>
          <w:vertAlign w:val="subscript"/>
        </w:rPr>
        <w:t>3</w:t>
      </w:r>
      <w:r w:rsidRPr="00A27E6F">
        <w:rPr>
          <w:rFonts w:cstheme="minorHAnsi"/>
          <w:color w:val="auto"/>
          <w:sz w:val="20"/>
          <w:szCs w:val="20"/>
        </w:rPr>
        <w:t>. Z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>tohoto důvodu stanoví NPSE dodatečná opatření, která zajistí, že národní závazky budou splněny. V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>sektoru dopravy požaduje NPSE snížit k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 xml:space="preserve">roku 2030 emise </w:t>
      </w:r>
      <w:proofErr w:type="spellStart"/>
      <w:r w:rsidRPr="00A27E6F">
        <w:rPr>
          <w:rFonts w:cstheme="minorHAnsi"/>
          <w:color w:val="auto"/>
          <w:sz w:val="20"/>
          <w:szCs w:val="20"/>
        </w:rPr>
        <w:t>NOx</w:t>
      </w:r>
      <w:proofErr w:type="spellEnd"/>
      <w:r w:rsidRPr="00A27E6F">
        <w:rPr>
          <w:rFonts w:cstheme="minorHAnsi"/>
          <w:color w:val="auto"/>
          <w:sz w:val="20"/>
          <w:szCs w:val="20"/>
        </w:rPr>
        <w:t xml:space="preserve"> o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>dodatečných 5kt v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>porovnání se scénářem NPSE WM. Opatření, která mají zajistit splnění tohoto cíle, mají být dle schváleného usnesení vlády č. 917/2019 k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>NPSE obsažena v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>Analýze zpoplatnění vozidel v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>České republice a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 xml:space="preserve">v Aktualizaci Národního akčního plánu čisté mobility. </w:t>
      </w:r>
    </w:p>
    <w:p w:rsidRPr="00A27E6F" w:rsidR="003A12B0" w:rsidP="00D10829" w:rsidRDefault="003A12B0" w14:paraId="21FF6EB6" w14:textId="77777777">
      <w:pPr>
        <w:spacing w:after="120" w:line="240" w:lineRule="auto"/>
        <w:jc w:val="both"/>
        <w:rPr>
          <w:rFonts w:cstheme="minorHAnsi"/>
          <w:color w:val="auto"/>
          <w:sz w:val="20"/>
          <w:szCs w:val="20"/>
        </w:rPr>
      </w:pPr>
      <w:r w:rsidRPr="00A27E6F">
        <w:rPr>
          <w:rFonts w:cstheme="minorHAnsi"/>
          <w:color w:val="auto"/>
          <w:sz w:val="20"/>
          <w:szCs w:val="20"/>
        </w:rPr>
        <w:t>Níže uvedená tabulka shrnuje přínos Aktualizace Národního akčního plánu čisté mobility</w:t>
      </w:r>
      <w:r w:rsidRPr="00A27E6F" w:rsidR="004B5C41">
        <w:rPr>
          <w:rFonts w:cstheme="minorHAnsi"/>
          <w:color w:val="auto"/>
          <w:sz w:val="20"/>
          <w:szCs w:val="20"/>
        </w:rPr>
        <w:t xml:space="preserve">, </w:t>
      </w:r>
      <w:r w:rsidRPr="00A27E6F">
        <w:rPr>
          <w:rFonts w:cstheme="minorHAnsi"/>
          <w:color w:val="auto"/>
          <w:sz w:val="20"/>
          <w:szCs w:val="20"/>
        </w:rPr>
        <w:t xml:space="preserve">ke splnění požadovaného snížení emisí </w:t>
      </w:r>
      <w:proofErr w:type="spellStart"/>
      <w:r w:rsidRPr="00A27E6F">
        <w:rPr>
          <w:rFonts w:cstheme="minorHAnsi"/>
          <w:color w:val="auto"/>
          <w:sz w:val="20"/>
          <w:szCs w:val="20"/>
        </w:rPr>
        <w:t>NO</w:t>
      </w:r>
      <w:r w:rsidRPr="00A27E6F">
        <w:rPr>
          <w:rFonts w:cstheme="minorHAnsi"/>
          <w:color w:val="auto"/>
          <w:sz w:val="20"/>
          <w:szCs w:val="20"/>
          <w:vertAlign w:val="subscript"/>
        </w:rPr>
        <w:t>x</w:t>
      </w:r>
      <w:proofErr w:type="spellEnd"/>
      <w:r w:rsidRPr="00A27E6F" w:rsidR="004B5C41">
        <w:rPr>
          <w:rFonts w:cstheme="minorHAnsi"/>
          <w:color w:val="auto"/>
          <w:sz w:val="20"/>
          <w:szCs w:val="20"/>
        </w:rPr>
        <w:t xml:space="preserve">, </w:t>
      </w:r>
      <w:bookmarkStart w:name="_Hlk58413069" w:id="19"/>
      <w:r w:rsidRPr="00A27E6F" w:rsidR="007E00C6">
        <w:rPr>
          <w:rFonts w:cstheme="minorHAnsi"/>
          <w:color w:val="auto"/>
          <w:sz w:val="20"/>
          <w:szCs w:val="20"/>
        </w:rPr>
        <w:t>ze kterého vychází komponenta čistá mobilita.</w:t>
      </w:r>
      <w:r w:rsidRPr="00A27E6F">
        <w:rPr>
          <w:rFonts w:cstheme="minorHAnsi"/>
          <w:color w:val="auto"/>
          <w:sz w:val="20"/>
          <w:szCs w:val="20"/>
        </w:rPr>
        <w:t xml:space="preserve"> </w:t>
      </w:r>
      <w:bookmarkEnd w:id="19"/>
    </w:p>
    <w:p w:rsidRPr="00A27E6F" w:rsidR="003A12B0" w:rsidP="00D10829" w:rsidRDefault="003A12B0" w14:paraId="5F470B17" w14:textId="77777777">
      <w:pPr>
        <w:pStyle w:val="Titulek"/>
        <w:spacing w:before="0" w:after="120"/>
        <w:rPr>
          <w:rFonts w:asciiTheme="minorHAnsi" w:hAnsiTheme="minorHAnsi" w:cstheme="minorHAnsi"/>
          <w:b w:val="0"/>
          <w:sz w:val="20"/>
        </w:rPr>
      </w:pPr>
      <w:bookmarkStart w:name="_Toc34298576" w:id="20"/>
      <w:r w:rsidRPr="00A27E6F">
        <w:rPr>
          <w:rFonts w:asciiTheme="minorHAnsi" w:hAnsiTheme="minorHAnsi" w:cstheme="minorHAnsi"/>
          <w:sz w:val="20"/>
        </w:rPr>
        <w:t>Tabulka</w:t>
      </w:r>
      <w:r w:rsidRPr="00A27E6F" w:rsidR="007E00C6">
        <w:rPr>
          <w:rFonts w:asciiTheme="minorHAnsi" w:hAnsiTheme="minorHAnsi" w:cstheme="minorHAnsi"/>
          <w:sz w:val="20"/>
        </w:rPr>
        <w:t xml:space="preserve">: </w:t>
      </w:r>
      <w:r w:rsidRPr="00A27E6F">
        <w:rPr>
          <w:rFonts w:asciiTheme="minorHAnsi" w:hAnsiTheme="minorHAnsi" w:cstheme="minorHAnsi"/>
          <w:sz w:val="20"/>
        </w:rPr>
        <w:t>Přínos NAP ČM k</w:t>
      </w:r>
      <w:r w:rsidRPr="00A27E6F" w:rsidR="00741E3B">
        <w:rPr>
          <w:rFonts w:asciiTheme="minorHAnsi" w:hAnsiTheme="minorHAnsi" w:cstheme="minorHAnsi"/>
          <w:sz w:val="20"/>
        </w:rPr>
        <w:t> </w:t>
      </w:r>
      <w:r w:rsidRPr="00A27E6F">
        <w:rPr>
          <w:rFonts w:asciiTheme="minorHAnsi" w:hAnsiTheme="minorHAnsi" w:cstheme="minorHAnsi"/>
          <w:sz w:val="20"/>
        </w:rPr>
        <w:t xml:space="preserve">dodatečnému snížení emisí </w:t>
      </w:r>
      <w:proofErr w:type="spellStart"/>
      <w:r w:rsidRPr="00A27E6F">
        <w:rPr>
          <w:rFonts w:asciiTheme="minorHAnsi" w:hAnsiTheme="minorHAnsi" w:cstheme="minorHAnsi"/>
          <w:sz w:val="20"/>
        </w:rPr>
        <w:t>NO</w:t>
      </w:r>
      <w:r w:rsidRPr="00A27E6F">
        <w:rPr>
          <w:rFonts w:asciiTheme="minorHAnsi" w:hAnsiTheme="minorHAnsi" w:cstheme="minorHAnsi"/>
          <w:sz w:val="20"/>
          <w:vertAlign w:val="subscript"/>
        </w:rPr>
        <w:t>x</w:t>
      </w:r>
      <w:proofErr w:type="spellEnd"/>
      <w:r w:rsidRPr="00A27E6F">
        <w:rPr>
          <w:rFonts w:asciiTheme="minorHAnsi" w:hAnsiTheme="minorHAnsi" w:cstheme="minorHAnsi"/>
          <w:sz w:val="20"/>
        </w:rPr>
        <w:t xml:space="preserve"> požadovaného NPSE v</w:t>
      </w:r>
      <w:r w:rsidRPr="00A27E6F" w:rsidR="00741E3B">
        <w:rPr>
          <w:rFonts w:asciiTheme="minorHAnsi" w:hAnsiTheme="minorHAnsi" w:cstheme="minorHAnsi"/>
          <w:sz w:val="20"/>
        </w:rPr>
        <w:t> </w:t>
      </w:r>
      <w:r w:rsidRPr="00A27E6F">
        <w:rPr>
          <w:rFonts w:asciiTheme="minorHAnsi" w:hAnsiTheme="minorHAnsi" w:cstheme="minorHAnsi"/>
          <w:sz w:val="20"/>
        </w:rPr>
        <w:t>roce 2030</w:t>
      </w:r>
      <w:bookmarkEnd w:id="20"/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724"/>
        <w:gridCol w:w="1540"/>
        <w:gridCol w:w="1360"/>
        <w:gridCol w:w="1540"/>
        <w:gridCol w:w="1480"/>
      </w:tblGrid>
      <w:tr w:rsidRPr="00A27E6F" w:rsidR="00914682" w:rsidTr="000D5FF3" w14:paraId="65E54F89" w14:textId="77777777">
        <w:trPr>
          <w:trHeight w:val="300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27E6F" w:rsidR="003A12B0" w:rsidP="00D10829" w:rsidRDefault="003A12B0" w14:paraId="43815C6E" w14:textId="77777777">
            <w:pPr>
              <w:spacing w:after="12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Druh vozidla</w:t>
            </w:r>
          </w:p>
        </w:tc>
        <w:tc>
          <w:tcPr>
            <w:tcW w:w="1724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27E6F" w:rsidR="003A12B0" w:rsidP="00D10829" w:rsidRDefault="003A12B0" w14:paraId="54C3B117" w14:textId="77777777">
            <w:pPr>
              <w:spacing w:after="12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Počet vozidel dle scénáře NPSE WM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27E6F" w:rsidR="003A12B0" w:rsidP="00D10829" w:rsidRDefault="003A12B0" w14:paraId="726DA3FB" w14:textId="77777777">
            <w:pPr>
              <w:spacing w:after="12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Počet vozidel dle NAP ČM</w:t>
            </w:r>
          </w:p>
        </w:tc>
        <w:tc>
          <w:tcPr>
            <w:tcW w:w="3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27E6F" w:rsidR="003A12B0" w:rsidP="00D10829" w:rsidRDefault="003A12B0" w14:paraId="7338D236" w14:textId="77777777">
            <w:pPr>
              <w:spacing w:after="12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 xml:space="preserve">Úspora emisí </w:t>
            </w:r>
            <w:proofErr w:type="spellStart"/>
            <w:r w:rsidRPr="00A27E6F">
              <w:rPr>
                <w:rFonts w:cstheme="minorHAnsi"/>
                <w:color w:val="auto"/>
                <w:sz w:val="20"/>
                <w:szCs w:val="20"/>
              </w:rPr>
              <w:t>NO</w:t>
            </w:r>
            <w:r w:rsidRPr="00A27E6F">
              <w:rPr>
                <w:rFonts w:cstheme="minorHAnsi"/>
                <w:color w:val="auto"/>
                <w:sz w:val="20"/>
                <w:szCs w:val="20"/>
                <w:vertAlign w:val="subscript"/>
              </w:rPr>
              <w:t>x</w:t>
            </w:r>
            <w:proofErr w:type="spellEnd"/>
            <w:r w:rsidRPr="00A27E6F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A27E6F">
              <w:rPr>
                <w:rFonts w:cstheme="minorHAnsi"/>
                <w:color w:val="auto"/>
                <w:sz w:val="20"/>
                <w:szCs w:val="20"/>
                <w:lang w:val="de-DE"/>
              </w:rPr>
              <w:t>[</w:t>
            </w:r>
            <w:r w:rsidRPr="00A27E6F">
              <w:rPr>
                <w:rFonts w:cstheme="minorHAnsi"/>
                <w:color w:val="auto"/>
                <w:sz w:val="20"/>
                <w:szCs w:val="20"/>
              </w:rPr>
              <w:t>t/</w:t>
            </w:r>
            <w:proofErr w:type="gramStart"/>
            <w:r w:rsidRPr="00A27E6F">
              <w:rPr>
                <w:rFonts w:cstheme="minorHAnsi"/>
                <w:color w:val="auto"/>
                <w:sz w:val="20"/>
                <w:szCs w:val="20"/>
              </w:rPr>
              <w:t>rok]*</w:t>
            </w:r>
            <w:proofErr w:type="gramEnd"/>
          </w:p>
        </w:tc>
      </w:tr>
      <w:tr w:rsidRPr="00A27E6F" w:rsidR="00914682" w:rsidTr="000D5FF3" w14:paraId="7A14F0B2" w14:textId="77777777">
        <w:trPr>
          <w:trHeight w:val="615"/>
        </w:trPr>
        <w:tc>
          <w:tcPr>
            <w:tcW w:w="1696" w:type="dxa"/>
            <w:vMerge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  <w:hideMark/>
          </w:tcPr>
          <w:p w:rsidRPr="00A27E6F" w:rsidR="003A12B0" w:rsidP="00D10829" w:rsidRDefault="003A12B0" w14:paraId="29292698" w14:textId="77777777">
            <w:pPr>
              <w:spacing w:after="12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  <w:hideMark/>
          </w:tcPr>
          <w:p w:rsidRPr="00A27E6F" w:rsidR="003A12B0" w:rsidP="00D10829" w:rsidRDefault="003A12B0" w14:paraId="2ABA574F" w14:textId="77777777">
            <w:pPr>
              <w:spacing w:after="12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27E6F" w:rsidR="003A12B0" w:rsidP="00D10829" w:rsidRDefault="003A12B0" w14:paraId="49B42D1E" w14:textId="77777777">
            <w:pPr>
              <w:spacing w:after="12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Minimální počet</w:t>
            </w:r>
          </w:p>
        </w:tc>
        <w:tc>
          <w:tcPr>
            <w:tcW w:w="136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27E6F" w:rsidR="003A12B0" w:rsidP="00D10829" w:rsidRDefault="003A12B0" w14:paraId="2033B350" w14:textId="77777777">
            <w:pPr>
              <w:spacing w:after="12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Maximální počet</w:t>
            </w:r>
          </w:p>
        </w:tc>
        <w:tc>
          <w:tcPr>
            <w:tcW w:w="154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27E6F" w:rsidR="003A12B0" w:rsidP="00D10829" w:rsidRDefault="003A12B0" w14:paraId="7A72CE9D" w14:textId="77777777">
            <w:pPr>
              <w:spacing w:after="12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při min. počtu vozidel</w:t>
            </w:r>
          </w:p>
        </w:tc>
        <w:tc>
          <w:tcPr>
            <w:tcW w:w="148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27E6F" w:rsidR="003A12B0" w:rsidP="00D10829" w:rsidRDefault="003A12B0" w14:paraId="216D52F9" w14:textId="77777777">
            <w:pPr>
              <w:spacing w:after="12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při max. počtu vozidel</w:t>
            </w:r>
          </w:p>
        </w:tc>
      </w:tr>
      <w:tr w:rsidRPr="00A27E6F" w:rsidR="00914682" w:rsidTr="000D5FF3" w14:paraId="24E7C525" w14:textId="77777777">
        <w:trPr>
          <w:trHeight w:val="302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27E6F" w:rsidR="003A12B0" w:rsidP="00D10829" w:rsidRDefault="003A12B0" w14:paraId="1062DF7E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OA BEV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27E6F" w:rsidR="003A12B0" w:rsidP="00D10829" w:rsidRDefault="003A12B0" w14:paraId="3C249DF2" w14:textId="77777777">
            <w:pPr>
              <w:spacing w:after="12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60 169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27E6F" w:rsidR="003A12B0" w:rsidP="00D10829" w:rsidRDefault="003A12B0" w14:paraId="63CC1717" w14:textId="77777777">
            <w:pPr>
              <w:spacing w:after="12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220 000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27E6F" w:rsidR="003A12B0" w:rsidP="00D10829" w:rsidRDefault="003A12B0" w14:paraId="279EC6D1" w14:textId="77777777">
            <w:pPr>
              <w:spacing w:after="12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500 000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27E6F" w:rsidR="003A12B0" w:rsidP="00D10829" w:rsidRDefault="003A12B0" w14:paraId="113E0443" w14:textId="77777777">
            <w:pPr>
              <w:spacing w:after="12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189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27E6F" w:rsidR="003A12B0" w:rsidP="00D10829" w:rsidRDefault="003A12B0" w14:paraId="13364AFF" w14:textId="77777777">
            <w:pPr>
              <w:spacing w:after="12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521</w:t>
            </w:r>
          </w:p>
        </w:tc>
      </w:tr>
      <w:tr w:rsidRPr="00A27E6F" w:rsidR="00914682" w:rsidTr="000D5FF3" w14:paraId="57BF0CEF" w14:textId="77777777">
        <w:trPr>
          <w:trHeight w:val="302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27E6F" w:rsidR="003A12B0" w:rsidP="00D10829" w:rsidRDefault="003A12B0" w14:paraId="6A82F23B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OA H</w:t>
            </w:r>
            <w:r w:rsidRPr="00A27E6F">
              <w:rPr>
                <w:rFonts w:cstheme="minorHAnsi"/>
                <w:color w:val="auto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27E6F" w:rsidR="003A12B0" w:rsidP="00D10829" w:rsidRDefault="003A12B0" w14:paraId="3C93C0D0" w14:textId="77777777">
            <w:pPr>
              <w:spacing w:after="12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27E6F" w:rsidR="003A12B0" w:rsidP="00D10829" w:rsidRDefault="003A12B0" w14:paraId="0B58BD50" w14:textId="77777777">
            <w:pPr>
              <w:spacing w:after="12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40 000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27E6F" w:rsidR="003A12B0" w:rsidP="00D10829" w:rsidRDefault="003A12B0" w14:paraId="6663600E" w14:textId="77777777">
            <w:pPr>
              <w:spacing w:after="12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27E6F" w:rsidR="003A12B0" w:rsidP="00D10829" w:rsidRDefault="003A12B0" w14:paraId="0D68E98F" w14:textId="77777777">
            <w:pPr>
              <w:spacing w:after="12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27E6F" w:rsidR="003A12B0" w:rsidP="00D10829" w:rsidRDefault="003A12B0" w14:paraId="0CD4B8B7" w14:textId="77777777">
            <w:pPr>
              <w:spacing w:after="12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59</w:t>
            </w:r>
          </w:p>
        </w:tc>
      </w:tr>
      <w:tr w:rsidRPr="00A27E6F" w:rsidR="00914682" w:rsidTr="000D5FF3" w14:paraId="4BC441F9" w14:textId="77777777">
        <w:trPr>
          <w:trHeight w:val="302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27E6F" w:rsidR="003A12B0" w:rsidP="00D10829" w:rsidRDefault="003A12B0" w14:paraId="57601F77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BUS BEV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27E6F" w:rsidR="003A12B0" w:rsidP="00D10829" w:rsidRDefault="003A12B0" w14:paraId="1DA3EEA0" w14:textId="77777777">
            <w:pPr>
              <w:spacing w:after="12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409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27E6F" w:rsidR="003A12B0" w:rsidP="00D10829" w:rsidRDefault="003A12B0" w14:paraId="35063429" w14:textId="77777777">
            <w:pPr>
              <w:spacing w:after="12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27E6F" w:rsidR="003A12B0" w:rsidP="00D10829" w:rsidRDefault="003A12B0" w14:paraId="4A0BE009" w14:textId="77777777">
            <w:pPr>
              <w:spacing w:after="12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1 200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27E6F" w:rsidR="003A12B0" w:rsidP="00D10829" w:rsidRDefault="003A12B0" w14:paraId="449E9CA0" w14:textId="77777777">
            <w:pPr>
              <w:spacing w:after="12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27E6F" w:rsidR="003A12B0" w:rsidP="00D10829" w:rsidRDefault="003A12B0" w14:paraId="13EB7A6C" w14:textId="77777777">
            <w:pPr>
              <w:spacing w:after="12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14</w:t>
            </w:r>
          </w:p>
        </w:tc>
      </w:tr>
      <w:tr w:rsidRPr="00A27E6F" w:rsidR="003A12B0" w:rsidTr="000D5FF3" w14:paraId="042339BB" w14:textId="77777777">
        <w:trPr>
          <w:trHeight w:val="302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27E6F" w:rsidR="003A12B0" w:rsidP="00D10829" w:rsidRDefault="003A12B0" w14:paraId="4323C4E6" w14:textId="77777777">
            <w:pPr>
              <w:spacing w:after="12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BUS H</w:t>
            </w:r>
            <w:r w:rsidRPr="00A27E6F">
              <w:rPr>
                <w:rFonts w:cstheme="minorHAnsi"/>
                <w:color w:val="auto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27E6F" w:rsidR="003A12B0" w:rsidP="00D10829" w:rsidRDefault="003A12B0" w14:paraId="4E45846B" w14:textId="77777777">
            <w:pPr>
              <w:spacing w:after="12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27E6F" w:rsidR="003A12B0" w:rsidP="00D10829" w:rsidRDefault="003A12B0" w14:paraId="5BF5E70B" w14:textId="77777777">
            <w:pPr>
              <w:spacing w:after="12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27E6F" w:rsidR="003A12B0" w:rsidP="00D10829" w:rsidRDefault="003A12B0" w14:paraId="03AD799A" w14:textId="77777777">
            <w:pPr>
              <w:spacing w:after="12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27E6F" w:rsidR="003A12B0" w:rsidP="00D10829" w:rsidRDefault="003A12B0" w14:paraId="311EABF0" w14:textId="77777777">
            <w:pPr>
              <w:spacing w:after="12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27E6F" w:rsidR="003A12B0" w:rsidP="00D10829" w:rsidRDefault="003A12B0" w14:paraId="00B6E95D" w14:textId="77777777">
            <w:pPr>
              <w:spacing w:after="120" w:line="240" w:lineRule="aut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A27E6F">
              <w:rPr>
                <w:rFonts w:cstheme="minorHAnsi"/>
                <w:color w:val="auto"/>
                <w:sz w:val="20"/>
                <w:szCs w:val="20"/>
              </w:rPr>
              <w:t>16</w:t>
            </w:r>
          </w:p>
        </w:tc>
      </w:tr>
    </w:tbl>
    <w:p w:rsidRPr="00A45E06" w:rsidR="003A12B0" w:rsidP="00D10829" w:rsidRDefault="003A12B0" w14:paraId="49828D30" w14:textId="77777777">
      <w:pPr>
        <w:spacing w:after="120" w:line="240" w:lineRule="auto"/>
        <w:jc w:val="both"/>
        <w:rPr>
          <w:rFonts w:cstheme="minorHAnsi"/>
          <w:i/>
          <w:color w:val="auto"/>
          <w:sz w:val="20"/>
          <w:szCs w:val="20"/>
        </w:rPr>
      </w:pPr>
      <w:r w:rsidRPr="00A45E06">
        <w:rPr>
          <w:rFonts w:cstheme="minorHAnsi"/>
          <w:i/>
          <w:color w:val="auto"/>
          <w:sz w:val="20"/>
          <w:szCs w:val="20"/>
        </w:rPr>
        <w:t>*Úspora emisí je vypočítána na základě emisní projekce NPSE, která zohledňuje předpokládanou strukturu vozového parku v</w:t>
      </w:r>
      <w:r w:rsidRPr="00A45E06" w:rsidR="00741E3B">
        <w:rPr>
          <w:rFonts w:cstheme="minorHAnsi"/>
          <w:i/>
          <w:color w:val="auto"/>
          <w:sz w:val="20"/>
          <w:szCs w:val="20"/>
        </w:rPr>
        <w:t> </w:t>
      </w:r>
      <w:r w:rsidRPr="00A45E06">
        <w:rPr>
          <w:rFonts w:cstheme="minorHAnsi"/>
          <w:i/>
          <w:color w:val="auto"/>
          <w:sz w:val="20"/>
          <w:szCs w:val="20"/>
        </w:rPr>
        <w:t>roce 2030 (počet vozidel dle druhu používaného paliva a</w:t>
      </w:r>
      <w:r w:rsidRPr="00A45E06" w:rsidR="00741E3B">
        <w:rPr>
          <w:rFonts w:cstheme="minorHAnsi"/>
          <w:i/>
          <w:color w:val="auto"/>
          <w:sz w:val="20"/>
          <w:szCs w:val="20"/>
        </w:rPr>
        <w:t> </w:t>
      </w:r>
      <w:r w:rsidRPr="00A45E06">
        <w:rPr>
          <w:rFonts w:cstheme="minorHAnsi"/>
          <w:i/>
          <w:color w:val="auto"/>
          <w:sz w:val="20"/>
          <w:szCs w:val="20"/>
        </w:rPr>
        <w:t>plnění emisních norem EURO), počet najetých kilometrů dle reálných projezdů vozidel z</w:t>
      </w:r>
      <w:r w:rsidRPr="00A45E06" w:rsidR="00741E3B">
        <w:rPr>
          <w:rFonts w:cstheme="minorHAnsi"/>
          <w:i/>
          <w:color w:val="auto"/>
          <w:sz w:val="20"/>
          <w:szCs w:val="20"/>
        </w:rPr>
        <w:t> </w:t>
      </w:r>
      <w:r w:rsidRPr="00A45E06">
        <w:rPr>
          <w:rFonts w:cstheme="minorHAnsi"/>
          <w:i/>
          <w:color w:val="auto"/>
          <w:sz w:val="20"/>
          <w:szCs w:val="20"/>
        </w:rPr>
        <w:t>CIS STK a</w:t>
      </w:r>
      <w:r w:rsidRPr="00A45E06" w:rsidR="00741E3B">
        <w:rPr>
          <w:rFonts w:cstheme="minorHAnsi"/>
          <w:i/>
          <w:color w:val="auto"/>
          <w:sz w:val="20"/>
          <w:szCs w:val="20"/>
        </w:rPr>
        <w:t> </w:t>
      </w:r>
      <w:r w:rsidRPr="00A45E06">
        <w:rPr>
          <w:rFonts w:cstheme="minorHAnsi"/>
          <w:i/>
          <w:color w:val="auto"/>
          <w:sz w:val="20"/>
          <w:szCs w:val="20"/>
        </w:rPr>
        <w:t>emisní faktory dle modelu COPERT. Předpokládá se, že OA BEV a</w:t>
      </w:r>
      <w:r w:rsidRPr="00A45E06" w:rsidR="00741E3B">
        <w:rPr>
          <w:rFonts w:cstheme="minorHAnsi"/>
          <w:i/>
          <w:color w:val="auto"/>
          <w:sz w:val="20"/>
          <w:szCs w:val="20"/>
        </w:rPr>
        <w:t> </w:t>
      </w:r>
      <w:r w:rsidRPr="00A45E06">
        <w:rPr>
          <w:rFonts w:cstheme="minorHAnsi"/>
          <w:i/>
          <w:color w:val="auto"/>
          <w:sz w:val="20"/>
          <w:szCs w:val="20"/>
        </w:rPr>
        <w:t>OA H</w:t>
      </w:r>
      <w:r w:rsidRPr="00A45E06">
        <w:rPr>
          <w:rFonts w:cstheme="minorHAnsi"/>
          <w:i/>
          <w:color w:val="auto"/>
          <w:sz w:val="20"/>
          <w:szCs w:val="20"/>
          <w:vertAlign w:val="subscript"/>
        </w:rPr>
        <w:t>2</w:t>
      </w:r>
      <w:r w:rsidRPr="00A45E06">
        <w:rPr>
          <w:rFonts w:cstheme="minorHAnsi"/>
          <w:i/>
          <w:color w:val="auto"/>
          <w:sz w:val="20"/>
          <w:szCs w:val="20"/>
        </w:rPr>
        <w:t xml:space="preserve"> nahradí v</w:t>
      </w:r>
      <w:r w:rsidRPr="00A45E06" w:rsidR="00741E3B">
        <w:rPr>
          <w:rFonts w:cstheme="minorHAnsi"/>
          <w:i/>
          <w:color w:val="auto"/>
          <w:sz w:val="20"/>
          <w:szCs w:val="20"/>
        </w:rPr>
        <w:t> </w:t>
      </w:r>
      <w:r w:rsidRPr="00A45E06">
        <w:rPr>
          <w:rFonts w:cstheme="minorHAnsi"/>
          <w:i/>
          <w:color w:val="auto"/>
          <w:sz w:val="20"/>
          <w:szCs w:val="20"/>
        </w:rPr>
        <w:t>90 % případech vozidla EURO 6 a</w:t>
      </w:r>
      <w:r w:rsidRPr="00A45E06" w:rsidR="00741E3B">
        <w:rPr>
          <w:rFonts w:cstheme="minorHAnsi"/>
          <w:i/>
          <w:color w:val="auto"/>
          <w:sz w:val="20"/>
          <w:szCs w:val="20"/>
        </w:rPr>
        <w:t> </w:t>
      </w:r>
      <w:r w:rsidRPr="00A45E06">
        <w:rPr>
          <w:rFonts w:cstheme="minorHAnsi"/>
          <w:i/>
          <w:color w:val="auto"/>
          <w:sz w:val="20"/>
          <w:szCs w:val="20"/>
        </w:rPr>
        <w:t>v 10 % vozidla EURO 5, přičemž zastoupení naftových a</w:t>
      </w:r>
      <w:r w:rsidRPr="00A45E06" w:rsidR="00741E3B">
        <w:rPr>
          <w:rFonts w:cstheme="minorHAnsi"/>
          <w:i/>
          <w:color w:val="auto"/>
          <w:sz w:val="20"/>
          <w:szCs w:val="20"/>
        </w:rPr>
        <w:t> </w:t>
      </w:r>
      <w:r w:rsidRPr="00A45E06">
        <w:rPr>
          <w:rFonts w:cstheme="minorHAnsi"/>
          <w:i/>
          <w:color w:val="auto"/>
          <w:sz w:val="20"/>
          <w:szCs w:val="20"/>
        </w:rPr>
        <w:t xml:space="preserve">benzínových vozidel bude stejné. </w:t>
      </w:r>
    </w:p>
    <w:p w:rsidR="00A45E06" w:rsidP="00D10829" w:rsidRDefault="00A45E06" w14:paraId="7A21F5C1" w14:textId="77777777">
      <w:pPr>
        <w:spacing w:after="120" w:line="240" w:lineRule="auto"/>
        <w:jc w:val="both"/>
        <w:rPr>
          <w:rFonts w:cstheme="minorHAnsi"/>
          <w:color w:val="auto"/>
          <w:sz w:val="20"/>
          <w:szCs w:val="20"/>
        </w:rPr>
      </w:pPr>
    </w:p>
    <w:p w:rsidRPr="00A27E6F" w:rsidR="003A12B0" w:rsidP="00D10829" w:rsidRDefault="003A12B0" w14:paraId="306F43C1" w14:textId="60676887">
      <w:pPr>
        <w:spacing w:after="120" w:line="240" w:lineRule="auto"/>
        <w:jc w:val="both"/>
        <w:rPr>
          <w:rFonts w:cstheme="minorHAnsi"/>
          <w:color w:val="auto"/>
          <w:sz w:val="20"/>
          <w:szCs w:val="20"/>
        </w:rPr>
      </w:pPr>
      <w:bookmarkStart w:name="_GoBack" w:id="21"/>
      <w:bookmarkEnd w:id="21"/>
      <w:r w:rsidRPr="00A27E6F">
        <w:rPr>
          <w:rFonts w:cstheme="minorHAnsi"/>
          <w:color w:val="auto"/>
          <w:sz w:val="20"/>
          <w:szCs w:val="20"/>
        </w:rPr>
        <w:t>Z uvedené tabulky vyplývá, že při naplnění minimálního počtu vozidel s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 xml:space="preserve">alternativním pohonem dle Aktualizace NAP ČM bude dosaženo úspory emisí </w:t>
      </w:r>
      <w:proofErr w:type="spellStart"/>
      <w:r w:rsidRPr="00A27E6F">
        <w:rPr>
          <w:rFonts w:cstheme="minorHAnsi"/>
          <w:color w:val="auto"/>
          <w:sz w:val="20"/>
          <w:szCs w:val="20"/>
        </w:rPr>
        <w:t>NO</w:t>
      </w:r>
      <w:r w:rsidRPr="00A27E6F">
        <w:rPr>
          <w:rFonts w:cstheme="minorHAnsi"/>
          <w:color w:val="auto"/>
          <w:sz w:val="20"/>
          <w:szCs w:val="20"/>
          <w:vertAlign w:val="subscript"/>
        </w:rPr>
        <w:t>x</w:t>
      </w:r>
      <w:proofErr w:type="spellEnd"/>
      <w:r w:rsidRPr="00A27E6F">
        <w:rPr>
          <w:rFonts w:cstheme="minorHAnsi"/>
          <w:color w:val="auto"/>
          <w:sz w:val="20"/>
          <w:szCs w:val="20"/>
        </w:rPr>
        <w:t xml:space="preserve"> pouze 224 tun ročně. V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 xml:space="preserve">případě naplnění maximálního předpokládaného počtu vozidel bude dosaženo úspory emisí </w:t>
      </w:r>
      <w:proofErr w:type="spellStart"/>
      <w:r w:rsidRPr="00A27E6F">
        <w:rPr>
          <w:rFonts w:cstheme="minorHAnsi"/>
          <w:color w:val="auto"/>
          <w:sz w:val="20"/>
          <w:szCs w:val="20"/>
        </w:rPr>
        <w:t>NO</w:t>
      </w:r>
      <w:r w:rsidRPr="00A27E6F">
        <w:rPr>
          <w:rFonts w:cstheme="minorHAnsi"/>
          <w:color w:val="auto"/>
          <w:sz w:val="20"/>
          <w:szCs w:val="20"/>
          <w:vertAlign w:val="subscript"/>
        </w:rPr>
        <w:t>x</w:t>
      </w:r>
      <w:proofErr w:type="spellEnd"/>
      <w:r w:rsidRPr="00A27E6F">
        <w:rPr>
          <w:rFonts w:cstheme="minorHAnsi"/>
          <w:color w:val="auto"/>
          <w:sz w:val="20"/>
          <w:szCs w:val="20"/>
        </w:rPr>
        <w:t xml:space="preserve"> cca 0,6 </w:t>
      </w:r>
      <w:proofErr w:type="spellStart"/>
      <w:r w:rsidRPr="00A27E6F">
        <w:rPr>
          <w:rFonts w:cstheme="minorHAnsi"/>
          <w:color w:val="auto"/>
          <w:sz w:val="20"/>
          <w:szCs w:val="20"/>
        </w:rPr>
        <w:t>kt</w:t>
      </w:r>
      <w:proofErr w:type="spellEnd"/>
      <w:r w:rsidRPr="00A27E6F">
        <w:rPr>
          <w:rFonts w:cstheme="minorHAnsi"/>
          <w:color w:val="auto"/>
          <w:sz w:val="20"/>
          <w:szCs w:val="20"/>
        </w:rPr>
        <w:t xml:space="preserve">. Samotný NAP ČM tak nezajistí požadované snížení emisí </w:t>
      </w:r>
      <w:proofErr w:type="spellStart"/>
      <w:r w:rsidRPr="00A27E6F">
        <w:rPr>
          <w:rFonts w:cstheme="minorHAnsi"/>
          <w:color w:val="auto"/>
          <w:sz w:val="20"/>
          <w:szCs w:val="20"/>
        </w:rPr>
        <w:t>NOx</w:t>
      </w:r>
      <w:proofErr w:type="spellEnd"/>
      <w:r w:rsidRPr="00A27E6F">
        <w:rPr>
          <w:rFonts w:cstheme="minorHAnsi"/>
          <w:color w:val="auto"/>
          <w:sz w:val="20"/>
          <w:szCs w:val="20"/>
        </w:rPr>
        <w:t xml:space="preserve"> o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 xml:space="preserve">5 </w:t>
      </w:r>
      <w:proofErr w:type="spellStart"/>
      <w:r w:rsidRPr="00A27E6F">
        <w:rPr>
          <w:rFonts w:cstheme="minorHAnsi"/>
          <w:color w:val="auto"/>
          <w:sz w:val="20"/>
          <w:szCs w:val="20"/>
        </w:rPr>
        <w:t>kt</w:t>
      </w:r>
      <w:proofErr w:type="spellEnd"/>
      <w:r w:rsidRPr="00A27E6F">
        <w:rPr>
          <w:rFonts w:cstheme="minorHAnsi"/>
          <w:color w:val="auto"/>
          <w:sz w:val="20"/>
          <w:szCs w:val="20"/>
        </w:rPr>
        <w:t>. Vzhledem k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>tomu, že ČR je tranzitní zemí, může ve skutečnosti hlavní cíl NAP CM, tj. zavedení infrastruktury pro alternativní paliva, snížit tyto emise ve větším měřítku, protože zahraniční dopravci se podílí více jak 50 % na přepravních výkonech u</w:t>
      </w:r>
      <w:r w:rsidRPr="00A27E6F" w:rsidR="00741E3B">
        <w:rPr>
          <w:rFonts w:cstheme="minorHAnsi"/>
          <w:color w:val="auto"/>
          <w:sz w:val="20"/>
          <w:szCs w:val="20"/>
        </w:rPr>
        <w:t> </w:t>
      </w:r>
      <w:r w:rsidRPr="00A27E6F">
        <w:rPr>
          <w:rFonts w:cstheme="minorHAnsi"/>
          <w:color w:val="auto"/>
          <w:sz w:val="20"/>
          <w:szCs w:val="20"/>
        </w:rPr>
        <w:t xml:space="preserve">nás. </w:t>
      </w:r>
    </w:p>
    <w:p w:rsidRPr="00A27E6F" w:rsidR="001F32B2" w:rsidP="00D10829" w:rsidRDefault="001F32B2" w14:paraId="37870A5F" w14:textId="77777777">
      <w:pPr>
        <w:pStyle w:val="Odstavecseseznamem"/>
        <w:spacing w:after="120" w:line="240" w:lineRule="auto"/>
        <w:ind w:left="0"/>
        <w:jc w:val="both"/>
        <w:rPr>
          <w:rFonts w:cstheme="minorHAnsi"/>
          <w:iCs/>
          <w:color w:val="auto"/>
          <w:sz w:val="20"/>
          <w:szCs w:val="20"/>
        </w:rPr>
      </w:pPr>
      <w:r w:rsidRPr="00A27E6F">
        <w:rPr>
          <w:rFonts w:cstheme="minorHAnsi"/>
          <w:iCs/>
          <w:color w:val="auto"/>
          <w:sz w:val="20"/>
          <w:szCs w:val="20"/>
        </w:rPr>
        <w:t>Vládou ČR schválený Vnitrostátní plán ČR v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>oblasti energetiky a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>klimatu (MPO ČR, listopad 2019) určuje pro oblast zvyšování energetické účinnosti závazný cíl snižovat v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>období let 2021 až 2030 konečnou spotřebu energie, a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>to zaváděním nových úspor tempem 0,8 %/rok, tedy 8,4 PJ/rok (při</w:t>
      </w:r>
      <w:r w:rsidRPr="00A27E6F" w:rsidR="009F7E3A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>předpokládané úrovni konečné spotřeby energie v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>ČR v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>roce 2020 v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>úrovni 1 050 PJ/rok). To znamená v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>přepočtu pro obor dopravy (při předpokládané úrovni konečné spotřeby energie v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>dopravě v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>ČR v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>roce 2020 v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 xml:space="preserve">úrovni 305 PJ/rok – 85 </w:t>
      </w:r>
      <w:proofErr w:type="spellStart"/>
      <w:r w:rsidRPr="00A27E6F">
        <w:rPr>
          <w:rFonts w:cstheme="minorHAnsi"/>
          <w:iCs/>
          <w:color w:val="auto"/>
          <w:sz w:val="20"/>
          <w:szCs w:val="20"/>
        </w:rPr>
        <w:t>TWh</w:t>
      </w:r>
      <w:proofErr w:type="spellEnd"/>
      <w:r w:rsidRPr="00A27E6F">
        <w:rPr>
          <w:rFonts w:cstheme="minorHAnsi"/>
          <w:iCs/>
          <w:color w:val="auto"/>
          <w:sz w:val="20"/>
          <w:szCs w:val="20"/>
        </w:rPr>
        <w:t>/rok) zvyšovat úspory energie v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>dopravě tempem 2,44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 xml:space="preserve">PJ/rok (0,68 </w:t>
      </w:r>
      <w:proofErr w:type="spellStart"/>
      <w:r w:rsidRPr="00A27E6F">
        <w:rPr>
          <w:rFonts w:cstheme="minorHAnsi"/>
          <w:iCs/>
          <w:color w:val="auto"/>
          <w:sz w:val="20"/>
          <w:szCs w:val="20"/>
        </w:rPr>
        <w:t>TWh</w:t>
      </w:r>
      <w:proofErr w:type="spellEnd"/>
      <w:r w:rsidRPr="00A27E6F">
        <w:rPr>
          <w:rFonts w:cstheme="minorHAnsi"/>
          <w:iCs/>
          <w:color w:val="auto"/>
          <w:sz w:val="20"/>
          <w:szCs w:val="20"/>
        </w:rPr>
        <w:t xml:space="preserve">/rok). </w:t>
      </w:r>
    </w:p>
    <w:p w:rsidRPr="00A27E6F" w:rsidR="001F32B2" w:rsidP="00D10829" w:rsidRDefault="001F32B2" w14:paraId="52A5AE62" w14:textId="77777777">
      <w:pPr>
        <w:pStyle w:val="Odstavecseseznamem"/>
        <w:spacing w:after="120" w:line="240" w:lineRule="auto"/>
        <w:ind w:left="0"/>
        <w:jc w:val="both"/>
        <w:rPr>
          <w:rFonts w:cstheme="minorHAnsi"/>
          <w:iCs/>
          <w:color w:val="auto"/>
          <w:sz w:val="20"/>
          <w:szCs w:val="20"/>
        </w:rPr>
      </w:pPr>
      <w:r w:rsidRPr="00A27E6F">
        <w:rPr>
          <w:rFonts w:cstheme="minorHAnsi"/>
          <w:iCs/>
          <w:color w:val="auto"/>
          <w:sz w:val="20"/>
          <w:szCs w:val="20"/>
        </w:rPr>
        <w:t>V oblasti snižování produkce oxidu uhličitého určuje Vnitrostátní plán ČR v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>oblasti energetiky a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>klimatu cíl snížit mezi roky 2020 a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>2030 emise CO</w:t>
      </w:r>
      <w:r w:rsidRPr="00A27E6F">
        <w:rPr>
          <w:rFonts w:cstheme="minorHAnsi"/>
          <w:iCs/>
          <w:color w:val="auto"/>
          <w:sz w:val="20"/>
          <w:szCs w:val="20"/>
          <w:vertAlign w:val="subscript"/>
        </w:rPr>
        <w:t>2</w:t>
      </w:r>
      <w:r w:rsidRPr="00A27E6F">
        <w:rPr>
          <w:rFonts w:cstheme="minorHAnsi"/>
          <w:iCs/>
          <w:color w:val="auto"/>
          <w:sz w:val="20"/>
          <w:szCs w:val="20"/>
        </w:rPr>
        <w:t xml:space="preserve"> produkované spalováním fosilních paliv ze 116 </w:t>
      </w:r>
      <w:proofErr w:type="spellStart"/>
      <w:r w:rsidRPr="00A27E6F">
        <w:rPr>
          <w:rFonts w:cstheme="minorHAnsi"/>
          <w:iCs/>
          <w:color w:val="auto"/>
          <w:sz w:val="20"/>
          <w:szCs w:val="20"/>
        </w:rPr>
        <w:t>Mt</w:t>
      </w:r>
      <w:proofErr w:type="spellEnd"/>
      <w:r w:rsidRPr="00A27E6F">
        <w:rPr>
          <w:rFonts w:cstheme="minorHAnsi"/>
          <w:iCs/>
          <w:color w:val="auto"/>
          <w:sz w:val="20"/>
          <w:szCs w:val="20"/>
        </w:rPr>
        <w:t xml:space="preserve">/rok na 104 </w:t>
      </w:r>
      <w:proofErr w:type="spellStart"/>
      <w:r w:rsidRPr="00A27E6F">
        <w:rPr>
          <w:rFonts w:cstheme="minorHAnsi"/>
          <w:iCs/>
          <w:color w:val="auto"/>
          <w:sz w:val="20"/>
          <w:szCs w:val="20"/>
        </w:rPr>
        <w:t>Mt</w:t>
      </w:r>
      <w:proofErr w:type="spellEnd"/>
      <w:r w:rsidRPr="00A27E6F">
        <w:rPr>
          <w:rFonts w:cstheme="minorHAnsi"/>
          <w:iCs/>
          <w:color w:val="auto"/>
          <w:sz w:val="20"/>
          <w:szCs w:val="20"/>
        </w:rPr>
        <w:t>/rok, tedy zhruba o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>10 %. To znamená v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>přepočtu pro obor dopravy (při předpokládané úrovni produkce oxidu uhličitého v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>dopravě v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>ČR v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>roce 2020 v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 xml:space="preserve">úrovni 21,3 </w:t>
      </w:r>
      <w:proofErr w:type="spellStart"/>
      <w:r w:rsidRPr="00A27E6F">
        <w:rPr>
          <w:rFonts w:cstheme="minorHAnsi"/>
          <w:iCs/>
          <w:color w:val="auto"/>
          <w:sz w:val="20"/>
          <w:szCs w:val="20"/>
        </w:rPr>
        <w:t>Mt</w:t>
      </w:r>
      <w:proofErr w:type="spellEnd"/>
      <w:r w:rsidRPr="00A27E6F">
        <w:rPr>
          <w:rFonts w:cstheme="minorHAnsi"/>
          <w:iCs/>
          <w:color w:val="auto"/>
          <w:sz w:val="20"/>
          <w:szCs w:val="20"/>
        </w:rPr>
        <w:t>/rok) zvyšovat úspory emisí oxidu uhličitého v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 xml:space="preserve">dopravě tempem 0,2 </w:t>
      </w:r>
      <w:proofErr w:type="spellStart"/>
      <w:r w:rsidRPr="00A27E6F">
        <w:rPr>
          <w:rFonts w:cstheme="minorHAnsi"/>
          <w:iCs/>
          <w:color w:val="auto"/>
          <w:sz w:val="20"/>
          <w:szCs w:val="20"/>
        </w:rPr>
        <w:t>Mt</w:t>
      </w:r>
      <w:proofErr w:type="spellEnd"/>
      <w:r w:rsidRPr="00A27E6F">
        <w:rPr>
          <w:rFonts w:cstheme="minorHAnsi"/>
          <w:iCs/>
          <w:color w:val="auto"/>
          <w:sz w:val="20"/>
          <w:szCs w:val="20"/>
        </w:rPr>
        <w:t>/rok.</w:t>
      </w:r>
    </w:p>
    <w:p w:rsidRPr="00A27E6F" w:rsidR="001F32B2" w:rsidP="00D10829" w:rsidRDefault="001F32B2" w14:paraId="391FD791" w14:textId="77777777">
      <w:pPr>
        <w:pStyle w:val="Odstavecseseznamem"/>
        <w:spacing w:after="120" w:line="240" w:lineRule="auto"/>
        <w:ind w:left="0"/>
        <w:jc w:val="both"/>
        <w:rPr>
          <w:rFonts w:cstheme="minorHAnsi"/>
          <w:iCs/>
          <w:color w:val="auto"/>
          <w:sz w:val="20"/>
          <w:szCs w:val="20"/>
        </w:rPr>
      </w:pPr>
      <w:r w:rsidRPr="00A27E6F">
        <w:rPr>
          <w:rFonts w:cstheme="minorHAnsi"/>
          <w:iCs/>
          <w:color w:val="auto"/>
          <w:sz w:val="20"/>
          <w:szCs w:val="20"/>
        </w:rPr>
        <w:t xml:space="preserve">V tabulce výše uvedená </w:t>
      </w:r>
      <w:proofErr w:type="spellStart"/>
      <w:r w:rsidRPr="00A27E6F">
        <w:rPr>
          <w:rFonts w:cstheme="minorHAnsi"/>
          <w:iCs/>
          <w:color w:val="auto"/>
          <w:sz w:val="20"/>
          <w:szCs w:val="20"/>
        </w:rPr>
        <w:t>intramodální</w:t>
      </w:r>
      <w:proofErr w:type="spellEnd"/>
      <w:r w:rsidRPr="00A27E6F">
        <w:rPr>
          <w:rFonts w:cstheme="minorHAnsi"/>
          <w:iCs/>
          <w:color w:val="auto"/>
          <w:sz w:val="20"/>
          <w:szCs w:val="20"/>
        </w:rPr>
        <w:t xml:space="preserve"> úsporná opatření v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>silniční dopravě přinesou (v uváděném rozpětí počtu vozidel):</w:t>
      </w:r>
    </w:p>
    <w:p w:rsidRPr="00A27E6F" w:rsidR="001F32B2" w:rsidP="00D10829" w:rsidRDefault="001F32B2" w14:paraId="159DBA15" w14:textId="77777777">
      <w:pPr>
        <w:pStyle w:val="Odstavecseseznamem"/>
        <w:numPr>
          <w:ilvl w:val="0"/>
          <w:numId w:val="13"/>
        </w:numPr>
        <w:spacing w:after="120" w:line="240" w:lineRule="auto"/>
        <w:ind w:left="0" w:firstLine="0"/>
        <w:jc w:val="both"/>
        <w:rPr>
          <w:rFonts w:cstheme="minorHAnsi"/>
          <w:iCs/>
          <w:color w:val="auto"/>
          <w:sz w:val="20"/>
          <w:szCs w:val="20"/>
        </w:rPr>
      </w:pPr>
      <w:r w:rsidRPr="00A27E6F">
        <w:rPr>
          <w:rFonts w:cstheme="minorHAnsi"/>
          <w:iCs/>
          <w:color w:val="auto"/>
          <w:sz w:val="20"/>
          <w:szCs w:val="20"/>
        </w:rPr>
        <w:t>úspory konečné spotřeby energie v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 xml:space="preserve">dopravě tempem 0,24 PJ/rok (0,07 </w:t>
      </w:r>
      <w:proofErr w:type="spellStart"/>
      <w:r w:rsidRPr="00A27E6F">
        <w:rPr>
          <w:rFonts w:cstheme="minorHAnsi"/>
          <w:iCs/>
          <w:color w:val="auto"/>
          <w:sz w:val="20"/>
          <w:szCs w:val="20"/>
        </w:rPr>
        <w:t>TWh</w:t>
      </w:r>
      <w:proofErr w:type="spellEnd"/>
      <w:r w:rsidRPr="00A27E6F">
        <w:rPr>
          <w:rFonts w:cstheme="minorHAnsi"/>
          <w:iCs/>
          <w:color w:val="auto"/>
          <w:sz w:val="20"/>
          <w:szCs w:val="20"/>
        </w:rPr>
        <w:t xml:space="preserve">/rok) až 0,50 PJ/rok (0,14 </w:t>
      </w:r>
      <w:proofErr w:type="spellStart"/>
      <w:r w:rsidRPr="00A27E6F">
        <w:rPr>
          <w:rFonts w:cstheme="minorHAnsi"/>
          <w:iCs/>
          <w:color w:val="auto"/>
          <w:sz w:val="20"/>
          <w:szCs w:val="20"/>
        </w:rPr>
        <w:t>TWh</w:t>
      </w:r>
      <w:proofErr w:type="spellEnd"/>
      <w:r w:rsidRPr="00A27E6F">
        <w:rPr>
          <w:rFonts w:cstheme="minorHAnsi"/>
          <w:iCs/>
          <w:color w:val="auto"/>
          <w:sz w:val="20"/>
          <w:szCs w:val="20"/>
        </w:rPr>
        <w:t>/rok),</w:t>
      </w:r>
    </w:p>
    <w:p w:rsidRPr="00A27E6F" w:rsidR="001F32B2" w:rsidP="00D10829" w:rsidRDefault="001F32B2" w14:paraId="5EF87A63" w14:textId="77777777">
      <w:pPr>
        <w:pStyle w:val="Odstavecseseznamem"/>
        <w:numPr>
          <w:ilvl w:val="0"/>
          <w:numId w:val="13"/>
        </w:numPr>
        <w:spacing w:after="120" w:line="240" w:lineRule="auto"/>
        <w:ind w:left="0" w:firstLine="0"/>
        <w:jc w:val="both"/>
        <w:rPr>
          <w:rFonts w:cstheme="minorHAnsi"/>
          <w:iCs/>
          <w:color w:val="auto"/>
          <w:sz w:val="20"/>
          <w:szCs w:val="20"/>
        </w:rPr>
      </w:pPr>
      <w:r w:rsidRPr="00A27E6F">
        <w:rPr>
          <w:rFonts w:cstheme="minorHAnsi"/>
          <w:iCs/>
          <w:color w:val="auto"/>
          <w:sz w:val="20"/>
          <w:szCs w:val="20"/>
        </w:rPr>
        <w:t>úspory produkce oxidu uhličitého v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 xml:space="preserve">dopravě tempem 0,02 </w:t>
      </w:r>
      <w:proofErr w:type="spellStart"/>
      <w:r w:rsidRPr="00A27E6F">
        <w:rPr>
          <w:rFonts w:cstheme="minorHAnsi"/>
          <w:iCs/>
          <w:color w:val="auto"/>
          <w:sz w:val="20"/>
          <w:szCs w:val="20"/>
        </w:rPr>
        <w:t>Mt</w:t>
      </w:r>
      <w:proofErr w:type="spellEnd"/>
      <w:r w:rsidRPr="00A27E6F">
        <w:rPr>
          <w:rFonts w:cstheme="minorHAnsi"/>
          <w:iCs/>
          <w:color w:val="auto"/>
          <w:sz w:val="20"/>
          <w:szCs w:val="20"/>
        </w:rPr>
        <w:t xml:space="preserve">/rok až 0,04 </w:t>
      </w:r>
      <w:proofErr w:type="spellStart"/>
      <w:r w:rsidRPr="00A27E6F">
        <w:rPr>
          <w:rFonts w:cstheme="minorHAnsi"/>
          <w:iCs/>
          <w:color w:val="auto"/>
          <w:sz w:val="20"/>
          <w:szCs w:val="20"/>
        </w:rPr>
        <w:t>Mt</w:t>
      </w:r>
      <w:proofErr w:type="spellEnd"/>
      <w:r w:rsidRPr="00A27E6F">
        <w:rPr>
          <w:rFonts w:cstheme="minorHAnsi"/>
          <w:iCs/>
          <w:color w:val="auto"/>
          <w:sz w:val="20"/>
          <w:szCs w:val="20"/>
        </w:rPr>
        <w:t xml:space="preserve">/rok. </w:t>
      </w:r>
    </w:p>
    <w:p w:rsidRPr="00A27E6F" w:rsidR="001F32B2" w:rsidP="00D10829" w:rsidRDefault="001F32B2" w14:paraId="7D7C2218" w14:textId="77777777">
      <w:pPr>
        <w:pStyle w:val="Odstavecseseznamem"/>
        <w:spacing w:after="120" w:line="240" w:lineRule="auto"/>
        <w:ind w:left="0"/>
        <w:jc w:val="both"/>
        <w:rPr>
          <w:rFonts w:cstheme="minorHAnsi"/>
          <w:bCs/>
          <w:color w:val="auto"/>
          <w:sz w:val="20"/>
          <w:szCs w:val="20"/>
        </w:rPr>
      </w:pPr>
    </w:p>
    <w:p w:rsidRPr="00A27E6F" w:rsidR="001F32B2" w:rsidP="00D10829" w:rsidRDefault="001F32B2" w14:paraId="1E34F5C5" w14:textId="77777777">
      <w:pPr>
        <w:pStyle w:val="Odstavecseseznamem"/>
        <w:spacing w:after="120" w:line="240" w:lineRule="auto"/>
        <w:ind w:left="0"/>
        <w:jc w:val="both"/>
        <w:rPr>
          <w:rFonts w:cstheme="minorHAnsi"/>
          <w:iCs/>
          <w:color w:val="auto"/>
          <w:sz w:val="20"/>
          <w:szCs w:val="20"/>
        </w:rPr>
      </w:pPr>
      <w:r w:rsidRPr="00A27E6F">
        <w:rPr>
          <w:rFonts w:cstheme="minorHAnsi"/>
          <w:iCs/>
          <w:color w:val="auto"/>
          <w:sz w:val="20"/>
          <w:szCs w:val="20"/>
        </w:rPr>
        <w:t>Cíle uvedené v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>tabulce Aktualizace Národního akčního plánu čisté mobility naplňují cíle uvedené ve Vnitrostátním plánu ČR v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>oblasti energetiky a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>klimatu v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>rozsahu 10 až 20 %. A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>to jak v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>oblasti snižování spotřeby energie, tak i</w:t>
      </w:r>
      <w:r w:rsidRPr="00A27E6F" w:rsidR="00741E3B">
        <w:rPr>
          <w:rFonts w:cstheme="minorHAnsi"/>
          <w:iCs/>
          <w:color w:val="auto"/>
          <w:sz w:val="20"/>
          <w:szCs w:val="20"/>
        </w:rPr>
        <w:t> </w:t>
      </w:r>
      <w:r w:rsidRPr="00A27E6F">
        <w:rPr>
          <w:rFonts w:cstheme="minorHAnsi"/>
          <w:iCs/>
          <w:color w:val="auto"/>
          <w:sz w:val="20"/>
          <w:szCs w:val="20"/>
        </w:rPr>
        <w:t>v oblasti snižování emisí oxidu uhličitého.</w:t>
      </w:r>
    </w:p>
    <w:p w:rsidRPr="00A27E6F" w:rsidR="00F1576D" w:rsidP="00D10829" w:rsidRDefault="009408DB" w14:paraId="70C55490" w14:textId="77777777">
      <w:pPr>
        <w:pStyle w:val="00Body"/>
        <w:spacing w:before="0" w:after="120" w:line="240" w:lineRule="auto"/>
        <w:jc w:val="both"/>
        <w:rPr>
          <w:rFonts w:asciiTheme="minorHAnsi" w:hAnsiTheme="minorHAnsi" w:cstheme="minorHAnsi"/>
          <w:sz w:val="20"/>
          <w:lang w:val="cs-CZ"/>
        </w:rPr>
      </w:pPr>
      <w:r w:rsidRPr="00A27E6F">
        <w:rPr>
          <w:rFonts w:asciiTheme="minorHAnsi" w:hAnsiTheme="minorHAnsi" w:cstheme="minorHAnsi"/>
          <w:sz w:val="20"/>
          <w:lang w:val="cs-CZ"/>
        </w:rPr>
        <w:t>Touto komponentou napomůžeme k</w:t>
      </w:r>
      <w:r w:rsidRPr="00A27E6F" w:rsidR="00741E3B">
        <w:rPr>
          <w:rFonts w:asciiTheme="minorHAnsi" w:hAnsiTheme="minorHAnsi" w:cstheme="minorHAnsi"/>
          <w:sz w:val="20"/>
          <w:lang w:val="cs-CZ"/>
        </w:rPr>
        <w:t> </w:t>
      </w:r>
      <w:r w:rsidRPr="00A27E6F">
        <w:rPr>
          <w:rFonts w:asciiTheme="minorHAnsi" w:hAnsiTheme="minorHAnsi" w:cstheme="minorHAnsi"/>
          <w:sz w:val="20"/>
          <w:lang w:val="cs-CZ"/>
        </w:rPr>
        <w:t>dekarbonizaci dopravy a</w:t>
      </w:r>
      <w:r w:rsidRPr="00A27E6F" w:rsidR="00741E3B">
        <w:rPr>
          <w:rFonts w:asciiTheme="minorHAnsi" w:hAnsiTheme="minorHAnsi" w:cstheme="minorHAnsi"/>
          <w:sz w:val="20"/>
          <w:lang w:val="cs-CZ"/>
        </w:rPr>
        <w:t> </w:t>
      </w:r>
      <w:r w:rsidRPr="00A27E6F">
        <w:rPr>
          <w:rFonts w:asciiTheme="minorHAnsi" w:hAnsiTheme="minorHAnsi" w:cstheme="minorHAnsi"/>
          <w:sz w:val="20"/>
          <w:lang w:val="cs-CZ"/>
        </w:rPr>
        <w:t>transformaci automobilového průmyslu směrem k</w:t>
      </w:r>
      <w:r w:rsidRPr="00A27E6F" w:rsidR="00741E3B">
        <w:rPr>
          <w:rFonts w:asciiTheme="minorHAnsi" w:hAnsiTheme="minorHAnsi" w:cstheme="minorHAnsi"/>
          <w:sz w:val="20"/>
          <w:lang w:val="cs-CZ"/>
        </w:rPr>
        <w:t> </w:t>
      </w:r>
      <w:r w:rsidRPr="00A27E6F">
        <w:rPr>
          <w:rFonts w:asciiTheme="minorHAnsi" w:hAnsiTheme="minorHAnsi" w:cstheme="minorHAnsi"/>
          <w:sz w:val="20"/>
          <w:lang w:val="cs-CZ"/>
        </w:rPr>
        <w:t>zelené ekonomice. Zároveň přispějeme k</w:t>
      </w:r>
      <w:r w:rsidRPr="00A27E6F" w:rsidR="00741E3B">
        <w:rPr>
          <w:rFonts w:asciiTheme="minorHAnsi" w:hAnsiTheme="minorHAnsi" w:cstheme="minorHAnsi"/>
          <w:sz w:val="20"/>
          <w:lang w:val="cs-CZ"/>
        </w:rPr>
        <w:t> </w:t>
      </w:r>
      <w:r w:rsidRPr="00A27E6F">
        <w:rPr>
          <w:rFonts w:asciiTheme="minorHAnsi" w:hAnsiTheme="minorHAnsi" w:cstheme="minorHAnsi"/>
          <w:sz w:val="20"/>
          <w:lang w:val="cs-CZ"/>
        </w:rPr>
        <w:t>plnění závazku ČR vyplývajícího ze Směrnice EP a</w:t>
      </w:r>
      <w:r w:rsidRPr="00A27E6F" w:rsidR="00741E3B">
        <w:rPr>
          <w:rFonts w:asciiTheme="minorHAnsi" w:hAnsiTheme="minorHAnsi" w:cstheme="minorHAnsi"/>
          <w:sz w:val="20"/>
          <w:lang w:val="cs-CZ"/>
        </w:rPr>
        <w:t> </w:t>
      </w:r>
      <w:r w:rsidRPr="00A27E6F">
        <w:rPr>
          <w:rFonts w:asciiTheme="minorHAnsi" w:hAnsiTheme="minorHAnsi" w:cstheme="minorHAnsi"/>
          <w:sz w:val="20"/>
          <w:lang w:val="cs-CZ"/>
        </w:rPr>
        <w:t>Rady 2018/2001, čl. 25, která zavádí pro každý členský stát povinný cíl do roku 2030 dosažení 14% podílu energie v</w:t>
      </w:r>
      <w:r w:rsidRPr="00A27E6F" w:rsidR="00741E3B">
        <w:rPr>
          <w:rFonts w:asciiTheme="minorHAnsi" w:hAnsiTheme="minorHAnsi" w:cstheme="minorHAnsi"/>
          <w:sz w:val="20"/>
          <w:lang w:val="cs-CZ"/>
        </w:rPr>
        <w:t> </w:t>
      </w:r>
      <w:r w:rsidRPr="00A27E6F">
        <w:rPr>
          <w:rFonts w:asciiTheme="minorHAnsi" w:hAnsiTheme="minorHAnsi" w:cstheme="minorHAnsi"/>
          <w:sz w:val="20"/>
          <w:lang w:val="cs-CZ"/>
        </w:rPr>
        <w:t>dopravě z</w:t>
      </w:r>
      <w:r w:rsidRPr="00A27E6F" w:rsidR="00741E3B">
        <w:rPr>
          <w:rFonts w:asciiTheme="minorHAnsi" w:hAnsiTheme="minorHAnsi" w:cstheme="minorHAnsi"/>
          <w:sz w:val="20"/>
          <w:lang w:val="cs-CZ"/>
        </w:rPr>
        <w:t> </w:t>
      </w:r>
      <w:r w:rsidRPr="00A27E6F">
        <w:rPr>
          <w:rFonts w:asciiTheme="minorHAnsi" w:hAnsiTheme="minorHAnsi" w:cstheme="minorHAnsi"/>
          <w:sz w:val="20"/>
          <w:lang w:val="cs-CZ"/>
        </w:rPr>
        <w:t>obnovitelných zdrojů a</w:t>
      </w:r>
      <w:r w:rsidRPr="00A27E6F" w:rsidR="00741E3B">
        <w:rPr>
          <w:rFonts w:asciiTheme="minorHAnsi" w:hAnsiTheme="minorHAnsi" w:cstheme="minorHAnsi"/>
          <w:sz w:val="20"/>
          <w:lang w:val="cs-CZ"/>
        </w:rPr>
        <w:t> </w:t>
      </w:r>
      <w:r w:rsidRPr="00A27E6F">
        <w:rPr>
          <w:rFonts w:asciiTheme="minorHAnsi" w:hAnsiTheme="minorHAnsi" w:cstheme="minorHAnsi"/>
          <w:sz w:val="20"/>
          <w:lang w:val="cs-CZ"/>
        </w:rPr>
        <w:t>plnění Směrnice Evropského parlamentu a</w:t>
      </w:r>
      <w:r w:rsidRPr="00A27E6F" w:rsidR="00741E3B">
        <w:rPr>
          <w:rFonts w:asciiTheme="minorHAnsi" w:hAnsiTheme="minorHAnsi" w:cstheme="minorHAnsi"/>
          <w:sz w:val="20"/>
          <w:lang w:val="cs-CZ"/>
        </w:rPr>
        <w:t> </w:t>
      </w:r>
      <w:r w:rsidRPr="00A27E6F">
        <w:rPr>
          <w:rFonts w:asciiTheme="minorHAnsi" w:hAnsiTheme="minorHAnsi" w:cstheme="minorHAnsi"/>
          <w:sz w:val="20"/>
          <w:lang w:val="cs-CZ"/>
        </w:rPr>
        <w:t>Rady 2014/94/EU o</w:t>
      </w:r>
      <w:r w:rsidRPr="00A27E6F" w:rsidR="00741E3B">
        <w:rPr>
          <w:rFonts w:asciiTheme="minorHAnsi" w:hAnsiTheme="minorHAnsi" w:cstheme="minorHAnsi"/>
          <w:sz w:val="20"/>
          <w:lang w:val="cs-CZ"/>
        </w:rPr>
        <w:t> </w:t>
      </w:r>
      <w:r w:rsidRPr="00A27E6F">
        <w:rPr>
          <w:rFonts w:asciiTheme="minorHAnsi" w:hAnsiTheme="minorHAnsi" w:cstheme="minorHAnsi"/>
          <w:sz w:val="20"/>
          <w:lang w:val="cs-CZ"/>
        </w:rPr>
        <w:t>zavádění infrastruktury pro alternativní paliva.</w:t>
      </w:r>
      <w:r w:rsidRPr="00A27E6F" w:rsidR="00F1576D">
        <w:rPr>
          <w:rFonts w:asciiTheme="minorHAnsi" w:hAnsiTheme="minorHAnsi" w:cstheme="minorHAnsi"/>
          <w:sz w:val="20"/>
          <w:lang w:val="cs-CZ"/>
        </w:rPr>
        <w:tab/>
      </w:r>
    </w:p>
    <w:p w:rsidR="00A27E6F" w:rsidRDefault="00A27E6F" w14:paraId="035377C5" w14:textId="77777777">
      <w:pPr>
        <w:spacing w:after="200" w:line="276" w:lineRule="auto"/>
        <w:rPr>
          <w:rStyle w:val="normaltextrun"/>
          <w:rFonts w:eastAsia="Times New Roman" w:cstheme="minorHAnsi"/>
          <w:b/>
          <w:bCs/>
          <w:color w:val="auto"/>
          <w:sz w:val="20"/>
          <w:szCs w:val="20"/>
          <w:lang w:val="en-US" w:eastAsia="cs-CZ"/>
        </w:rPr>
      </w:pPr>
      <w:r>
        <w:rPr>
          <w:rStyle w:val="normaltextrun"/>
          <w:rFonts w:cstheme="minorHAnsi"/>
          <w:b/>
          <w:bCs/>
          <w:sz w:val="20"/>
          <w:szCs w:val="20"/>
          <w:lang w:val="en-US"/>
        </w:rPr>
        <w:br w:type="page"/>
      </w:r>
    </w:p>
    <w:p w:rsidRPr="00A27E6F" w:rsidR="00CB734D" w:rsidP="00A27E6F" w:rsidRDefault="00CB734D" w14:paraId="5D4A1BE3" w14:textId="3369F7C8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hAnsiTheme="minorHAnsi" w:eastAsiaTheme="majorEastAsia" w:cstheme="minorHAnsi"/>
          <w:b/>
          <w:bCs/>
          <w:sz w:val="20"/>
          <w:szCs w:val="20"/>
        </w:rPr>
      </w:pPr>
      <w:r w:rsidRPr="00A27E6F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lastRenderedPageBreak/>
        <w:t>7. </w:t>
      </w:r>
      <w:r w:rsidRPr="00A27E6F">
        <w:rPr>
          <w:rStyle w:val="tabchar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7E6F">
        <w:rPr>
          <w:rStyle w:val="spellingerror"/>
          <w:rFonts w:asciiTheme="minorHAnsi" w:hAnsiTheme="minorHAnsi" w:eastAsiaTheme="majorEastAsia" w:cstheme="minorHAnsi"/>
          <w:b/>
          <w:bCs/>
          <w:sz w:val="20"/>
          <w:szCs w:val="20"/>
          <w:lang w:val="en-US"/>
        </w:rPr>
        <w:t>Digitální</w:t>
      </w:r>
      <w:proofErr w:type="spellEnd"/>
      <w:r w:rsidRPr="00A27E6F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t> </w:t>
      </w:r>
      <w:proofErr w:type="spellStart"/>
      <w:r w:rsidRPr="00A27E6F">
        <w:rPr>
          <w:rStyle w:val="spellingerror"/>
          <w:rFonts w:asciiTheme="minorHAnsi" w:hAnsiTheme="minorHAnsi" w:eastAsiaTheme="majorEastAsia" w:cstheme="minorHAnsi"/>
          <w:b/>
          <w:bCs/>
          <w:sz w:val="20"/>
          <w:szCs w:val="20"/>
          <w:lang w:val="en-US"/>
        </w:rPr>
        <w:t>dimenze</w:t>
      </w:r>
      <w:proofErr w:type="spellEnd"/>
      <w:r w:rsidRPr="00A27E6F">
        <w:rPr>
          <w:rStyle w:val="eop"/>
          <w:rFonts w:asciiTheme="minorHAnsi" w:hAnsiTheme="minorHAnsi" w:eastAsiaTheme="majorEastAsia" w:cstheme="minorHAnsi"/>
          <w:b/>
          <w:bCs/>
          <w:sz w:val="20"/>
          <w:szCs w:val="20"/>
        </w:rPr>
        <w:t> </w:t>
      </w:r>
    </w:p>
    <w:p w:rsidRPr="00A27E6F" w:rsidR="00AC2F11" w:rsidP="00D10829" w:rsidRDefault="00CB734D" w14:paraId="7F1CABCD" w14:textId="77777777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hAnsiTheme="minorHAnsi" w:eastAsiaTheme="majorEastAsia" w:cstheme="minorHAnsi"/>
          <w:sz w:val="20"/>
          <w:szCs w:val="20"/>
        </w:rPr>
      </w:pPr>
      <w:r w:rsidRPr="00A27E6F">
        <w:rPr>
          <w:rStyle w:val="eop"/>
          <w:rFonts w:asciiTheme="minorHAnsi" w:hAnsiTheme="minorHAnsi" w:eastAsiaTheme="majorEastAsia" w:cstheme="minorHAnsi"/>
          <w:sz w:val="20"/>
          <w:szCs w:val="20"/>
        </w:rPr>
        <w:t> </w:t>
      </w:r>
      <w:r w:rsidRPr="00A27E6F" w:rsidR="00AC2F11">
        <w:rPr>
          <w:rStyle w:val="eop"/>
          <w:rFonts w:asciiTheme="minorHAnsi" w:hAnsiTheme="minorHAnsi" w:eastAsiaTheme="majorEastAsia" w:cstheme="minorHAnsi"/>
          <w:sz w:val="20"/>
          <w:szCs w:val="20"/>
        </w:rPr>
        <w:t>Není relevantní k této komponentě.</w:t>
      </w:r>
    </w:p>
    <w:p w:rsidR="00A27E6F" w:rsidP="00A27E6F" w:rsidRDefault="00A27E6F" w14:paraId="42E2744D" w14:textId="77777777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:rsidRPr="00A27E6F" w:rsidR="00CB734D" w:rsidP="00A27E6F" w:rsidRDefault="00CB734D" w14:paraId="09F7DD99" w14:textId="34267850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A27E6F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t>8. </w:t>
      </w:r>
      <w:r w:rsidRPr="00A27E6F">
        <w:rPr>
          <w:rStyle w:val="tabchar"/>
          <w:rFonts w:asciiTheme="minorHAnsi" w:hAnsiTheme="minorHAnsi" w:cstheme="minorHAnsi"/>
          <w:sz w:val="20"/>
          <w:szCs w:val="20"/>
        </w:rPr>
        <w:t xml:space="preserve"> </w:t>
      </w:r>
      <w:r w:rsidRPr="00A27E6F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t>Do no significant harm  </w:t>
      </w:r>
      <w:r w:rsidRPr="00A27E6F">
        <w:rPr>
          <w:rStyle w:val="eop"/>
          <w:rFonts w:asciiTheme="minorHAnsi" w:hAnsiTheme="minorHAnsi" w:eastAsiaTheme="majorEastAsia" w:cstheme="minorHAnsi"/>
          <w:b/>
          <w:bCs/>
          <w:sz w:val="20"/>
          <w:szCs w:val="20"/>
        </w:rPr>
        <w:t> </w:t>
      </w:r>
    </w:p>
    <w:p w:rsidRPr="00393C74" w:rsidR="00A27E6F" w:rsidP="00A27E6F" w:rsidRDefault="00A27E6F" w14:paraId="0F308BA7" w14:textId="77777777">
      <w:pPr>
        <w:rPr>
          <w:rFonts w:eastAsiaTheme="minorEastAsia"/>
          <w:sz w:val="20"/>
          <w:szCs w:val="20"/>
        </w:rPr>
      </w:pPr>
      <w:r w:rsidRPr="00393C74">
        <w:rPr>
          <w:rFonts w:eastAsiaTheme="minorEastAsia"/>
          <w:sz w:val="20"/>
          <w:szCs w:val="20"/>
        </w:rPr>
        <w:t xml:space="preserve">Veškeré reformy a investice vzhledem ke svému charakteru princip „významně nepoškozovat“ naplňují zcela. </w:t>
      </w:r>
    </w:p>
    <w:p w:rsidRPr="00393C74" w:rsidR="00A27E6F" w:rsidP="00A27E6F" w:rsidRDefault="00A27E6F" w14:paraId="546A3638" w14:textId="77777777">
      <w:pPr>
        <w:rPr>
          <w:rStyle w:val="K-TextInfoChar"/>
          <w:rFonts w:eastAsiaTheme="minorEastAsia"/>
          <w:i w:val="0"/>
          <w:iCs w:val="0"/>
          <w:sz w:val="20"/>
          <w:szCs w:val="20"/>
          <w:lang w:val="en-US"/>
        </w:rPr>
      </w:pPr>
      <w:r w:rsidRPr="00393C74">
        <w:rPr>
          <w:rFonts w:eastAsiaTheme="minorEastAsia"/>
          <w:color w:val="000000"/>
          <w:sz w:val="20"/>
          <w:szCs w:val="20"/>
          <w:shd w:val="clear" w:color="auto" w:fill="FFFFFF"/>
        </w:rPr>
        <w:t>Princip DNSH je popsán v příloze.</w:t>
      </w:r>
    </w:p>
    <w:p w:rsidR="00A27E6F" w:rsidP="00D10829" w:rsidRDefault="00CB734D" w14:paraId="738A6924" w14:textId="77777777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hAnsiTheme="minorHAnsi" w:eastAsiaTheme="majorEastAsia" w:cstheme="minorHAnsi"/>
          <w:sz w:val="20"/>
          <w:szCs w:val="20"/>
        </w:rPr>
      </w:pPr>
      <w:r w:rsidRPr="00A27E6F">
        <w:rPr>
          <w:rStyle w:val="normaltextrun"/>
          <w:rFonts w:asciiTheme="minorHAnsi" w:hAnsiTheme="minorHAnsi" w:cstheme="minorHAnsi"/>
          <w:i/>
          <w:iCs/>
          <w:sz w:val="20"/>
          <w:szCs w:val="20"/>
          <w:lang w:val="en-US"/>
        </w:rPr>
        <w:t> </w:t>
      </w:r>
      <w:r w:rsidRPr="00A27E6F">
        <w:rPr>
          <w:rStyle w:val="eop"/>
          <w:rFonts w:asciiTheme="minorHAnsi" w:hAnsiTheme="minorHAnsi" w:eastAsiaTheme="majorEastAsia" w:cstheme="minorHAnsi"/>
          <w:sz w:val="20"/>
          <w:szCs w:val="20"/>
        </w:rPr>
        <w:t> </w:t>
      </w:r>
    </w:p>
    <w:p w:rsidRPr="00393C74" w:rsidR="00393C74" w:rsidP="00393C74" w:rsidRDefault="00393C74" w14:paraId="08A10E4C" w14:textId="77777777">
      <w:pPr>
        <w:pStyle w:val="K-1"/>
        <w:rPr>
          <w:rFonts w:asciiTheme="minorHAnsi" w:hAnsiTheme="minorHAnsi" w:eastAsiaTheme="minorEastAsia"/>
          <w:sz w:val="20"/>
          <w:szCs w:val="20"/>
        </w:rPr>
      </w:pPr>
      <w:r w:rsidRPr="00393C74">
        <w:rPr>
          <w:rFonts w:asciiTheme="minorHAnsi" w:hAnsiTheme="minorHAnsi" w:eastAsiaTheme="minorEastAsia"/>
          <w:sz w:val="20"/>
          <w:szCs w:val="20"/>
        </w:rPr>
        <w:t xml:space="preserve">9. Milníky, cíle a harmonogram </w:t>
      </w:r>
    </w:p>
    <w:p w:rsidRPr="00393C74" w:rsidR="00393C74" w:rsidP="00393C74" w:rsidRDefault="00393C74" w14:paraId="25AE3D92" w14:textId="77777777">
      <w:pPr>
        <w:rPr>
          <w:rFonts w:eastAsiaTheme="minorEastAsia" w:cstheme="minorHAnsi"/>
          <w:sz w:val="20"/>
          <w:szCs w:val="20"/>
          <w:lang w:val="en-US"/>
        </w:rPr>
      </w:pPr>
      <w:r w:rsidRPr="00393C74">
        <w:rPr>
          <w:rFonts w:eastAsiaTheme="minorEastAsia" w:cstheme="minorHAnsi"/>
          <w:sz w:val="20"/>
          <w:szCs w:val="20"/>
          <w:shd w:val="clear" w:color="auto" w:fill="FFFFFF"/>
        </w:rPr>
        <w:t>Milníky, cíle a časová osa jsou popsány v tabulce v příloze.</w:t>
      </w:r>
    </w:p>
    <w:p w:rsidRPr="00393C74" w:rsidR="00393C74" w:rsidP="00393C74" w:rsidRDefault="00393C74" w14:paraId="287CDA37" w14:textId="77777777">
      <w:pPr>
        <w:rPr>
          <w:rFonts w:eastAsiaTheme="minorEastAsia" w:cstheme="minorHAnsi"/>
          <w:sz w:val="20"/>
          <w:szCs w:val="20"/>
        </w:rPr>
      </w:pPr>
    </w:p>
    <w:p w:rsidRPr="00393C74" w:rsidR="00393C74" w:rsidP="00393C74" w:rsidRDefault="00393C74" w14:paraId="58CC3118" w14:textId="77777777">
      <w:pPr>
        <w:pStyle w:val="K-1"/>
        <w:rPr>
          <w:rFonts w:asciiTheme="minorHAnsi" w:hAnsiTheme="minorHAnsi" w:eastAsiaTheme="minorEastAsia"/>
          <w:sz w:val="20"/>
          <w:szCs w:val="20"/>
        </w:rPr>
      </w:pPr>
      <w:r w:rsidRPr="00393C74">
        <w:rPr>
          <w:rFonts w:asciiTheme="minorHAnsi" w:hAnsiTheme="minorHAnsi" w:eastAsiaTheme="minorEastAsia"/>
          <w:sz w:val="20"/>
          <w:szCs w:val="20"/>
        </w:rPr>
        <w:t>10. Financování a </w:t>
      </w:r>
      <w:proofErr w:type="spellStart"/>
      <w:r w:rsidRPr="00393C74">
        <w:rPr>
          <w:rFonts w:asciiTheme="minorHAnsi" w:hAnsiTheme="minorHAnsi" w:eastAsiaTheme="minorEastAsia"/>
          <w:sz w:val="20"/>
          <w:szCs w:val="20"/>
        </w:rPr>
        <w:t>costing</w:t>
      </w:r>
      <w:proofErr w:type="spellEnd"/>
      <w:r w:rsidRPr="00393C74">
        <w:rPr>
          <w:rFonts w:asciiTheme="minorHAnsi" w:hAnsiTheme="minorHAnsi" w:eastAsiaTheme="minorEastAsia"/>
          <w:sz w:val="20"/>
          <w:szCs w:val="20"/>
        </w:rPr>
        <w:t xml:space="preserve"> </w:t>
      </w:r>
    </w:p>
    <w:p w:rsidRPr="00393C74" w:rsidR="00393C74" w:rsidP="00393C74" w:rsidRDefault="00393C74" w14:paraId="2C8439A4" w14:textId="77777777">
      <w:pPr>
        <w:rPr>
          <w:rFonts w:eastAsiaTheme="minorEastAsia" w:cstheme="minorHAnsi"/>
          <w:sz w:val="20"/>
          <w:szCs w:val="20"/>
        </w:rPr>
      </w:pPr>
      <w:bookmarkStart w:name="_Hlk73448929" w:id="22"/>
      <w:r w:rsidRPr="00393C74">
        <w:rPr>
          <w:rFonts w:eastAsiaTheme="minorEastAsia" w:cstheme="minorHAnsi"/>
          <w:sz w:val="20"/>
          <w:szCs w:val="20"/>
          <w:shd w:val="clear" w:color="auto" w:fill="FFFFFF"/>
        </w:rPr>
        <w:t>Financování a náklady jsou popsány v tabulce v příloze a v přiložených souborech prokazujících věrohodnost stanovených nákladů.</w:t>
      </w:r>
      <w:bookmarkStart w:name="_nj1ks6p3kwye" w:id="23"/>
      <w:bookmarkStart w:name="_30j0zll" w:id="24"/>
      <w:bookmarkStart w:name="_1fob9te" w:colFirst="0" w:colLast="0" w:id="25"/>
      <w:bookmarkStart w:name="_Toc68035740" w:id="26"/>
      <w:bookmarkStart w:name="_Toc68035916" w:id="27"/>
      <w:bookmarkStart w:name="_Toc68035741" w:id="28"/>
      <w:bookmarkStart w:name="_Toc68035917" w:id="29"/>
      <w:bookmarkStart w:name="_Toc68035746" w:id="30"/>
      <w:bookmarkStart w:name="_Toc68035922" w:id="31"/>
      <w:bookmarkStart w:name="_Toc68035762" w:id="32"/>
      <w:bookmarkStart w:name="_Toc68035938" w:id="33"/>
      <w:bookmarkStart w:name="_Toc68035763" w:id="34"/>
      <w:bookmarkStart w:name="_Toc68035939" w:id="35"/>
      <w:bookmarkStart w:name="_Toc68035764" w:id="36"/>
      <w:bookmarkStart w:name="_Toc68035940" w:id="37"/>
      <w:bookmarkStart w:name="_Toc68035765" w:id="38"/>
      <w:bookmarkStart w:name="_Toc68035941" w:id="39"/>
      <w:bookmarkStart w:name="_Toc68035766" w:id="40"/>
      <w:bookmarkStart w:name="_Toc68035942" w:id="41"/>
      <w:bookmarkStart w:name="_Toc68035767" w:id="42"/>
      <w:bookmarkStart w:name="_Toc68035943" w:id="43"/>
      <w:bookmarkStart w:name="_Toc68035768" w:id="44"/>
      <w:bookmarkStart w:name="_Toc68035944" w:id="45"/>
      <w:bookmarkStart w:name="_Toc68035769" w:id="46"/>
      <w:bookmarkStart w:name="_Toc68035945" w:id="47"/>
      <w:bookmarkStart w:name="_Toc68035770" w:id="48"/>
      <w:bookmarkStart w:name="_Toc68035946" w:id="49"/>
      <w:bookmarkStart w:name="_Toc68035771" w:id="50"/>
      <w:bookmarkStart w:name="_Toc68035947" w:id="51"/>
      <w:bookmarkStart w:name="_Toc68035773" w:id="52"/>
      <w:bookmarkStart w:name="_Toc68035949" w:id="53"/>
      <w:bookmarkStart w:name="_Toc68035774" w:id="54"/>
      <w:bookmarkStart w:name="_Toc68035950" w:id="55"/>
      <w:bookmarkStart w:name="_Toc68035778" w:id="56"/>
      <w:bookmarkStart w:name="_Toc68035954" w:id="57"/>
      <w:bookmarkStart w:name="_Toc68035779" w:id="58"/>
      <w:bookmarkStart w:name="_Toc68035955" w:id="59"/>
      <w:bookmarkStart w:name="_Toc68035780" w:id="60"/>
      <w:bookmarkStart w:name="_Toc68035956" w:id="61"/>
      <w:bookmarkStart w:name="_Toc68035781" w:id="62"/>
      <w:bookmarkStart w:name="_Toc68035957" w:id="63"/>
      <w:bookmarkStart w:name="_Toc68035782" w:id="64"/>
      <w:bookmarkStart w:name="_Toc68035958" w:id="65"/>
      <w:bookmarkStart w:name="_Toc68035783" w:id="66"/>
      <w:bookmarkStart w:name="_Toc68035959" w:id="67"/>
      <w:bookmarkStart w:name="_Toc68035784" w:id="68"/>
      <w:bookmarkStart w:name="_Toc68035960" w:id="69"/>
      <w:bookmarkStart w:name="_Toc68035785" w:id="70"/>
      <w:bookmarkStart w:name="_Toc68035961" w:id="71"/>
      <w:bookmarkStart w:name="_Toc68035786" w:id="72"/>
      <w:bookmarkStart w:name="_Toc68035962" w:id="73"/>
      <w:bookmarkStart w:name="_Toc68035787" w:id="74"/>
      <w:bookmarkStart w:name="_Toc68035963" w:id="75"/>
      <w:bookmarkStart w:name="_Toc68035788" w:id="76"/>
      <w:bookmarkStart w:name="_Toc68035964" w:id="77"/>
      <w:bookmarkStart w:name="_Toc68035789" w:id="78"/>
      <w:bookmarkStart w:name="_Toc68035965" w:id="79"/>
      <w:bookmarkStart w:name="_Toc68035790" w:id="80"/>
      <w:bookmarkStart w:name="_Toc68035966" w:id="81"/>
      <w:bookmarkStart w:name="_Toc68035791" w:id="82"/>
      <w:bookmarkStart w:name="_Toc68035967" w:id="83"/>
      <w:bookmarkStart w:name="_Toc68035792" w:id="84"/>
      <w:bookmarkStart w:name="_Toc68035968" w:id="85"/>
      <w:bookmarkStart w:name="_Toc68035793" w:id="86"/>
      <w:bookmarkStart w:name="_Toc68035969" w:id="87"/>
      <w:bookmarkStart w:name="_Toc68035794" w:id="88"/>
      <w:bookmarkStart w:name="_Toc68035970" w:id="89"/>
      <w:bookmarkStart w:name="_Toc68035795" w:id="90"/>
      <w:bookmarkStart w:name="_Toc68035971" w:id="91"/>
      <w:bookmarkStart w:name="_Toc68035796" w:id="92"/>
      <w:bookmarkStart w:name="_Toc68035972" w:id="93"/>
      <w:bookmarkStart w:name="_Toc68035797" w:id="94"/>
      <w:bookmarkStart w:name="_Toc68035973" w:id="95"/>
      <w:bookmarkStart w:name="_Toc68035798" w:id="96"/>
      <w:bookmarkStart w:name="_Toc68035974" w:id="97"/>
      <w:bookmarkStart w:name="_Toc68035799" w:id="98"/>
      <w:bookmarkStart w:name="_Toc68035975" w:id="99"/>
      <w:bookmarkStart w:name="_Toc68035800" w:id="100"/>
      <w:bookmarkStart w:name="_Toc68035976" w:id="101"/>
      <w:bookmarkStart w:name="_Toc68035801" w:id="102"/>
      <w:bookmarkStart w:name="_Toc68035977" w:id="103"/>
      <w:bookmarkStart w:name="_Toc68035802" w:id="104"/>
      <w:bookmarkStart w:name="_Toc68035978" w:id="105"/>
      <w:bookmarkStart w:name="_Toc68035803" w:id="106"/>
      <w:bookmarkStart w:name="_Toc68035979" w:id="107"/>
      <w:bookmarkStart w:name="_Toc68035804" w:id="108"/>
      <w:bookmarkStart w:name="_Toc68035980" w:id="109"/>
      <w:bookmarkStart w:name="_Toc68035805" w:id="110"/>
      <w:bookmarkStart w:name="_Toc68035981" w:id="111"/>
      <w:bookmarkStart w:name="_Toc68035806" w:id="112"/>
      <w:bookmarkStart w:name="_Toc68035982" w:id="113"/>
      <w:bookmarkStart w:name="_Toc68035807" w:id="114"/>
      <w:bookmarkStart w:name="_Toc68035983" w:id="115"/>
      <w:bookmarkStart w:name="_Toc68035808" w:id="116"/>
      <w:bookmarkStart w:name="_Toc68035984" w:id="117"/>
      <w:bookmarkStart w:name="_Toc68035809" w:id="118"/>
      <w:bookmarkStart w:name="_Toc68035985" w:id="119"/>
      <w:bookmarkStart w:name="_Toc68035810" w:id="120"/>
      <w:bookmarkStart w:name="_Toc68035986" w:id="121"/>
      <w:bookmarkStart w:name="_Toc68035811" w:id="122"/>
      <w:bookmarkStart w:name="_Toc68035987" w:id="123"/>
      <w:bookmarkStart w:name="_Toc68035812" w:id="124"/>
      <w:bookmarkStart w:name="_Toc68035988" w:id="125"/>
      <w:bookmarkStart w:name="_Toc68035813" w:id="126"/>
      <w:bookmarkStart w:name="_Toc68035989" w:id="127"/>
      <w:bookmarkStart w:name="_Toc68035814" w:id="128"/>
      <w:bookmarkStart w:name="_Toc68035990" w:id="129"/>
      <w:bookmarkStart w:name="_Toc68035815" w:id="130"/>
      <w:bookmarkStart w:name="_Toc68035991" w:id="131"/>
      <w:bookmarkStart w:name="_Toc68035816" w:id="132"/>
      <w:bookmarkStart w:name="_Toc68035992" w:id="133"/>
      <w:bookmarkStart w:name="_Toc68035817" w:id="134"/>
      <w:bookmarkStart w:name="_Toc68035993" w:id="135"/>
      <w:bookmarkStart w:name="_Toc68035818" w:id="136"/>
      <w:bookmarkStart w:name="_Toc68035994" w:id="137"/>
      <w:bookmarkStart w:name="_Toc68035819" w:id="138"/>
      <w:bookmarkStart w:name="_Toc68035995" w:id="139"/>
      <w:bookmarkStart w:name="_Toc66646721" w:id="140"/>
      <w:bookmarkStart w:name="_Toc66647251" w:id="141"/>
      <w:bookmarkStart w:name="_Toc66647613" w:id="142"/>
      <w:bookmarkStart w:name="_Toc66647739" w:id="143"/>
      <w:bookmarkStart w:name="_Toc66647788" w:id="144"/>
      <w:bookmarkStart w:name="_Toc66860970" w:id="145"/>
      <w:bookmarkStart w:name="_Toc66862914" w:id="146"/>
      <w:bookmarkStart w:name="_Toc66900245" w:id="147"/>
      <w:bookmarkStart w:name="_Toc66901827" w:id="148"/>
      <w:bookmarkStart w:name="_Toc67437533" w:id="149"/>
      <w:bookmarkStart w:name="_Toc67437571" w:id="150"/>
      <w:bookmarkStart w:name="_Toc67457119" w:id="151"/>
      <w:bookmarkStart w:name="_Toc67464643" w:id="152"/>
      <w:bookmarkStart w:name="_Toc67474540" w:id="153"/>
      <w:bookmarkStart w:name="_Toc68035820" w:id="154"/>
      <w:bookmarkStart w:name="_Toc68035996" w:id="155"/>
      <w:bookmarkStart w:name="_Toc66647740" w:id="156"/>
      <w:bookmarkStart w:name="_Toc66647789" w:id="157"/>
      <w:bookmarkStart w:name="_Toc66860971" w:id="158"/>
      <w:bookmarkStart w:name="_Toc66862915" w:id="159"/>
      <w:bookmarkStart w:name="_Toc66900246" w:id="160"/>
      <w:bookmarkStart w:name="_Toc66901828" w:id="161"/>
      <w:bookmarkStart w:name="_Toc67437534" w:id="162"/>
      <w:bookmarkStart w:name="_Toc67437572" w:id="163"/>
      <w:bookmarkStart w:name="_Toc67457120" w:id="164"/>
      <w:bookmarkStart w:name="_Toc67464644" w:id="165"/>
      <w:bookmarkStart w:name="_Toc67474541" w:id="166"/>
      <w:bookmarkStart w:name="_Toc68035821" w:id="167"/>
      <w:bookmarkStart w:name="_Toc68035997" w:id="168"/>
      <w:bookmarkStart w:name="_Toc68035822" w:id="169"/>
      <w:bookmarkStart w:name="_Toc68035998" w:id="170"/>
      <w:bookmarkStart w:name="_Toc68035823" w:id="171"/>
      <w:bookmarkStart w:name="_Toc68035999" w:id="172"/>
      <w:bookmarkStart w:name="_Toc68035824" w:id="173"/>
      <w:bookmarkStart w:name="_Toc68036000" w:id="174"/>
      <w:bookmarkStart w:name="_Toc68035825" w:id="175"/>
      <w:bookmarkStart w:name="_Toc68036001" w:id="176"/>
      <w:bookmarkStart w:name="_Toc68035826" w:id="177"/>
      <w:bookmarkStart w:name="_Toc68036002" w:id="178"/>
      <w:bookmarkStart w:name="_Toc68035827" w:id="179"/>
      <w:bookmarkStart w:name="_Toc68036003" w:id="180"/>
      <w:bookmarkStart w:name="_Toc68035828" w:id="181"/>
      <w:bookmarkStart w:name="_Toc68036004" w:id="182"/>
      <w:bookmarkStart w:name="_Toc68035829" w:id="183"/>
      <w:bookmarkStart w:name="_Toc68036005" w:id="184"/>
      <w:bookmarkStart w:name="_Toc68035830" w:id="185"/>
      <w:bookmarkStart w:name="_Toc68036006" w:id="186"/>
      <w:bookmarkStart w:name="_Toc68035831" w:id="187"/>
      <w:bookmarkStart w:name="_Toc68036007" w:id="188"/>
      <w:bookmarkStart w:name="_Toc68035832" w:id="189"/>
      <w:bookmarkStart w:name="_Toc68036008" w:id="190"/>
      <w:bookmarkStart w:name="_Toc68035833" w:id="191"/>
      <w:bookmarkStart w:name="_Toc68036009" w:id="192"/>
      <w:bookmarkStart w:name="_Toc68035834" w:id="193"/>
      <w:bookmarkStart w:name="_Toc68036010" w:id="194"/>
      <w:bookmarkStart w:name="_Toc68035835" w:id="195"/>
      <w:bookmarkStart w:name="_Toc68036011" w:id="196"/>
      <w:bookmarkStart w:name="_Toc68035836" w:id="197"/>
      <w:bookmarkStart w:name="_Toc68036012" w:id="198"/>
      <w:bookmarkStart w:name="_Toc68035837" w:id="199"/>
      <w:bookmarkStart w:name="_Toc68036013" w:id="200"/>
      <w:bookmarkStart w:name="_Toc68035838" w:id="201"/>
      <w:bookmarkStart w:name="_Toc68036014" w:id="202"/>
      <w:bookmarkStart w:name="_Toc68035839" w:id="203"/>
      <w:bookmarkStart w:name="_Toc68036015" w:id="204"/>
      <w:bookmarkStart w:name="_Toc68035841" w:id="205"/>
      <w:bookmarkStart w:name="_Toc68036017" w:id="206"/>
      <w:bookmarkStart w:name="_Toc68035842" w:id="207"/>
      <w:bookmarkStart w:name="_Toc68036018" w:id="208"/>
      <w:bookmarkStart w:name="_Toc68035843" w:id="209"/>
      <w:bookmarkStart w:name="_Toc68036019" w:id="210"/>
      <w:bookmarkStart w:name="_Toc66647256" w:id="211"/>
      <w:bookmarkStart w:name="_Toc66647618" w:id="212"/>
      <w:bookmarkStart w:name="_Toc66647745" w:id="213"/>
      <w:bookmarkStart w:name="_Toc66647794" w:id="214"/>
      <w:bookmarkStart w:name="_Toc66860976" w:id="215"/>
      <w:bookmarkStart w:name="_Toc66862920" w:id="216"/>
      <w:bookmarkStart w:name="_Toc66900251" w:id="217"/>
      <w:bookmarkStart w:name="_Toc66901833" w:id="218"/>
      <w:bookmarkStart w:name="_Toc67437539" w:id="219"/>
      <w:bookmarkStart w:name="_Toc67437577" w:id="220"/>
      <w:bookmarkStart w:name="_Toc67457125" w:id="221"/>
      <w:bookmarkStart w:name="_Toc67464646" w:id="222"/>
      <w:bookmarkStart w:name="_Toc68035844" w:id="223"/>
      <w:bookmarkStart w:name="_Toc68036020" w:id="224"/>
      <w:bookmarkStart w:name="_Toc66647257" w:id="225"/>
      <w:bookmarkStart w:name="_Toc66647619" w:id="226"/>
      <w:bookmarkStart w:name="_Toc66647746" w:id="227"/>
      <w:bookmarkStart w:name="_Toc66647795" w:id="228"/>
      <w:bookmarkStart w:name="_Toc66860977" w:id="229"/>
      <w:bookmarkStart w:name="_Toc66862921" w:id="230"/>
      <w:bookmarkStart w:name="_Toc66900252" w:id="231"/>
      <w:bookmarkStart w:name="_Toc66901834" w:id="232"/>
      <w:bookmarkStart w:name="_Toc67437540" w:id="233"/>
      <w:bookmarkStart w:name="_Toc67437578" w:id="234"/>
      <w:bookmarkStart w:name="_Toc67457126" w:id="235"/>
      <w:bookmarkStart w:name="_Toc67464647" w:id="236"/>
      <w:bookmarkStart w:name="_Toc68035845" w:id="237"/>
      <w:bookmarkStart w:name="_Toc68036021" w:id="238"/>
      <w:bookmarkStart w:name="_Toc68035846" w:id="239"/>
      <w:bookmarkStart w:name="_Toc68036022" w:id="240"/>
      <w:bookmarkStart w:name="_Toc68035847" w:id="241"/>
      <w:bookmarkStart w:name="_Toc68036023" w:id="242"/>
      <w:bookmarkStart w:name="_Toc68035848" w:id="243"/>
      <w:bookmarkStart w:name="_Toc68036024" w:id="244"/>
      <w:bookmarkStart w:name="_Toc68035849" w:id="245"/>
      <w:bookmarkStart w:name="_Toc68036025" w:id="246"/>
      <w:bookmarkStart w:name="_Toc68035850" w:id="247"/>
      <w:bookmarkStart w:name="_Toc68036026" w:id="248"/>
      <w:bookmarkStart w:name="_Toc68035851" w:id="249"/>
      <w:bookmarkStart w:name="_Toc68036027" w:id="250"/>
      <w:bookmarkStart w:name="_Toc68035852" w:id="251"/>
      <w:bookmarkStart w:name="_Toc68036028" w:id="252"/>
      <w:bookmarkStart w:name="_Toc68035853" w:id="253"/>
      <w:bookmarkStart w:name="_Toc68036029" w:id="254"/>
      <w:bookmarkStart w:name="_Toc68035854" w:id="255"/>
      <w:bookmarkStart w:name="_Toc68036030" w:id="256"/>
      <w:bookmarkStart w:name="_Toc68035855" w:id="257"/>
      <w:bookmarkStart w:name="_Toc68036031" w:id="258"/>
      <w:bookmarkStart w:name="_Toc68035856" w:id="259"/>
      <w:bookmarkStart w:name="_Toc68036032" w:id="260"/>
      <w:bookmarkStart w:name="_Toc68035857" w:id="261"/>
      <w:bookmarkStart w:name="_Toc68036033" w:id="262"/>
      <w:bookmarkStart w:name="_Toc68035858" w:id="263"/>
      <w:bookmarkStart w:name="_Toc68036034" w:id="264"/>
      <w:bookmarkStart w:name="_Toc68035859" w:id="265"/>
      <w:bookmarkStart w:name="_Toc68036035" w:id="266"/>
      <w:bookmarkStart w:name="_Toc68035860" w:id="267"/>
      <w:bookmarkStart w:name="_Toc68036036" w:id="268"/>
      <w:bookmarkStart w:name="_Toc68035861" w:id="269"/>
      <w:bookmarkStart w:name="_Toc68036037" w:id="270"/>
      <w:bookmarkStart w:name="_Toc68035862" w:id="271"/>
      <w:bookmarkStart w:name="_Toc68036038" w:id="27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</w:p>
    <w:bookmarkEnd w:id="22"/>
    <w:p w:rsidRPr="00A27E6F" w:rsidR="00CB734D" w:rsidP="00D10829" w:rsidRDefault="00CB734D" w14:paraId="679EE40B" w14:textId="77777777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Pr="00A27E6F" w:rsidR="005119E2" w:rsidP="00D10829" w:rsidRDefault="005119E2" w14:paraId="559F6F08" w14:textId="7777777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sectPr w:rsidRPr="00A27E6F" w:rsidR="005119E2" w:rsidSect="00CC5E40">
      <w:headerReference w:type="even" r:id="rId11"/>
      <w:footerReference w:type="default" r:id="rId12"/>
      <w:headerReference w:type="first" r:id="rId13"/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12D" w:rsidP="00677FE0" w:rsidRDefault="00AD412D" w14:paraId="3F615083" w14:textId="77777777">
      <w:pPr>
        <w:spacing w:after="0" w:line="240" w:lineRule="auto"/>
      </w:pPr>
      <w:r>
        <w:separator/>
      </w:r>
    </w:p>
  </w:endnote>
  <w:endnote w:type="continuationSeparator" w:id="0">
    <w:p w:rsidR="00AD412D" w:rsidP="00677FE0" w:rsidRDefault="00AD412D" w14:paraId="1510DC3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(Body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7162479"/>
      <w:docPartObj>
        <w:docPartGallery w:val="Page Numbers (Bottom of Page)"/>
        <w:docPartUnique/>
      </w:docPartObj>
    </w:sdtPr>
    <w:sdtEndPr/>
    <w:sdtContent>
      <w:p w:rsidR="001C73C4" w:rsidRDefault="001C73C4" w14:paraId="3C6229EA" w14:textId="77777777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30DC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73C4" w:rsidRDefault="001C73C4" w14:paraId="1CEECC7A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12D" w:rsidP="00677FE0" w:rsidRDefault="00AD412D" w14:paraId="7DF43D5A" w14:textId="77777777">
      <w:pPr>
        <w:spacing w:after="0" w:line="240" w:lineRule="auto"/>
      </w:pPr>
      <w:r>
        <w:separator/>
      </w:r>
    </w:p>
  </w:footnote>
  <w:footnote w:type="continuationSeparator" w:id="0">
    <w:p w:rsidR="00AD412D" w:rsidP="00677FE0" w:rsidRDefault="00AD412D" w14:paraId="191A904A" w14:textId="77777777">
      <w:pPr>
        <w:spacing w:after="0" w:line="240" w:lineRule="auto"/>
      </w:pPr>
      <w:r>
        <w:continuationSeparator/>
      </w:r>
    </w:p>
  </w:footnote>
  <w:footnote w:id="1">
    <w:p w:rsidRPr="00A87B13" w:rsidR="001C73C4" w:rsidRDefault="001C73C4" w14:paraId="04E39632" w14:textId="77777777">
      <w:pPr>
        <w:pStyle w:val="Textpoznpodarou"/>
        <w:rPr>
          <w:rStyle w:val="K-TextPoznChar"/>
        </w:rPr>
      </w:pPr>
      <w:r w:rsidRPr="00A87B13">
        <w:rPr>
          <w:rStyle w:val="Znakapoznpodarou"/>
          <w:rFonts w:ascii="Times New Roman" w:hAnsi="Times New Roman" w:cs="Times New Roman"/>
        </w:rPr>
        <w:footnoteRef/>
      </w:r>
      <w:r w:rsidRPr="00A87B13">
        <w:rPr>
          <w:rFonts w:ascii="Times New Roman" w:hAnsi="Times New Roman" w:cs="Times New Roman"/>
        </w:rPr>
        <w:t xml:space="preserve"> </w:t>
      </w:r>
      <w:r w:rsidRPr="00A87B13">
        <w:rPr>
          <w:rStyle w:val="K-TextPoznChar"/>
        </w:rPr>
        <w:t>Včetně klasifikace COFOG (výdaje vládního sektoru podle funkce).</w:t>
      </w:r>
    </w:p>
  </w:footnote>
  <w:footnote w:id="2">
    <w:p w:rsidR="001C73C4" w:rsidP="0098436E" w:rsidRDefault="001C73C4" w14:paraId="2A05A3BA" w14:textId="777777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name="_Hlk63243523" w:id="6"/>
      <w:r>
        <w:t xml:space="preserve">Zdroj: str. 6 Aktualizace Národního akčního plánu čisté mobility (NAP CM) 2019 </w:t>
      </w:r>
      <w:r w:rsidRPr="0098436E">
        <w:t>https://www.mpo.cz/cz/prumysl/zpracovatelsky-prumysl/automobilovy-prumysl/aktualizace-narodniho-akcniho-planu-ciste-mobility--254445/</w:t>
      </w:r>
      <w:bookmarkEnd w:id="6"/>
    </w:p>
  </w:footnote>
  <w:footnote w:id="3">
    <w:p w:rsidR="001C73C4" w:rsidRDefault="001C73C4" w14:paraId="3566ECD0" w14:textId="77777777">
      <w:pPr>
        <w:pStyle w:val="Textpoznpodarou"/>
      </w:pPr>
      <w:bookmarkStart w:name="_Hlk63243483" w:id="7"/>
      <w:r>
        <w:rPr>
          <w:rStyle w:val="Znakapoznpodarou"/>
        </w:rPr>
        <w:footnoteRef/>
      </w:r>
      <w:bookmarkEnd w:id="7"/>
      <w:r>
        <w:t xml:space="preserve"> </w:t>
      </w:r>
      <w:bookmarkStart w:name="_Hlk63330572" w:id="8"/>
      <w:r w:rsidRPr="0098436E">
        <w:t xml:space="preserve">Zdroj: </w:t>
      </w:r>
      <w:r>
        <w:t xml:space="preserve">str. 7 </w:t>
      </w:r>
      <w:r w:rsidRPr="0098436E">
        <w:t>Aktualizace Národního akčního plánu čisté mobility (NAP CM) 2019 https://www.mpo.cz/cz/prumysl/zpracovatelsky-prumysl/automobilovy-prumysl/aktualizace-narodniho-akcniho-planu-ciste-mobility--254445/</w:t>
      </w:r>
      <w:bookmarkEnd w:id="8"/>
    </w:p>
  </w:footnote>
  <w:footnote w:id="4">
    <w:p w:rsidR="001C73C4" w:rsidRDefault="001C73C4" w14:paraId="4897C406" w14:textId="77777777">
      <w:pPr>
        <w:pStyle w:val="Textpoznpodarou"/>
      </w:pPr>
      <w:r>
        <w:rPr>
          <w:rStyle w:val="Znakapoznpodarou"/>
        </w:rPr>
        <w:t>6</w:t>
      </w:r>
      <w:r>
        <w:t xml:space="preserve">, </w:t>
      </w:r>
      <w:r>
        <w:rPr>
          <w:rStyle w:val="Znakapoznpodarou"/>
        </w:rPr>
        <w:t>7</w:t>
      </w:r>
      <w:r>
        <w:t>,</w:t>
      </w:r>
      <w:r>
        <w:rPr>
          <w:rStyle w:val="Znakapoznpodarou"/>
        </w:rPr>
        <w:t>8</w:t>
      </w:r>
      <w:r>
        <w:t xml:space="preserve"> Zdroj: výpočty vycházejí z </w:t>
      </w:r>
      <w:r w:rsidRPr="00581A18">
        <w:t>Aktualizace Národního akčního plánu čisté mobility (NAP CM) 2019 https://www.mpo.cz/cz/prumysl/zpracovatelsky-prumysl/automobilovy-prumysl/aktualizace-narodniho-akcniho-planu-ciste-mobility--254445/</w:t>
      </w:r>
    </w:p>
  </w:footnote>
  <w:footnote w:id="5">
    <w:p w:rsidR="001C73C4" w:rsidRDefault="001C73C4" w14:paraId="0147F991" w14:textId="77777777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1C73C4" w:rsidRDefault="001C73C4" w14:paraId="2A65AE80" w14:textId="7777777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69CBAA" wp14:editId="60B72EFE">
              <wp:simplePos x="0" y="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3970"/>
              <wp:wrapSquare wrapText="bothSides"/>
              <wp:docPr id="2" name="Textové pole 2" descr="Veřejně přístupné informac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A27E6F" w:rsidR="001C73C4" w:rsidRDefault="001C73C4" w14:paraId="7F9071B5" w14:textId="77777777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27E6F"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  <w:t>Veřejně přístupné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31FC0CD6">
            <v:shapetype id="_x0000_t202" coordsize="21600,21600" o:spt="202" path="m,l,21600r21600,l21600,xe" w14:anchorId="6769CBAA">
              <v:stroke joinstyle="miter"/>
              <v:path gradientshapeok="t" o:connecttype="rect"/>
            </v:shapetype>
            <v:shape id="Textové pole 2" style="position:absolute;margin-left:0;margin-top:.05pt;width:34.95pt;height:34.95pt;z-index:251659264;visibility:visible;mso-wrap-style:none;mso-width-percent:0;mso-height-percent:0;mso-wrap-distance-left:0;mso-wrap-distance-top:0;mso-wrap-distance-right:0;mso-wrap-distance-bottom:0;mso-position-horizontal:left;mso-position-horizontal-relative:left-margin-area;mso-position-vertical:absolute;mso-position-vertical-relative:text;mso-width-percent:0;mso-height-percent:0;mso-width-relative:page;mso-height-relative:page;v-text-anchor:top" alt="Veřejně přístupné informac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">
              <v:textbox style="mso-fit-shape-to-text:t" inset="5pt,0,0,0">
                <w:txbxContent>
                  <w:p w:rsidRPr="00A27E6F" w:rsidR="001C73C4" w:rsidRDefault="001C73C4" w14:paraId="1BCEFC09" w14:textId="77777777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A27E6F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Veřejně přístupné informace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1C73C4" w:rsidRDefault="001C73C4" w14:paraId="4A4F562C" w14:textId="7777777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25DDD70" wp14:editId="0604E576">
              <wp:simplePos x="0" y="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3970"/>
              <wp:wrapSquare wrapText="bothSides"/>
              <wp:docPr id="1" name="Textové pole 1" descr="Veřejně přístupné informac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A27E6F" w:rsidR="001C73C4" w:rsidRDefault="001C73C4" w14:paraId="7F98D113" w14:textId="77777777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27E6F"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  <w:t>Veřejně přístupné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458BF3B4">
            <v:shapetype id="_x0000_t202" coordsize="21600,21600" o:spt="202" path="m,l,21600r21600,l21600,xe" w14:anchorId="225DDD70">
              <v:stroke joinstyle="miter"/>
              <v:path gradientshapeok="t" o:connecttype="rect"/>
            </v:shapetype>
            <v:shape id="Textové pole 1" style="position:absolute;margin-left:0;margin-top:.05pt;width:34.95pt;height:34.95pt;z-index:251658240;visibility:visible;mso-wrap-style:none;mso-width-percent:0;mso-height-percent:0;mso-wrap-distance-left:0;mso-wrap-distance-top:0;mso-wrap-distance-right:0;mso-wrap-distance-bottom:0;mso-position-horizontal:left;mso-position-horizontal-relative:left-margin-area;mso-position-vertical:absolute;mso-position-vertical-relative:text;mso-width-percent:0;mso-height-percent:0;mso-width-relative:page;mso-height-relative:page;v-text-anchor:top" alt="Veřejně přístupné informace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">
              <v:textbox style="mso-fit-shape-to-text:t" inset="5pt,0,0,0">
                <w:txbxContent>
                  <w:p w:rsidRPr="00A27E6F" w:rsidR="001C73C4" w:rsidRDefault="001C73C4" w14:paraId="1163FFC9" w14:textId="77777777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A27E6F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Veřejně přístupné informace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4B823DB"/>
    <w:multiLevelType w:val="hybridMultilevel"/>
    <w:tmpl w:val="6704714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4B2BFF"/>
    <w:multiLevelType w:val="hybridMultilevel"/>
    <w:tmpl w:val="342C0458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D07213"/>
    <w:multiLevelType w:val="hybridMultilevel"/>
    <w:tmpl w:val="4EF0A5EE"/>
    <w:lvl w:ilvl="0" w:tplc="13AACB9A">
      <w:start w:val="1"/>
      <w:numFmt w:val="lowerLetter"/>
      <w:pStyle w:val="Odrkyabc"/>
      <w:lvlText w:val="%1)"/>
      <w:lvlJc w:val="left"/>
      <w:pPr>
        <w:tabs>
          <w:tab w:val="num" w:pos="680"/>
        </w:tabs>
        <w:ind w:left="680" w:hanging="396"/>
      </w:pPr>
      <w:rPr>
        <w:rFonts w:hint="default" w:ascii="Arial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830BB"/>
    <w:multiLevelType w:val="hybridMultilevel"/>
    <w:tmpl w:val="5582ECD2"/>
    <w:lvl w:ilvl="0" w:tplc="EBBAF14C">
      <w:start w:val="1"/>
      <w:numFmt w:val="decimal"/>
      <w:lvlText w:val="%1."/>
      <w:lvlJc w:val="left"/>
      <w:pPr>
        <w:ind w:left="720" w:hanging="360"/>
      </w:pPr>
    </w:lvl>
    <w:lvl w:ilvl="1" w:tplc="8350266E">
      <w:start w:val="1"/>
      <w:numFmt w:val="lowerLetter"/>
      <w:lvlText w:val="%2."/>
      <w:lvlJc w:val="left"/>
      <w:pPr>
        <w:ind w:left="1440" w:hanging="360"/>
      </w:pPr>
    </w:lvl>
    <w:lvl w:ilvl="2" w:tplc="AB6854FC">
      <w:start w:val="1"/>
      <w:numFmt w:val="lowerRoman"/>
      <w:lvlText w:val="%3."/>
      <w:lvlJc w:val="right"/>
      <w:pPr>
        <w:ind w:left="2160" w:hanging="180"/>
      </w:pPr>
    </w:lvl>
    <w:lvl w:ilvl="3" w:tplc="B9684F9A">
      <w:start w:val="1"/>
      <w:numFmt w:val="decimal"/>
      <w:lvlText w:val="%4."/>
      <w:lvlJc w:val="left"/>
      <w:pPr>
        <w:ind w:left="2880" w:hanging="360"/>
      </w:pPr>
    </w:lvl>
    <w:lvl w:ilvl="4" w:tplc="3CA2603E">
      <w:start w:val="1"/>
      <w:numFmt w:val="lowerLetter"/>
      <w:lvlText w:val="%5."/>
      <w:lvlJc w:val="left"/>
      <w:pPr>
        <w:ind w:left="3600" w:hanging="360"/>
      </w:pPr>
    </w:lvl>
    <w:lvl w:ilvl="5" w:tplc="B4165C7C">
      <w:start w:val="1"/>
      <w:numFmt w:val="lowerRoman"/>
      <w:lvlText w:val="%6."/>
      <w:lvlJc w:val="right"/>
      <w:pPr>
        <w:ind w:left="4320" w:hanging="180"/>
      </w:pPr>
    </w:lvl>
    <w:lvl w:ilvl="6" w:tplc="71F43800">
      <w:start w:val="1"/>
      <w:numFmt w:val="decimal"/>
      <w:lvlText w:val="%7."/>
      <w:lvlJc w:val="left"/>
      <w:pPr>
        <w:ind w:left="5040" w:hanging="360"/>
      </w:pPr>
    </w:lvl>
    <w:lvl w:ilvl="7" w:tplc="E786A16E">
      <w:start w:val="1"/>
      <w:numFmt w:val="lowerLetter"/>
      <w:lvlText w:val="%8."/>
      <w:lvlJc w:val="left"/>
      <w:pPr>
        <w:ind w:left="5760" w:hanging="360"/>
      </w:pPr>
    </w:lvl>
    <w:lvl w:ilvl="8" w:tplc="A7CCA5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316F8"/>
    <w:multiLevelType w:val="multilevel"/>
    <w:tmpl w:val="3320A8B2"/>
    <w:numStyleLink w:val="VariantaB-odrky"/>
  </w:abstractNum>
  <w:abstractNum w:abstractNumId="6" w15:restartNumberingAfterBreak="0">
    <w:nsid w:val="13056355"/>
    <w:multiLevelType w:val="hybridMultilevel"/>
    <w:tmpl w:val="21484492"/>
    <w:lvl w:ilvl="0" w:tplc="DE32CC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hint="default" w:ascii="Calibri" w:hAnsi="Calibri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hint="default" w:ascii="Wingdings" w:hAnsi="Wingdings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hint="default" w:ascii="Wingdings 2" w:hAnsi="Wingdings 2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hint="default" w:ascii="Wingdings 2" w:hAnsi="Wingdings 2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hint="default" w:ascii="Wingdings 2" w:hAnsi="Wingdings 2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hint="default" w:ascii="Wingdings 2" w:hAnsi="Wingdings 2" w:cs="Times New Roman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hint="default" w:ascii="Wingdings 2" w:hAnsi="Wingdings 2" w:cs="Times New Roman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hint="default" w:ascii="Wingdings 2" w:hAnsi="Wingdings 2" w:cs="Times New Roman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hint="default" w:ascii="Wingdings 2" w:hAnsi="Wingdings 2" w:cs="Times New Roman"/>
      </w:rPr>
    </w:lvl>
  </w:abstractNum>
  <w:abstractNum w:abstractNumId="8" w15:restartNumberingAfterBreak="0">
    <w:nsid w:val="191872DA"/>
    <w:multiLevelType w:val="multilevel"/>
    <w:tmpl w:val="E8A48D7C"/>
    <w:numStyleLink w:val="VariantaA-sla"/>
  </w:abstractNum>
  <w:abstractNum w:abstractNumId="9" w15:restartNumberingAfterBreak="0">
    <w:nsid w:val="1CBF7598"/>
    <w:multiLevelType w:val="hybridMultilevel"/>
    <w:tmpl w:val="3176CC7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89A5EA2"/>
    <w:multiLevelType w:val="multilevel"/>
    <w:tmpl w:val="E8BAE50A"/>
    <w:numStyleLink w:val="VariantaA-odrky"/>
  </w:abstractNum>
  <w:abstractNum w:abstractNumId="11" w15:restartNumberingAfterBreak="0">
    <w:nsid w:val="2BE10CBC"/>
    <w:multiLevelType w:val="hybridMultilevel"/>
    <w:tmpl w:val="50F66D9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62744EA"/>
    <w:multiLevelType w:val="hybridMultilevel"/>
    <w:tmpl w:val="051EA1E4"/>
    <w:lvl w:ilvl="0" w:tplc="04050001">
      <w:start w:val="1"/>
      <w:numFmt w:val="bullet"/>
      <w:lvlText w:val=""/>
      <w:lvlJc w:val="left"/>
      <w:pPr>
        <w:ind w:left="7104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7824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8544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9264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9984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10704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11424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12144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12864" w:hanging="360"/>
      </w:pPr>
      <w:rPr>
        <w:rFonts w:hint="default" w:ascii="Wingdings" w:hAnsi="Wingdings"/>
      </w:rPr>
    </w:lvl>
  </w:abstractNum>
  <w:abstractNum w:abstractNumId="13" w15:restartNumberingAfterBreak="0">
    <w:nsid w:val="3D617B43"/>
    <w:multiLevelType w:val="hybridMultilevel"/>
    <w:tmpl w:val="072A59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14D5676"/>
    <w:multiLevelType w:val="hybridMultilevel"/>
    <w:tmpl w:val="87624D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1F26F75"/>
    <w:multiLevelType w:val="hybridMultilevel"/>
    <w:tmpl w:val="B044AB16"/>
    <w:lvl w:ilvl="0" w:tplc="D6ACFD54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397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63C7447"/>
    <w:multiLevelType w:val="hybridMultilevel"/>
    <w:tmpl w:val="35684CC8"/>
    <w:lvl w:ilvl="0" w:tplc="F12A8920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hint="default" w:ascii="Wingdings" w:hAnsi="Wingdings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hint="default" w:ascii="Wingdings" w:hAnsi="Wingdings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hint="default" w:ascii="Wingdings" w:hAnsi="Wingdings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hint="default" w:ascii="Wingdings" w:hAnsi="Wingdings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hint="default" w:ascii="Wingdings" w:hAnsi="Wingdings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hint="default" w:ascii="Wingdings" w:hAnsi="Wingdings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hint="default" w:ascii="Wingdings" w:hAnsi="Wingdings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hint="default" w:ascii="Wingdings" w:hAnsi="Wingdings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hint="default" w:ascii="Wingdings" w:hAnsi="Wingdings"/>
        <w:color w:val="000000" w:themeColor="text1"/>
        <w:sz w:val="10"/>
      </w:rPr>
    </w:lvl>
  </w:abstractNum>
  <w:abstractNum w:abstractNumId="19" w15:restartNumberingAfterBreak="0">
    <w:nsid w:val="5AF35F43"/>
    <w:multiLevelType w:val="multilevel"/>
    <w:tmpl w:val="0D8ABE32"/>
    <w:numStyleLink w:val="VariantaB-sla"/>
  </w:abstractNum>
  <w:abstractNum w:abstractNumId="20" w15:restartNumberingAfterBreak="0">
    <w:nsid w:val="607822A2"/>
    <w:multiLevelType w:val="hybridMultilevel"/>
    <w:tmpl w:val="B038C6E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B224499"/>
    <w:multiLevelType w:val="hybridMultilevel"/>
    <w:tmpl w:val="C22EE600"/>
    <w:lvl w:ilvl="0" w:tplc="165AF18E">
      <w:start w:val="1"/>
      <w:numFmt w:val="decimal"/>
      <w:lvlText w:val="%1."/>
      <w:lvlJc w:val="left"/>
      <w:pPr>
        <w:ind w:left="720" w:hanging="360"/>
      </w:pPr>
    </w:lvl>
    <w:lvl w:ilvl="1" w:tplc="878C9E10">
      <w:start w:val="1"/>
      <w:numFmt w:val="lowerLetter"/>
      <w:lvlText w:val="%2."/>
      <w:lvlJc w:val="left"/>
      <w:pPr>
        <w:ind w:left="1440" w:hanging="360"/>
      </w:pPr>
    </w:lvl>
    <w:lvl w:ilvl="2" w:tplc="6F242E0C">
      <w:start w:val="1"/>
      <w:numFmt w:val="lowerRoman"/>
      <w:lvlText w:val="%3."/>
      <w:lvlJc w:val="right"/>
      <w:pPr>
        <w:ind w:left="2160" w:hanging="180"/>
      </w:pPr>
    </w:lvl>
    <w:lvl w:ilvl="3" w:tplc="EB220A60">
      <w:start w:val="1"/>
      <w:numFmt w:val="decimal"/>
      <w:lvlText w:val="%4."/>
      <w:lvlJc w:val="left"/>
      <w:pPr>
        <w:ind w:left="2880" w:hanging="360"/>
      </w:pPr>
    </w:lvl>
    <w:lvl w:ilvl="4" w:tplc="42066068">
      <w:start w:val="1"/>
      <w:numFmt w:val="lowerLetter"/>
      <w:lvlText w:val="%5."/>
      <w:lvlJc w:val="left"/>
      <w:pPr>
        <w:ind w:left="3600" w:hanging="360"/>
      </w:pPr>
    </w:lvl>
    <w:lvl w:ilvl="5" w:tplc="001689C4">
      <w:start w:val="1"/>
      <w:numFmt w:val="lowerRoman"/>
      <w:lvlText w:val="%6."/>
      <w:lvlJc w:val="right"/>
      <w:pPr>
        <w:ind w:left="4320" w:hanging="180"/>
      </w:pPr>
    </w:lvl>
    <w:lvl w:ilvl="6" w:tplc="C6AC6710">
      <w:start w:val="1"/>
      <w:numFmt w:val="decimal"/>
      <w:lvlText w:val="%7."/>
      <w:lvlJc w:val="left"/>
      <w:pPr>
        <w:ind w:left="5040" w:hanging="360"/>
      </w:pPr>
    </w:lvl>
    <w:lvl w:ilvl="7" w:tplc="5A248D06">
      <w:start w:val="1"/>
      <w:numFmt w:val="lowerLetter"/>
      <w:lvlText w:val="%8."/>
      <w:lvlJc w:val="left"/>
      <w:pPr>
        <w:ind w:left="5760" w:hanging="360"/>
      </w:pPr>
    </w:lvl>
    <w:lvl w:ilvl="8" w:tplc="8708B03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E684C"/>
    <w:multiLevelType w:val="hybridMultilevel"/>
    <w:tmpl w:val="38BAB5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3AC508A"/>
    <w:multiLevelType w:val="hybridMultilevel"/>
    <w:tmpl w:val="F6FE363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A8E736B"/>
    <w:multiLevelType w:val="hybridMultilevel"/>
    <w:tmpl w:val="29E48B00"/>
    <w:lvl w:ilvl="0" w:tplc="18F60C0E">
      <w:start w:val="1"/>
      <w:numFmt w:val="decimal"/>
      <w:lvlText w:val="%1."/>
      <w:lvlJc w:val="left"/>
      <w:pPr>
        <w:ind w:left="720" w:hanging="360"/>
      </w:pPr>
    </w:lvl>
    <w:lvl w:ilvl="1" w:tplc="B3D6B78E">
      <w:start w:val="1"/>
      <w:numFmt w:val="lowerLetter"/>
      <w:lvlText w:val="%2."/>
      <w:lvlJc w:val="left"/>
      <w:pPr>
        <w:ind w:left="1440" w:hanging="360"/>
      </w:pPr>
    </w:lvl>
    <w:lvl w:ilvl="2" w:tplc="41FCDF6C">
      <w:start w:val="1"/>
      <w:numFmt w:val="lowerRoman"/>
      <w:lvlText w:val="%3."/>
      <w:lvlJc w:val="right"/>
      <w:pPr>
        <w:ind w:left="2160" w:hanging="180"/>
      </w:pPr>
    </w:lvl>
    <w:lvl w:ilvl="3" w:tplc="F364CCEA">
      <w:start w:val="1"/>
      <w:numFmt w:val="decimal"/>
      <w:lvlText w:val="%4."/>
      <w:lvlJc w:val="left"/>
      <w:pPr>
        <w:ind w:left="2880" w:hanging="360"/>
      </w:pPr>
    </w:lvl>
    <w:lvl w:ilvl="4" w:tplc="DF50C2CA">
      <w:start w:val="1"/>
      <w:numFmt w:val="lowerLetter"/>
      <w:lvlText w:val="%5."/>
      <w:lvlJc w:val="left"/>
      <w:pPr>
        <w:ind w:left="3600" w:hanging="360"/>
      </w:pPr>
    </w:lvl>
    <w:lvl w:ilvl="5" w:tplc="480441AC">
      <w:start w:val="1"/>
      <w:numFmt w:val="lowerRoman"/>
      <w:lvlText w:val="%6."/>
      <w:lvlJc w:val="right"/>
      <w:pPr>
        <w:ind w:left="4320" w:hanging="180"/>
      </w:pPr>
    </w:lvl>
    <w:lvl w:ilvl="6" w:tplc="C2523790">
      <w:start w:val="1"/>
      <w:numFmt w:val="decimal"/>
      <w:lvlText w:val="%7."/>
      <w:lvlJc w:val="left"/>
      <w:pPr>
        <w:ind w:left="5040" w:hanging="360"/>
      </w:pPr>
    </w:lvl>
    <w:lvl w:ilvl="7" w:tplc="F630560A">
      <w:start w:val="1"/>
      <w:numFmt w:val="lowerLetter"/>
      <w:lvlText w:val="%8."/>
      <w:lvlJc w:val="left"/>
      <w:pPr>
        <w:ind w:left="5760" w:hanging="360"/>
      </w:pPr>
    </w:lvl>
    <w:lvl w:ilvl="8" w:tplc="180E4D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3"/>
  </w:num>
  <w:num w:numId="11">
    <w:abstractNumId w:val="20"/>
  </w:num>
  <w:num w:numId="12">
    <w:abstractNumId w:val="16"/>
  </w:num>
  <w:num w:numId="13">
    <w:abstractNumId w:val="12"/>
  </w:num>
  <w:num w:numId="14">
    <w:abstractNumId w:val="14"/>
  </w:num>
  <w:num w:numId="15">
    <w:abstractNumId w:val="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"/>
  </w:num>
  <w:num w:numId="21">
    <w:abstractNumId w:val="23"/>
  </w:num>
  <w:num w:numId="22">
    <w:abstractNumId w:val="9"/>
  </w:num>
  <w:num w:numId="23">
    <w:abstractNumId w:val="17"/>
  </w:num>
  <w:num w:numId="24">
    <w:abstractNumId w:val="2"/>
  </w:num>
  <w:num w:numId="25">
    <w:abstractNumId w:val="11"/>
  </w:num>
  <w:numIdMacAtCleanup w:val="1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0"/>
  <w:removeDateAndTime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0CF"/>
    <w:rsid w:val="00004BA4"/>
    <w:rsid w:val="00012B0F"/>
    <w:rsid w:val="00015306"/>
    <w:rsid w:val="00022377"/>
    <w:rsid w:val="0002674B"/>
    <w:rsid w:val="00030685"/>
    <w:rsid w:val="00033A93"/>
    <w:rsid w:val="000340F3"/>
    <w:rsid w:val="00034F4B"/>
    <w:rsid w:val="000367FF"/>
    <w:rsid w:val="0004162E"/>
    <w:rsid w:val="0004786B"/>
    <w:rsid w:val="00050C4C"/>
    <w:rsid w:val="000544CD"/>
    <w:rsid w:val="00055088"/>
    <w:rsid w:val="00060BFB"/>
    <w:rsid w:val="00063405"/>
    <w:rsid w:val="000679BB"/>
    <w:rsid w:val="00070134"/>
    <w:rsid w:val="00070F7C"/>
    <w:rsid w:val="000809B9"/>
    <w:rsid w:val="00081843"/>
    <w:rsid w:val="00083DF4"/>
    <w:rsid w:val="00084FC1"/>
    <w:rsid w:val="00084FFC"/>
    <w:rsid w:val="00090B40"/>
    <w:rsid w:val="00095A0A"/>
    <w:rsid w:val="00095EBD"/>
    <w:rsid w:val="0009605B"/>
    <w:rsid w:val="000A6F91"/>
    <w:rsid w:val="000B1B3D"/>
    <w:rsid w:val="000B75FA"/>
    <w:rsid w:val="000C0598"/>
    <w:rsid w:val="000C4CAF"/>
    <w:rsid w:val="000C57CB"/>
    <w:rsid w:val="000C74A7"/>
    <w:rsid w:val="000D15DD"/>
    <w:rsid w:val="000D1B33"/>
    <w:rsid w:val="000D5FF3"/>
    <w:rsid w:val="000D652B"/>
    <w:rsid w:val="000D654F"/>
    <w:rsid w:val="000E2207"/>
    <w:rsid w:val="000F520D"/>
    <w:rsid w:val="00110F85"/>
    <w:rsid w:val="001163A3"/>
    <w:rsid w:val="0011A7A2"/>
    <w:rsid w:val="00121485"/>
    <w:rsid w:val="0012500F"/>
    <w:rsid w:val="001268B0"/>
    <w:rsid w:val="001350A8"/>
    <w:rsid w:val="0013655A"/>
    <w:rsid w:val="00142168"/>
    <w:rsid w:val="00143AA9"/>
    <w:rsid w:val="0015052B"/>
    <w:rsid w:val="00150644"/>
    <w:rsid w:val="00154B73"/>
    <w:rsid w:val="00165F40"/>
    <w:rsid w:val="0017296A"/>
    <w:rsid w:val="001745AA"/>
    <w:rsid w:val="00174DAD"/>
    <w:rsid w:val="0017585E"/>
    <w:rsid w:val="0018051B"/>
    <w:rsid w:val="00181B20"/>
    <w:rsid w:val="00182AF6"/>
    <w:rsid w:val="00185CE0"/>
    <w:rsid w:val="001B1E4A"/>
    <w:rsid w:val="001B2012"/>
    <w:rsid w:val="001B3E8E"/>
    <w:rsid w:val="001B58AA"/>
    <w:rsid w:val="001C4DFD"/>
    <w:rsid w:val="001C73C4"/>
    <w:rsid w:val="001D27C0"/>
    <w:rsid w:val="001D72D6"/>
    <w:rsid w:val="001E2A6F"/>
    <w:rsid w:val="001E74C3"/>
    <w:rsid w:val="001F32B2"/>
    <w:rsid w:val="001F6937"/>
    <w:rsid w:val="00200F11"/>
    <w:rsid w:val="00203660"/>
    <w:rsid w:val="00207FC3"/>
    <w:rsid w:val="00215D05"/>
    <w:rsid w:val="00220DE3"/>
    <w:rsid w:val="002259F5"/>
    <w:rsid w:val="0023011C"/>
    <w:rsid w:val="002424D3"/>
    <w:rsid w:val="00251326"/>
    <w:rsid w:val="0025290D"/>
    <w:rsid w:val="0025412D"/>
    <w:rsid w:val="00257664"/>
    <w:rsid w:val="00260372"/>
    <w:rsid w:val="00262DAF"/>
    <w:rsid w:val="00266D99"/>
    <w:rsid w:val="00272896"/>
    <w:rsid w:val="00284C36"/>
    <w:rsid w:val="00285AED"/>
    <w:rsid w:val="00287483"/>
    <w:rsid w:val="002957D8"/>
    <w:rsid w:val="002961AA"/>
    <w:rsid w:val="002A524F"/>
    <w:rsid w:val="002C20CF"/>
    <w:rsid w:val="002C3478"/>
    <w:rsid w:val="002C4FCC"/>
    <w:rsid w:val="002C7976"/>
    <w:rsid w:val="002D2B80"/>
    <w:rsid w:val="002D3BBF"/>
    <w:rsid w:val="002E19BA"/>
    <w:rsid w:val="002E2442"/>
    <w:rsid w:val="002E6A51"/>
    <w:rsid w:val="002F0E8C"/>
    <w:rsid w:val="002F1D49"/>
    <w:rsid w:val="00304970"/>
    <w:rsid w:val="00307D70"/>
    <w:rsid w:val="00310FA0"/>
    <w:rsid w:val="0031144B"/>
    <w:rsid w:val="00320481"/>
    <w:rsid w:val="00323B07"/>
    <w:rsid w:val="003250CB"/>
    <w:rsid w:val="00327136"/>
    <w:rsid w:val="00333A9E"/>
    <w:rsid w:val="00342FEB"/>
    <w:rsid w:val="003462D1"/>
    <w:rsid w:val="00351CAF"/>
    <w:rsid w:val="00363201"/>
    <w:rsid w:val="00363990"/>
    <w:rsid w:val="0037459F"/>
    <w:rsid w:val="00377365"/>
    <w:rsid w:val="0039063C"/>
    <w:rsid w:val="00393C74"/>
    <w:rsid w:val="00394CB9"/>
    <w:rsid w:val="00396173"/>
    <w:rsid w:val="003A12B0"/>
    <w:rsid w:val="003A46A8"/>
    <w:rsid w:val="003A51AA"/>
    <w:rsid w:val="003A6DFC"/>
    <w:rsid w:val="003B0BC8"/>
    <w:rsid w:val="003B0E92"/>
    <w:rsid w:val="003B565A"/>
    <w:rsid w:val="003B652F"/>
    <w:rsid w:val="003C07CA"/>
    <w:rsid w:val="003D00A1"/>
    <w:rsid w:val="003D3067"/>
    <w:rsid w:val="003E717D"/>
    <w:rsid w:val="003F4151"/>
    <w:rsid w:val="003F4D6A"/>
    <w:rsid w:val="003F753F"/>
    <w:rsid w:val="004037E0"/>
    <w:rsid w:val="00406F22"/>
    <w:rsid w:val="0041427F"/>
    <w:rsid w:val="00415985"/>
    <w:rsid w:val="00417D3E"/>
    <w:rsid w:val="00421368"/>
    <w:rsid w:val="00436A3E"/>
    <w:rsid w:val="004509E5"/>
    <w:rsid w:val="00452714"/>
    <w:rsid w:val="00455EDA"/>
    <w:rsid w:val="0045795D"/>
    <w:rsid w:val="00464ED8"/>
    <w:rsid w:val="00465830"/>
    <w:rsid w:val="00473F0F"/>
    <w:rsid w:val="00484616"/>
    <w:rsid w:val="00486FB9"/>
    <w:rsid w:val="00493245"/>
    <w:rsid w:val="004A1340"/>
    <w:rsid w:val="004A453B"/>
    <w:rsid w:val="004B43DB"/>
    <w:rsid w:val="004B591D"/>
    <w:rsid w:val="004B5C41"/>
    <w:rsid w:val="004C212A"/>
    <w:rsid w:val="004C62F8"/>
    <w:rsid w:val="004D4056"/>
    <w:rsid w:val="004D6663"/>
    <w:rsid w:val="004E58B3"/>
    <w:rsid w:val="004E6019"/>
    <w:rsid w:val="004E60C4"/>
    <w:rsid w:val="004F32C0"/>
    <w:rsid w:val="00500232"/>
    <w:rsid w:val="005015C4"/>
    <w:rsid w:val="0050427C"/>
    <w:rsid w:val="00504668"/>
    <w:rsid w:val="00504DF6"/>
    <w:rsid w:val="00506CE5"/>
    <w:rsid w:val="005119E2"/>
    <w:rsid w:val="00511ECB"/>
    <w:rsid w:val="005163EF"/>
    <w:rsid w:val="00516852"/>
    <w:rsid w:val="005215ED"/>
    <w:rsid w:val="00521823"/>
    <w:rsid w:val="00535C31"/>
    <w:rsid w:val="00536992"/>
    <w:rsid w:val="00537529"/>
    <w:rsid w:val="0054472B"/>
    <w:rsid w:val="005455E1"/>
    <w:rsid w:val="005502BD"/>
    <w:rsid w:val="00556787"/>
    <w:rsid w:val="0055690D"/>
    <w:rsid w:val="00560550"/>
    <w:rsid w:val="00566AA0"/>
    <w:rsid w:val="00580A0C"/>
    <w:rsid w:val="00581A18"/>
    <w:rsid w:val="00582276"/>
    <w:rsid w:val="00583416"/>
    <w:rsid w:val="00586036"/>
    <w:rsid w:val="005905DC"/>
    <w:rsid w:val="00590DEF"/>
    <w:rsid w:val="00594325"/>
    <w:rsid w:val="005B0632"/>
    <w:rsid w:val="005B277B"/>
    <w:rsid w:val="005B2EAA"/>
    <w:rsid w:val="005B3665"/>
    <w:rsid w:val="005B3F5C"/>
    <w:rsid w:val="005B7FDF"/>
    <w:rsid w:val="005C0EED"/>
    <w:rsid w:val="005C2560"/>
    <w:rsid w:val="005C4A4F"/>
    <w:rsid w:val="005C4AD7"/>
    <w:rsid w:val="005D1A33"/>
    <w:rsid w:val="005D615B"/>
    <w:rsid w:val="005D65EB"/>
    <w:rsid w:val="005E15AB"/>
    <w:rsid w:val="005F4243"/>
    <w:rsid w:val="005F48D9"/>
    <w:rsid w:val="005F49FF"/>
    <w:rsid w:val="005F6DC5"/>
    <w:rsid w:val="005F7585"/>
    <w:rsid w:val="00603DA9"/>
    <w:rsid w:val="00604AC3"/>
    <w:rsid w:val="00605759"/>
    <w:rsid w:val="00610006"/>
    <w:rsid w:val="00625FC9"/>
    <w:rsid w:val="00630283"/>
    <w:rsid w:val="00636E0D"/>
    <w:rsid w:val="00641110"/>
    <w:rsid w:val="00643E50"/>
    <w:rsid w:val="00644661"/>
    <w:rsid w:val="00650C6C"/>
    <w:rsid w:val="00652FE6"/>
    <w:rsid w:val="0065469A"/>
    <w:rsid w:val="00654BC3"/>
    <w:rsid w:val="006564E6"/>
    <w:rsid w:val="00656B31"/>
    <w:rsid w:val="00660826"/>
    <w:rsid w:val="00661D22"/>
    <w:rsid w:val="00667898"/>
    <w:rsid w:val="00673284"/>
    <w:rsid w:val="006737B9"/>
    <w:rsid w:val="00677FE0"/>
    <w:rsid w:val="00693EBA"/>
    <w:rsid w:val="006953C3"/>
    <w:rsid w:val="006A1274"/>
    <w:rsid w:val="006B258F"/>
    <w:rsid w:val="006B326A"/>
    <w:rsid w:val="006B6764"/>
    <w:rsid w:val="006C30EB"/>
    <w:rsid w:val="006C5411"/>
    <w:rsid w:val="006D04EF"/>
    <w:rsid w:val="006D10DE"/>
    <w:rsid w:val="006E0EF7"/>
    <w:rsid w:val="006E2FB0"/>
    <w:rsid w:val="006F1BEA"/>
    <w:rsid w:val="007004D9"/>
    <w:rsid w:val="007102D2"/>
    <w:rsid w:val="0071196C"/>
    <w:rsid w:val="00712D72"/>
    <w:rsid w:val="00713948"/>
    <w:rsid w:val="0072532F"/>
    <w:rsid w:val="0072734C"/>
    <w:rsid w:val="00741CC4"/>
    <w:rsid w:val="00741CFD"/>
    <w:rsid w:val="00741E3B"/>
    <w:rsid w:val="007464C7"/>
    <w:rsid w:val="00753A27"/>
    <w:rsid w:val="00757566"/>
    <w:rsid w:val="00790AB2"/>
    <w:rsid w:val="007910A5"/>
    <w:rsid w:val="0079342A"/>
    <w:rsid w:val="00795BDC"/>
    <w:rsid w:val="007A2737"/>
    <w:rsid w:val="007A5188"/>
    <w:rsid w:val="007A6F3C"/>
    <w:rsid w:val="007B0FFC"/>
    <w:rsid w:val="007B2103"/>
    <w:rsid w:val="007B24DF"/>
    <w:rsid w:val="007B41B8"/>
    <w:rsid w:val="007B4949"/>
    <w:rsid w:val="007C0788"/>
    <w:rsid w:val="007C6A25"/>
    <w:rsid w:val="007E00C6"/>
    <w:rsid w:val="007E55C0"/>
    <w:rsid w:val="007F0BC6"/>
    <w:rsid w:val="007F5024"/>
    <w:rsid w:val="00804931"/>
    <w:rsid w:val="00810BEE"/>
    <w:rsid w:val="00830DCE"/>
    <w:rsid w:val="00831374"/>
    <w:rsid w:val="008458FD"/>
    <w:rsid w:val="00852465"/>
    <w:rsid w:val="00854034"/>
    <w:rsid w:val="00857580"/>
    <w:rsid w:val="00864844"/>
    <w:rsid w:val="00865238"/>
    <w:rsid w:val="0086593D"/>
    <w:rsid w:val="00866685"/>
    <w:rsid w:val="008667BF"/>
    <w:rsid w:val="008677A5"/>
    <w:rsid w:val="00871E23"/>
    <w:rsid w:val="00872FA4"/>
    <w:rsid w:val="00875C21"/>
    <w:rsid w:val="00895645"/>
    <w:rsid w:val="008A3CDA"/>
    <w:rsid w:val="008A7851"/>
    <w:rsid w:val="008B1BF4"/>
    <w:rsid w:val="008B40DF"/>
    <w:rsid w:val="008B6782"/>
    <w:rsid w:val="008C05AD"/>
    <w:rsid w:val="008C235C"/>
    <w:rsid w:val="008C3782"/>
    <w:rsid w:val="008D4A32"/>
    <w:rsid w:val="008D52A7"/>
    <w:rsid w:val="008D593A"/>
    <w:rsid w:val="008E3468"/>
    <w:rsid w:val="008E69EC"/>
    <w:rsid w:val="008E7760"/>
    <w:rsid w:val="008F2EDF"/>
    <w:rsid w:val="008F4DAB"/>
    <w:rsid w:val="0090206D"/>
    <w:rsid w:val="00904992"/>
    <w:rsid w:val="0091015F"/>
    <w:rsid w:val="00914682"/>
    <w:rsid w:val="00916CC6"/>
    <w:rsid w:val="0091766D"/>
    <w:rsid w:val="00922001"/>
    <w:rsid w:val="00922C17"/>
    <w:rsid w:val="00927710"/>
    <w:rsid w:val="009307A0"/>
    <w:rsid w:val="009325EA"/>
    <w:rsid w:val="009408DB"/>
    <w:rsid w:val="00942DDD"/>
    <w:rsid w:val="00950ADA"/>
    <w:rsid w:val="009516A8"/>
    <w:rsid w:val="0095286D"/>
    <w:rsid w:val="0096299A"/>
    <w:rsid w:val="009631ED"/>
    <w:rsid w:val="0096324D"/>
    <w:rsid w:val="00966DD7"/>
    <w:rsid w:val="00971B4F"/>
    <w:rsid w:val="0097223C"/>
    <w:rsid w:val="00974A80"/>
    <w:rsid w:val="0097705C"/>
    <w:rsid w:val="0098436E"/>
    <w:rsid w:val="00984C49"/>
    <w:rsid w:val="00984EFC"/>
    <w:rsid w:val="00985E5A"/>
    <w:rsid w:val="00996DF6"/>
    <w:rsid w:val="009A068A"/>
    <w:rsid w:val="009B503A"/>
    <w:rsid w:val="009B67FC"/>
    <w:rsid w:val="009C04D3"/>
    <w:rsid w:val="009C1C3A"/>
    <w:rsid w:val="009C4852"/>
    <w:rsid w:val="009C5529"/>
    <w:rsid w:val="009C7974"/>
    <w:rsid w:val="009D1EAD"/>
    <w:rsid w:val="009D2A2C"/>
    <w:rsid w:val="009E42FD"/>
    <w:rsid w:val="009E6FA9"/>
    <w:rsid w:val="009F0846"/>
    <w:rsid w:val="009F1049"/>
    <w:rsid w:val="009F393D"/>
    <w:rsid w:val="009F7E3A"/>
    <w:rsid w:val="009F7F40"/>
    <w:rsid w:val="009F7F46"/>
    <w:rsid w:val="00A00050"/>
    <w:rsid w:val="00A000BF"/>
    <w:rsid w:val="00A0587E"/>
    <w:rsid w:val="00A1242E"/>
    <w:rsid w:val="00A13BB7"/>
    <w:rsid w:val="00A179DF"/>
    <w:rsid w:val="00A24C1F"/>
    <w:rsid w:val="00A25646"/>
    <w:rsid w:val="00A275BC"/>
    <w:rsid w:val="00A27E6F"/>
    <w:rsid w:val="00A356B5"/>
    <w:rsid w:val="00A45E06"/>
    <w:rsid w:val="00A464B4"/>
    <w:rsid w:val="00A46D09"/>
    <w:rsid w:val="00A63D6B"/>
    <w:rsid w:val="00A64EEF"/>
    <w:rsid w:val="00A6645C"/>
    <w:rsid w:val="00A77CF4"/>
    <w:rsid w:val="00A81726"/>
    <w:rsid w:val="00A844B9"/>
    <w:rsid w:val="00A84B52"/>
    <w:rsid w:val="00A84F7F"/>
    <w:rsid w:val="00A8660F"/>
    <w:rsid w:val="00A86B04"/>
    <w:rsid w:val="00A87B13"/>
    <w:rsid w:val="00A95C48"/>
    <w:rsid w:val="00AA2A06"/>
    <w:rsid w:val="00AA7056"/>
    <w:rsid w:val="00AB31C6"/>
    <w:rsid w:val="00AB4061"/>
    <w:rsid w:val="00AB523B"/>
    <w:rsid w:val="00AB5406"/>
    <w:rsid w:val="00AC2F11"/>
    <w:rsid w:val="00AD412D"/>
    <w:rsid w:val="00AD63A5"/>
    <w:rsid w:val="00AD7E40"/>
    <w:rsid w:val="00AF2591"/>
    <w:rsid w:val="00AF2980"/>
    <w:rsid w:val="00AF3BAB"/>
    <w:rsid w:val="00AF7A11"/>
    <w:rsid w:val="00B10466"/>
    <w:rsid w:val="00B1114A"/>
    <w:rsid w:val="00B130D1"/>
    <w:rsid w:val="00B1477A"/>
    <w:rsid w:val="00B1729A"/>
    <w:rsid w:val="00B20993"/>
    <w:rsid w:val="00B30A33"/>
    <w:rsid w:val="00B31350"/>
    <w:rsid w:val="00B33950"/>
    <w:rsid w:val="00B42E96"/>
    <w:rsid w:val="00B50EE6"/>
    <w:rsid w:val="00B52185"/>
    <w:rsid w:val="00B533AA"/>
    <w:rsid w:val="00B63764"/>
    <w:rsid w:val="00B65B44"/>
    <w:rsid w:val="00B72E51"/>
    <w:rsid w:val="00B7463C"/>
    <w:rsid w:val="00B94A2A"/>
    <w:rsid w:val="00B9753A"/>
    <w:rsid w:val="00BA6F07"/>
    <w:rsid w:val="00BB18CC"/>
    <w:rsid w:val="00BB479C"/>
    <w:rsid w:val="00BC3060"/>
    <w:rsid w:val="00BC4720"/>
    <w:rsid w:val="00BC66C0"/>
    <w:rsid w:val="00BD0B80"/>
    <w:rsid w:val="00BD4402"/>
    <w:rsid w:val="00BD75A2"/>
    <w:rsid w:val="00C024D1"/>
    <w:rsid w:val="00C0471B"/>
    <w:rsid w:val="00C0781D"/>
    <w:rsid w:val="00C1067B"/>
    <w:rsid w:val="00C11681"/>
    <w:rsid w:val="00C12FA4"/>
    <w:rsid w:val="00C164C1"/>
    <w:rsid w:val="00C2017A"/>
    <w:rsid w:val="00C2026B"/>
    <w:rsid w:val="00C20470"/>
    <w:rsid w:val="00C21E49"/>
    <w:rsid w:val="00C25B2F"/>
    <w:rsid w:val="00C34B2F"/>
    <w:rsid w:val="00C35F29"/>
    <w:rsid w:val="00C40AA7"/>
    <w:rsid w:val="00C4641B"/>
    <w:rsid w:val="00C46EB1"/>
    <w:rsid w:val="00C6690E"/>
    <w:rsid w:val="00C703C5"/>
    <w:rsid w:val="00C74E93"/>
    <w:rsid w:val="00C805F2"/>
    <w:rsid w:val="00C81828"/>
    <w:rsid w:val="00C87389"/>
    <w:rsid w:val="00C925FB"/>
    <w:rsid w:val="00C92B68"/>
    <w:rsid w:val="00C96099"/>
    <w:rsid w:val="00C96EFE"/>
    <w:rsid w:val="00CA2581"/>
    <w:rsid w:val="00CA4EEC"/>
    <w:rsid w:val="00CB734D"/>
    <w:rsid w:val="00CB7CDA"/>
    <w:rsid w:val="00CB7EB2"/>
    <w:rsid w:val="00CC42B1"/>
    <w:rsid w:val="00CC5B52"/>
    <w:rsid w:val="00CC5E40"/>
    <w:rsid w:val="00CC6FD8"/>
    <w:rsid w:val="00CD35E2"/>
    <w:rsid w:val="00CD68E8"/>
    <w:rsid w:val="00CE0581"/>
    <w:rsid w:val="00CE1732"/>
    <w:rsid w:val="00CF104D"/>
    <w:rsid w:val="00CF21D8"/>
    <w:rsid w:val="00CF3324"/>
    <w:rsid w:val="00CF3892"/>
    <w:rsid w:val="00D02748"/>
    <w:rsid w:val="00D10829"/>
    <w:rsid w:val="00D113D9"/>
    <w:rsid w:val="00D1569F"/>
    <w:rsid w:val="00D20B1E"/>
    <w:rsid w:val="00D20D66"/>
    <w:rsid w:val="00D22462"/>
    <w:rsid w:val="00D230AC"/>
    <w:rsid w:val="00D31C27"/>
    <w:rsid w:val="00D32489"/>
    <w:rsid w:val="00D3349E"/>
    <w:rsid w:val="00D34AAD"/>
    <w:rsid w:val="00D43F00"/>
    <w:rsid w:val="00D45861"/>
    <w:rsid w:val="00D656BF"/>
    <w:rsid w:val="00D71EF7"/>
    <w:rsid w:val="00D73CB8"/>
    <w:rsid w:val="00D76F54"/>
    <w:rsid w:val="00D859E1"/>
    <w:rsid w:val="00D909C0"/>
    <w:rsid w:val="00D95BB5"/>
    <w:rsid w:val="00DA201A"/>
    <w:rsid w:val="00DA7591"/>
    <w:rsid w:val="00DB2850"/>
    <w:rsid w:val="00DB2B22"/>
    <w:rsid w:val="00DB3507"/>
    <w:rsid w:val="00DB6F34"/>
    <w:rsid w:val="00DB7531"/>
    <w:rsid w:val="00DC1DBE"/>
    <w:rsid w:val="00DC49F4"/>
    <w:rsid w:val="00DC4A4A"/>
    <w:rsid w:val="00DC646D"/>
    <w:rsid w:val="00DE0ED4"/>
    <w:rsid w:val="00DE32F7"/>
    <w:rsid w:val="00DE4714"/>
    <w:rsid w:val="00DF1507"/>
    <w:rsid w:val="00DF4BE4"/>
    <w:rsid w:val="00E0499D"/>
    <w:rsid w:val="00E1046C"/>
    <w:rsid w:val="00E12DDB"/>
    <w:rsid w:val="00E16981"/>
    <w:rsid w:val="00E237E4"/>
    <w:rsid w:val="00E27FD7"/>
    <w:rsid w:val="00E32798"/>
    <w:rsid w:val="00E33CC8"/>
    <w:rsid w:val="00E36F74"/>
    <w:rsid w:val="00E43F0A"/>
    <w:rsid w:val="00E44CB4"/>
    <w:rsid w:val="00E50D1B"/>
    <w:rsid w:val="00E51C91"/>
    <w:rsid w:val="00E55090"/>
    <w:rsid w:val="00E55C51"/>
    <w:rsid w:val="00E55FC4"/>
    <w:rsid w:val="00E56C7A"/>
    <w:rsid w:val="00E56F24"/>
    <w:rsid w:val="00E667C1"/>
    <w:rsid w:val="00E67EEC"/>
    <w:rsid w:val="00E7147F"/>
    <w:rsid w:val="00E74329"/>
    <w:rsid w:val="00E85E86"/>
    <w:rsid w:val="00E91729"/>
    <w:rsid w:val="00EC0F88"/>
    <w:rsid w:val="00EC3217"/>
    <w:rsid w:val="00EC3F88"/>
    <w:rsid w:val="00EC57A1"/>
    <w:rsid w:val="00EC7C2C"/>
    <w:rsid w:val="00ED337B"/>
    <w:rsid w:val="00ED36D8"/>
    <w:rsid w:val="00ED612A"/>
    <w:rsid w:val="00EE271E"/>
    <w:rsid w:val="00EE684E"/>
    <w:rsid w:val="00EE6AFD"/>
    <w:rsid w:val="00EE6BD7"/>
    <w:rsid w:val="00EF374D"/>
    <w:rsid w:val="00EF487E"/>
    <w:rsid w:val="00F01755"/>
    <w:rsid w:val="00F0298B"/>
    <w:rsid w:val="00F039B8"/>
    <w:rsid w:val="00F04CC6"/>
    <w:rsid w:val="00F054D8"/>
    <w:rsid w:val="00F0689D"/>
    <w:rsid w:val="00F1568F"/>
    <w:rsid w:val="00F1576D"/>
    <w:rsid w:val="00F177F7"/>
    <w:rsid w:val="00F177FD"/>
    <w:rsid w:val="00F214B9"/>
    <w:rsid w:val="00F22C31"/>
    <w:rsid w:val="00F22C75"/>
    <w:rsid w:val="00F30ADD"/>
    <w:rsid w:val="00F3526D"/>
    <w:rsid w:val="00F36A11"/>
    <w:rsid w:val="00F43705"/>
    <w:rsid w:val="00F53227"/>
    <w:rsid w:val="00F5407D"/>
    <w:rsid w:val="00F6450A"/>
    <w:rsid w:val="00F7017B"/>
    <w:rsid w:val="00F73972"/>
    <w:rsid w:val="00F8491A"/>
    <w:rsid w:val="00F91337"/>
    <w:rsid w:val="00F97632"/>
    <w:rsid w:val="00F97A9F"/>
    <w:rsid w:val="00FA7110"/>
    <w:rsid w:val="00FB01B5"/>
    <w:rsid w:val="00FB07D8"/>
    <w:rsid w:val="00FB0A95"/>
    <w:rsid w:val="00FB1915"/>
    <w:rsid w:val="00FB2FFA"/>
    <w:rsid w:val="00FC0513"/>
    <w:rsid w:val="00FC1EAD"/>
    <w:rsid w:val="00FC39F6"/>
    <w:rsid w:val="00FC6042"/>
    <w:rsid w:val="00FC6325"/>
    <w:rsid w:val="00FD1774"/>
    <w:rsid w:val="00FD4275"/>
    <w:rsid w:val="00FD7DF6"/>
    <w:rsid w:val="00FE424C"/>
    <w:rsid w:val="038D36A3"/>
    <w:rsid w:val="03B62318"/>
    <w:rsid w:val="03E3DDE5"/>
    <w:rsid w:val="0638B3C2"/>
    <w:rsid w:val="0836CF03"/>
    <w:rsid w:val="08977640"/>
    <w:rsid w:val="095C414B"/>
    <w:rsid w:val="0996E1A2"/>
    <w:rsid w:val="0A640386"/>
    <w:rsid w:val="0BB665D3"/>
    <w:rsid w:val="0D03E719"/>
    <w:rsid w:val="0DEAB038"/>
    <w:rsid w:val="10DB1AC6"/>
    <w:rsid w:val="112AC459"/>
    <w:rsid w:val="11BA7152"/>
    <w:rsid w:val="13D02D68"/>
    <w:rsid w:val="14600A8A"/>
    <w:rsid w:val="171BC5B8"/>
    <w:rsid w:val="1828BC58"/>
    <w:rsid w:val="1B10FD4C"/>
    <w:rsid w:val="1B24B137"/>
    <w:rsid w:val="207841FF"/>
    <w:rsid w:val="224B5FA8"/>
    <w:rsid w:val="23C558E5"/>
    <w:rsid w:val="2470C15B"/>
    <w:rsid w:val="253A9B45"/>
    <w:rsid w:val="2543ED81"/>
    <w:rsid w:val="2666E346"/>
    <w:rsid w:val="2747FDD7"/>
    <w:rsid w:val="274C9896"/>
    <w:rsid w:val="2A011915"/>
    <w:rsid w:val="2A80448C"/>
    <w:rsid w:val="2A95EC60"/>
    <w:rsid w:val="2B066C81"/>
    <w:rsid w:val="2B56301E"/>
    <w:rsid w:val="2BD91991"/>
    <w:rsid w:val="2C71E795"/>
    <w:rsid w:val="2D5EE9BE"/>
    <w:rsid w:val="2D97F252"/>
    <w:rsid w:val="31AD74A6"/>
    <w:rsid w:val="31C5A3FE"/>
    <w:rsid w:val="31E899AA"/>
    <w:rsid w:val="32D2AFB8"/>
    <w:rsid w:val="33285467"/>
    <w:rsid w:val="3339E168"/>
    <w:rsid w:val="33AF4ABE"/>
    <w:rsid w:val="35AE0C20"/>
    <w:rsid w:val="3627F853"/>
    <w:rsid w:val="36384684"/>
    <w:rsid w:val="388AA2DD"/>
    <w:rsid w:val="3A6CA3C1"/>
    <w:rsid w:val="3AB338BA"/>
    <w:rsid w:val="3BC26FCA"/>
    <w:rsid w:val="3D5E3248"/>
    <w:rsid w:val="3DA5A294"/>
    <w:rsid w:val="3E8FE825"/>
    <w:rsid w:val="3FF5F4AB"/>
    <w:rsid w:val="4037112F"/>
    <w:rsid w:val="411B012D"/>
    <w:rsid w:val="451895D1"/>
    <w:rsid w:val="46F0A4DE"/>
    <w:rsid w:val="485CEFD7"/>
    <w:rsid w:val="48FA6035"/>
    <w:rsid w:val="4B7017D7"/>
    <w:rsid w:val="4BE09689"/>
    <w:rsid w:val="4C8E0743"/>
    <w:rsid w:val="4C9947D3"/>
    <w:rsid w:val="4D106506"/>
    <w:rsid w:val="4D5F3460"/>
    <w:rsid w:val="4DBE443B"/>
    <w:rsid w:val="52D8D6B8"/>
    <w:rsid w:val="565E0E78"/>
    <w:rsid w:val="57124D4F"/>
    <w:rsid w:val="59A222F8"/>
    <w:rsid w:val="59E6F4FA"/>
    <w:rsid w:val="5A5D6E64"/>
    <w:rsid w:val="5B8A3EFC"/>
    <w:rsid w:val="5C4B72A7"/>
    <w:rsid w:val="5CEDD745"/>
    <w:rsid w:val="5E96E4E5"/>
    <w:rsid w:val="6081C585"/>
    <w:rsid w:val="60CA9CBA"/>
    <w:rsid w:val="6132EF20"/>
    <w:rsid w:val="61C72F31"/>
    <w:rsid w:val="62A7CFFB"/>
    <w:rsid w:val="63E39E61"/>
    <w:rsid w:val="6432F5FC"/>
    <w:rsid w:val="64C5D50F"/>
    <w:rsid w:val="66CDA646"/>
    <w:rsid w:val="67D42021"/>
    <w:rsid w:val="680A5980"/>
    <w:rsid w:val="698DBEB0"/>
    <w:rsid w:val="699BE993"/>
    <w:rsid w:val="6A012CEB"/>
    <w:rsid w:val="6D47A9D5"/>
    <w:rsid w:val="6D62899A"/>
    <w:rsid w:val="6D967788"/>
    <w:rsid w:val="704BFC60"/>
    <w:rsid w:val="70E2A42E"/>
    <w:rsid w:val="723899F3"/>
    <w:rsid w:val="72A7DB31"/>
    <w:rsid w:val="72B63093"/>
    <w:rsid w:val="7329A37C"/>
    <w:rsid w:val="73980226"/>
    <w:rsid w:val="74665CA8"/>
    <w:rsid w:val="7510AB23"/>
    <w:rsid w:val="75EBB0FB"/>
    <w:rsid w:val="765320B8"/>
    <w:rsid w:val="76971B7A"/>
    <w:rsid w:val="76ECE4E1"/>
    <w:rsid w:val="77A609E9"/>
    <w:rsid w:val="77B5915D"/>
    <w:rsid w:val="796DF996"/>
    <w:rsid w:val="79C7FAE3"/>
    <w:rsid w:val="79F48088"/>
    <w:rsid w:val="7A82CAAC"/>
    <w:rsid w:val="7C44719C"/>
    <w:rsid w:val="7E9E650C"/>
    <w:rsid w:val="7FE3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09F3BB"/>
  <w15:docId w15:val="{88D62822-810A-4AF9-B0BC-5E03DDE039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qFormat="1"/>
    <w:lsdException w:name="Bibliography" w:uiPriority="38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rsid w:val="00C81828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rsid w:val="00831374"/>
    <w:pPr>
      <w:keepNext/>
      <w:keepLines/>
      <w:spacing w:before="160" w:after="0"/>
      <w:outlineLvl w:val="0"/>
    </w:pPr>
    <w:rPr>
      <w:rFonts w:asciiTheme="majorHAnsi" w:hAnsiTheme="majorHAnsi"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rsid w:val="00063405"/>
    <w:pPr>
      <w:keepNext/>
      <w:keepLines/>
      <w:spacing w:before="80" w:after="0"/>
      <w:outlineLvl w:val="1"/>
    </w:pPr>
    <w:rPr>
      <w:rFonts w:asciiTheme="majorHAnsi" w:hAnsiTheme="majorHAnsi"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rsid w:val="00504668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rsid w:val="00C6690E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rsid w:val="00C6690E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rsid w:val="00C6690E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rsid w:val="00C6690E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rsid w:val="00A95C48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rsid w:val="00A95C48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aliases w:val="Odrážky 1,seznam písmena,(1) odstavec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styleId="VariantaB-odrky" w:customStyle="1">
    <w:name w:val="Varianta B - odrážky"/>
    <w:uiPriority w:val="99"/>
    <w:rsid w:val="007102D2"/>
    <w:pPr>
      <w:numPr>
        <w:numId w:val="1"/>
      </w:numPr>
    </w:pPr>
  </w:style>
  <w:style w:type="character" w:styleId="Nadpis1Char" w:customStyle="1">
    <w:name w:val="Nadpis 1 Char"/>
    <w:basedOn w:val="Standardnpsmoodstavce"/>
    <w:link w:val="Nadpis1"/>
    <w:uiPriority w:val="7"/>
    <w:rsid w:val="003250CB"/>
    <w:rPr>
      <w:rFonts w:asciiTheme="majorHAnsi" w:hAnsiTheme="majorHAnsi" w:eastAsiaTheme="majorEastAsia" w:cstheme="majorBidi"/>
      <w:b/>
      <w:color w:val="000000" w:themeColor="text1"/>
      <w:sz w:val="28"/>
      <w:szCs w:val="32"/>
    </w:rPr>
  </w:style>
  <w:style w:type="numbering" w:styleId="VariantaA-odrky" w:customStyle="1">
    <w:name w:val="Varianta A - odrážky"/>
    <w:uiPriority w:val="99"/>
    <w:rsid w:val="00262DAF"/>
    <w:pPr>
      <w:numPr>
        <w:numId w:val="2"/>
      </w:numPr>
    </w:pPr>
  </w:style>
  <w:style w:type="character" w:styleId="Nadpis2Char" w:customStyle="1">
    <w:name w:val="Nadpis 2 Char"/>
    <w:basedOn w:val="Standardnpsmoodstavce"/>
    <w:link w:val="Nadpis2"/>
    <w:uiPriority w:val="7"/>
    <w:rsid w:val="003250CB"/>
    <w:rPr>
      <w:rFonts w:asciiTheme="majorHAnsi" w:hAnsiTheme="majorHAnsi" w:eastAsiaTheme="majorEastAsia" w:cstheme="majorBidi"/>
      <w:b/>
      <w:color w:val="000000" w:themeColor="text1"/>
      <w:sz w:val="26"/>
      <w:szCs w:val="26"/>
    </w:rPr>
  </w:style>
  <w:style w:type="numbering" w:styleId="VariantaA-sla" w:customStyle="1">
    <w:name w:val="Varianta A - čísla"/>
    <w:uiPriority w:val="99"/>
    <w:rsid w:val="00B50EE6"/>
    <w:pPr>
      <w:numPr>
        <w:numId w:val="4"/>
      </w:numPr>
    </w:pPr>
  </w:style>
  <w:style w:type="numbering" w:styleId="VariantaB-sla" w:customStyle="1">
    <w:name w:val="Varianta B - čísla"/>
    <w:uiPriority w:val="99"/>
    <w:rsid w:val="009F7F46"/>
    <w:pPr>
      <w:numPr>
        <w:numId w:val="3"/>
      </w:numPr>
    </w:pPr>
  </w:style>
  <w:style w:type="character" w:styleId="Nadpis3Char" w:customStyle="1">
    <w:name w:val="Nadpis 3 Char"/>
    <w:basedOn w:val="Standardnpsmoodstavce"/>
    <w:link w:val="Nadpis3"/>
    <w:uiPriority w:val="7"/>
    <w:rsid w:val="003250CB"/>
    <w:rPr>
      <w:rFonts w:asciiTheme="majorHAnsi" w:hAnsiTheme="majorHAnsi" w:eastAsiaTheme="majorEastAsia" w:cstheme="majorBidi"/>
      <w:b/>
      <w:color w:val="000000" w:themeColor="text1"/>
      <w:sz w:val="24"/>
      <w:szCs w:val="24"/>
    </w:rPr>
  </w:style>
  <w:style w:type="character" w:styleId="Nadpis4Char" w:customStyle="1">
    <w:name w:val="Nadpis 4 Char"/>
    <w:basedOn w:val="Standardnpsmoodstavce"/>
    <w:link w:val="Nadpis4"/>
    <w:uiPriority w:val="7"/>
    <w:rsid w:val="003250CB"/>
    <w:rPr>
      <w:rFonts w:asciiTheme="majorHAnsi" w:hAnsiTheme="majorHAnsi" w:eastAsiaTheme="majorEastAsia" w:cstheme="majorBidi"/>
      <w:i/>
      <w:iCs/>
      <w:color w:val="000000" w:themeColor="text1"/>
      <w:sz w:val="24"/>
    </w:rPr>
  </w:style>
  <w:style w:type="character" w:styleId="Nadpis5Char" w:customStyle="1">
    <w:name w:val="Nadpis 5 Char"/>
    <w:basedOn w:val="Standardnpsmoodstavce"/>
    <w:link w:val="Nadpis5"/>
    <w:uiPriority w:val="7"/>
    <w:rsid w:val="003250CB"/>
    <w:rPr>
      <w:rFonts w:asciiTheme="majorHAnsi" w:hAnsiTheme="majorHAnsi" w:eastAsiaTheme="majorEastAsia" w:cstheme="majorBidi"/>
      <w:b/>
      <w:color w:val="000000" w:themeColor="text1"/>
    </w:rPr>
  </w:style>
  <w:style w:type="character" w:styleId="Nadpis6Char" w:customStyle="1">
    <w:name w:val="Nadpis 6 Char"/>
    <w:basedOn w:val="Standardnpsmoodstavce"/>
    <w:link w:val="Nadpis6"/>
    <w:uiPriority w:val="7"/>
    <w:rsid w:val="003250CB"/>
    <w:rPr>
      <w:rFonts w:asciiTheme="majorHAnsi" w:hAnsiTheme="majorHAnsi" w:eastAsiaTheme="majorEastAsia" w:cstheme="majorBidi"/>
      <w:i/>
      <w:color w:val="000000" w:themeColor="text1"/>
    </w:rPr>
  </w:style>
  <w:style w:type="character" w:styleId="Nadpis7Char" w:customStyle="1">
    <w:name w:val="Nadpis 7 Char"/>
    <w:basedOn w:val="Standardnpsmoodstavce"/>
    <w:link w:val="Nadpis7"/>
    <w:uiPriority w:val="7"/>
    <w:rsid w:val="003250CB"/>
    <w:rPr>
      <w:rFonts w:asciiTheme="majorHAnsi" w:hAnsiTheme="majorHAnsi" w:eastAsiaTheme="majorEastAsia" w:cstheme="majorBidi"/>
      <w:iCs/>
      <w:color w:val="000000" w:themeColor="text1"/>
    </w:rPr>
  </w:style>
  <w:style w:type="character" w:styleId="Nadpis8Char" w:customStyle="1">
    <w:name w:val="Nadpis 8 Char"/>
    <w:basedOn w:val="Standardnpsmoodstavce"/>
    <w:link w:val="Nadpis8"/>
    <w:uiPriority w:val="7"/>
    <w:rsid w:val="003250CB"/>
    <w:rPr>
      <w:rFonts w:asciiTheme="majorHAnsi" w:hAnsiTheme="majorHAnsi" w:eastAsiaTheme="majorEastAsia" w:cstheme="majorBidi"/>
      <w:b/>
      <w:color w:val="272727" w:themeColor="text1" w:themeTint="D8"/>
      <w:szCs w:val="21"/>
    </w:rPr>
  </w:style>
  <w:style w:type="character" w:styleId="Nadpis9Char" w:customStyle="1">
    <w:name w:val="Nadpis 9 Char"/>
    <w:basedOn w:val="Standardnpsmoodstavce"/>
    <w:link w:val="Nadpis9"/>
    <w:uiPriority w:val="7"/>
    <w:rsid w:val="003250CB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rsid w:val="00A63D6B"/>
    <w:pPr>
      <w:keepNext/>
      <w:keepLines/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48"/>
      <w:szCs w:val="56"/>
    </w:rPr>
  </w:style>
  <w:style w:type="character" w:styleId="NzevChar" w:customStyle="1">
    <w:name w:val="Název Char"/>
    <w:basedOn w:val="Standardnpsmoodstavce"/>
    <w:link w:val="Nzev"/>
    <w:uiPriority w:val="4"/>
    <w:rsid w:val="003250CB"/>
    <w:rPr>
      <w:rFonts w:asciiTheme="majorHAnsi" w:hAnsiTheme="majorHAnsi" w:eastAsiaTheme="majorEastAsia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rsid w:val="00713948"/>
    <w:pPr>
      <w:keepLines/>
      <w:pBdr>
        <w:top w:val="single" w:color="000000" w:themeColor="text1" w:sz="4" w:space="10"/>
        <w:bottom w:val="single" w:color="000000" w:themeColor="text1" w:sz="4" w:space="10"/>
      </w:pBdr>
      <w:spacing w:before="240" w:after="240"/>
      <w:ind w:left="357" w:right="357"/>
    </w:pPr>
    <w:rPr>
      <w:i/>
      <w:iCs/>
    </w:rPr>
  </w:style>
  <w:style w:type="character" w:styleId="VrazncittChar" w:customStyle="1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rsid w:val="001B1E4A"/>
    <w:pPr>
      <w:numPr>
        <w:ilvl w:val="4"/>
        <w:numId w:val="7"/>
      </w:numPr>
      <w:spacing w:after="0"/>
      <w:contextualSpacing/>
    </w:pPr>
  </w:style>
  <w:style w:type="paragraph" w:styleId="slovanseznamB" w:customStyle="1">
    <w:name w:val="Číslovaný seznam B"/>
    <w:basedOn w:val="Normln"/>
    <w:uiPriority w:val="16"/>
    <w:rsid w:val="009F7F46"/>
    <w:pPr>
      <w:numPr>
        <w:numId w:val="5"/>
      </w:numPr>
      <w:spacing w:after="0"/>
    </w:pPr>
  </w:style>
  <w:style w:type="paragraph" w:styleId="slovanseznamB2" w:customStyle="1">
    <w:name w:val="Číslovaný seznam B 2"/>
    <w:basedOn w:val="Normln"/>
    <w:uiPriority w:val="16"/>
    <w:rsid w:val="009F7F46"/>
    <w:pPr>
      <w:numPr>
        <w:ilvl w:val="1"/>
        <w:numId w:val="5"/>
      </w:numPr>
      <w:spacing w:after="0"/>
    </w:pPr>
  </w:style>
  <w:style w:type="paragraph" w:styleId="slovanseznamB3" w:customStyle="1">
    <w:name w:val="Číslovaný seznam B 3"/>
    <w:basedOn w:val="Normln"/>
    <w:uiPriority w:val="16"/>
    <w:rsid w:val="009F7F46"/>
    <w:pPr>
      <w:numPr>
        <w:ilvl w:val="2"/>
        <w:numId w:val="5"/>
      </w:numPr>
      <w:spacing w:after="0"/>
    </w:pPr>
  </w:style>
  <w:style w:type="paragraph" w:styleId="slovanseznamB4" w:customStyle="1">
    <w:name w:val="Číslovaný seznam B 4"/>
    <w:basedOn w:val="Normln"/>
    <w:uiPriority w:val="16"/>
    <w:rsid w:val="009F7F46"/>
    <w:pPr>
      <w:numPr>
        <w:ilvl w:val="3"/>
        <w:numId w:val="5"/>
      </w:numPr>
      <w:spacing w:after="0"/>
    </w:pPr>
  </w:style>
  <w:style w:type="paragraph" w:styleId="slovanseznamB5" w:customStyle="1">
    <w:name w:val="Číslovaný seznam B 5"/>
    <w:basedOn w:val="Normln"/>
    <w:uiPriority w:val="16"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rsid w:val="00262DAF"/>
    <w:pPr>
      <w:numPr>
        <w:ilvl w:val="1"/>
        <w:numId w:val="6"/>
      </w:numPr>
      <w:spacing w:after="0"/>
      <w:contextualSpacing/>
    </w:pPr>
  </w:style>
  <w:style w:type="paragraph" w:styleId="Nadpis1-mimoobsah" w:customStyle="1">
    <w:name w:val="Nadpis 1 - mimo obsah"/>
    <w:basedOn w:val="Normln"/>
    <w:next w:val="Normln"/>
    <w:uiPriority w:val="8"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styleId="Nadpis2-mimoobsah" w:customStyle="1">
    <w:name w:val="Nadpis 2 - mimo obsah"/>
    <w:basedOn w:val="Normln"/>
    <w:next w:val="Normln"/>
    <w:uiPriority w:val="8"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styleId="Nadpis3-mimoobsah" w:customStyle="1">
    <w:name w:val="Nadpis 3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styleId="Nadpis4-mimoobsah" w:customStyle="1">
    <w:name w:val="Nadpis 4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styleId="Nadpis5-mimoobsah" w:customStyle="1">
    <w:name w:val="Nadpis 5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styleId="Nadpis7mimoobsah" w:customStyle="1">
    <w:name w:val="Nadpis 7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styleId="Nadpis6mimoobsah" w:customStyle="1">
    <w:name w:val="Nadpis 6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styleId="Nadpis8mimoobsah" w:customStyle="1">
    <w:name w:val="Nadpis 8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styleId="Nadpis9mimoobsah" w:customStyle="1">
    <w:name w:val="Nadpis 9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styleId="PodnadpisChar" w:customStyle="1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styleId="CittChar" w:customStyle="1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styleId="DatumChar" w:customStyle="1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color="000000" w:themeColor="text1" w:sz="2" w:space="10"/>
        <w:left w:val="single" w:color="000000" w:themeColor="text1" w:sz="2" w:space="10"/>
        <w:bottom w:val="single" w:color="000000" w:themeColor="text1" w:sz="2" w:space="10"/>
        <w:right w:val="single" w:color="000000" w:themeColor="text1" w:sz="2" w:space="10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styleId="ZkladntextChar" w:customStyle="1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styleId="Zkladntext-prvnodsazenChar" w:customStyle="1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styleId="ZkladntextodsazenChar" w:customStyle="1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styleId="SeznamsodrkamiB" w:customStyle="1">
    <w:name w:val="Seznam s odrážkami B"/>
    <w:basedOn w:val="Normln"/>
    <w:uiPriority w:val="11"/>
    <w:rsid w:val="007102D2"/>
    <w:pPr>
      <w:numPr>
        <w:numId w:val="8"/>
      </w:numPr>
      <w:spacing w:after="0"/>
    </w:pPr>
  </w:style>
  <w:style w:type="paragraph" w:styleId="SeznamsodrkamiB2" w:customStyle="1">
    <w:name w:val="Seznam s odrážkami B 2"/>
    <w:basedOn w:val="Normln"/>
    <w:uiPriority w:val="11"/>
    <w:rsid w:val="007102D2"/>
    <w:pPr>
      <w:numPr>
        <w:ilvl w:val="1"/>
        <w:numId w:val="8"/>
      </w:numPr>
      <w:spacing w:after="0"/>
    </w:pPr>
  </w:style>
  <w:style w:type="paragraph" w:styleId="SeznamsodrkamiB3" w:customStyle="1">
    <w:name w:val="Seznam s odrážkami B 3"/>
    <w:basedOn w:val="Normln"/>
    <w:uiPriority w:val="11"/>
    <w:rsid w:val="007102D2"/>
    <w:pPr>
      <w:numPr>
        <w:ilvl w:val="2"/>
        <w:numId w:val="8"/>
      </w:numPr>
      <w:spacing w:after="0"/>
    </w:pPr>
  </w:style>
  <w:style w:type="paragraph" w:styleId="SeznamsodrkamiB4" w:customStyle="1">
    <w:name w:val="Seznam s odrážkami B 4"/>
    <w:basedOn w:val="Normln"/>
    <w:uiPriority w:val="11"/>
    <w:rsid w:val="007102D2"/>
    <w:pPr>
      <w:numPr>
        <w:ilvl w:val="3"/>
        <w:numId w:val="8"/>
      </w:numPr>
      <w:spacing w:after="0"/>
    </w:pPr>
  </w:style>
  <w:style w:type="paragraph" w:styleId="SeznamsodrkamiB5" w:customStyle="1">
    <w:name w:val="Seznam s odrážkami B 5"/>
    <w:basedOn w:val="Normln"/>
    <w:uiPriority w:val="11"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Default" w:customStyle="1">
    <w:name w:val="Default"/>
    <w:link w:val="DefaultChar"/>
    <w:rsid w:val="002C2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aliases w:val="Footnote Text Char3,Footnote Text Char1 Char1,Footnote Text Char2 Char Char,Footnote Text Char1 Char1 Char Char,Footnote Text Char2 Char Char Char Char,Footnote Text Char1 Char1 Char Char Char Char Char,-E Fußnotentext,Fußnotentextf"/>
    <w:basedOn w:val="Normln"/>
    <w:link w:val="TextpoznpodarouChar"/>
    <w:uiPriority w:val="99"/>
    <w:unhideWhenUsed/>
    <w:qFormat/>
    <w:rsid w:val="00CE0581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aliases w:val="Footnote Text Char3 Char,Footnote Text Char1 Char1 Char,Footnote Text Char2 Char Char Char,Footnote Text Char1 Char1 Char Char Char,Footnote Text Char2 Char Char Char Char Char,-E Fußnotentext Char,Fußnotentextf Char"/>
    <w:basedOn w:val="Standardnpsmoodstavce"/>
    <w:link w:val="Textpoznpodarou"/>
    <w:uiPriority w:val="99"/>
    <w:qFormat/>
    <w:rsid w:val="00CE0581"/>
    <w:rPr>
      <w:color w:val="000000" w:themeColor="text1"/>
      <w:sz w:val="20"/>
      <w:szCs w:val="20"/>
    </w:rPr>
  </w:style>
  <w:style w:type="character" w:styleId="Znakapoznpodarou">
    <w:name w:val="footnote reference"/>
    <w:aliases w:val="EN Footnote Reference,BVI fnr,Footnote symbol,Footnote Reference Number,PGI Fußnote Ziffer,Footnote Reference Superscript,Appel note de bas de p,Appel note de bas de page,Légende,Char Car Car Car Car,Voetnootverwijzing,fr,SUPERS"/>
    <w:basedOn w:val="Standardnpsmoodstavce"/>
    <w:uiPriority w:val="99"/>
    <w:unhideWhenUsed/>
    <w:rsid w:val="00CE0581"/>
    <w:rPr>
      <w:vertAlign w:val="superscript"/>
    </w:rPr>
  </w:style>
  <w:style w:type="character" w:styleId="Nevyeenzmnka1" w:customStyle="1">
    <w:name w:val="Nevyřešená zmínka1"/>
    <w:basedOn w:val="Standardnpsmoodstavce"/>
    <w:uiPriority w:val="99"/>
    <w:semiHidden/>
    <w:unhideWhenUsed/>
    <w:rsid w:val="009325EA"/>
    <w:rPr>
      <w:color w:val="605E5C"/>
      <w:shd w:val="clear" w:color="auto" w:fill="E1DFDD"/>
    </w:rPr>
  </w:style>
  <w:style w:type="paragraph" w:styleId="K-Nadpis1" w:customStyle="1">
    <w:name w:val="K-Nadpis1"/>
    <w:basedOn w:val="Nadpis1"/>
    <w:link w:val="K-Nadpis1Char"/>
    <w:qFormat/>
    <w:rsid w:val="00154B73"/>
    <w:rPr>
      <w:rFonts w:ascii="Times New Roman" w:hAnsi="Times New Roman" w:cs="Times New Roman"/>
      <w:sz w:val="32"/>
    </w:rPr>
  </w:style>
  <w:style w:type="paragraph" w:styleId="K-Nadpis2" w:customStyle="1">
    <w:name w:val="K-Nadpis2"/>
    <w:basedOn w:val="Nadpis2"/>
    <w:link w:val="K-Nadpis2Char"/>
    <w:qFormat/>
    <w:rsid w:val="00154B73"/>
    <w:rPr>
      <w:rFonts w:ascii="Times New Roman" w:hAnsi="Times New Roman" w:cs="Times New Roman"/>
      <w:sz w:val="28"/>
      <w:szCs w:val="28"/>
    </w:rPr>
  </w:style>
  <w:style w:type="character" w:styleId="K-Nadpis1Char" w:customStyle="1">
    <w:name w:val="K-Nadpis1 Char"/>
    <w:basedOn w:val="Nadpis1Char"/>
    <w:link w:val="K-Nadpis1"/>
    <w:rsid w:val="00154B73"/>
    <w:rPr>
      <w:rFonts w:ascii="Times New Roman" w:hAnsi="Times New Roman" w:cs="Times New Roman" w:eastAsiaTheme="majorEastAsia"/>
      <w:b/>
      <w:color w:val="000000" w:themeColor="text1"/>
      <w:sz w:val="32"/>
      <w:szCs w:val="32"/>
    </w:rPr>
  </w:style>
  <w:style w:type="paragraph" w:styleId="K-Nadpis3" w:customStyle="1">
    <w:name w:val="K-Nadpis3"/>
    <w:basedOn w:val="Default"/>
    <w:link w:val="K-Nadpis3Char"/>
    <w:qFormat/>
    <w:rsid w:val="00154B73"/>
    <w:pPr>
      <w:spacing w:after="120"/>
      <w:jc w:val="both"/>
    </w:pPr>
    <w:rPr>
      <w:b/>
      <w:szCs w:val="23"/>
    </w:rPr>
  </w:style>
  <w:style w:type="character" w:styleId="K-Nadpis2Char" w:customStyle="1">
    <w:name w:val="K-Nadpis2 Char"/>
    <w:basedOn w:val="Nadpis2Char"/>
    <w:link w:val="K-Nadpis2"/>
    <w:rsid w:val="00154B73"/>
    <w:rPr>
      <w:rFonts w:ascii="Times New Roman" w:hAnsi="Times New Roman" w:cs="Times New Roman" w:eastAsiaTheme="majorEastAsia"/>
      <w:b/>
      <w:color w:val="000000" w:themeColor="text1"/>
      <w:sz w:val="28"/>
      <w:szCs w:val="28"/>
    </w:rPr>
  </w:style>
  <w:style w:type="paragraph" w:styleId="K-Text" w:customStyle="1">
    <w:name w:val="K-Text"/>
    <w:basedOn w:val="Normln"/>
    <w:link w:val="K-TextChar"/>
    <w:qFormat/>
    <w:rsid w:val="006F1BEA"/>
    <w:pPr>
      <w:spacing w:after="120"/>
      <w:jc w:val="both"/>
    </w:pPr>
    <w:rPr>
      <w:rFonts w:ascii="Times New Roman" w:hAnsi="Times New Roman" w:cs="Times New Roman"/>
      <w:iCs/>
      <w:color w:val="auto"/>
      <w:sz w:val="23"/>
      <w:szCs w:val="23"/>
    </w:rPr>
  </w:style>
  <w:style w:type="character" w:styleId="DefaultChar" w:customStyle="1">
    <w:name w:val="Default Char"/>
    <w:basedOn w:val="Standardnpsmoodstavce"/>
    <w:link w:val="Default"/>
    <w:rsid w:val="00154B73"/>
    <w:rPr>
      <w:rFonts w:ascii="Times New Roman" w:hAnsi="Times New Roman" w:cs="Times New Roman"/>
      <w:color w:val="000000"/>
      <w:sz w:val="24"/>
      <w:szCs w:val="24"/>
    </w:rPr>
  </w:style>
  <w:style w:type="character" w:styleId="K-Nadpis3Char" w:customStyle="1">
    <w:name w:val="K-Nadpis3 Char"/>
    <w:basedOn w:val="DefaultChar"/>
    <w:link w:val="K-Nadpis3"/>
    <w:rsid w:val="00154B73"/>
    <w:rPr>
      <w:rFonts w:ascii="Times New Roman" w:hAnsi="Times New Roman" w:cs="Times New Roman"/>
      <w:b/>
      <w:color w:val="000000"/>
      <w:sz w:val="24"/>
      <w:szCs w:val="23"/>
    </w:rPr>
  </w:style>
  <w:style w:type="paragraph" w:styleId="K-TextInfo" w:customStyle="1">
    <w:name w:val="K-Text_Info"/>
    <w:basedOn w:val="Default"/>
    <w:link w:val="K-TextInfoChar"/>
    <w:qFormat/>
    <w:rsid w:val="00ED337B"/>
    <w:pPr>
      <w:spacing w:after="120"/>
      <w:jc w:val="both"/>
    </w:pPr>
    <w:rPr>
      <w:i/>
      <w:iCs/>
      <w:color w:val="2196FF" w:themeColor="text2" w:themeTint="99"/>
      <w:sz w:val="23"/>
      <w:szCs w:val="23"/>
    </w:rPr>
  </w:style>
  <w:style w:type="character" w:styleId="K-TextChar" w:customStyle="1">
    <w:name w:val="K-Text Char"/>
    <w:basedOn w:val="Standardnpsmoodstavce"/>
    <w:link w:val="K-Text"/>
    <w:rsid w:val="006F1BEA"/>
    <w:rPr>
      <w:rFonts w:ascii="Times New Roman" w:hAnsi="Times New Roman" w:cs="Times New Roman"/>
      <w:iCs/>
      <w:sz w:val="23"/>
      <w:szCs w:val="23"/>
    </w:rPr>
  </w:style>
  <w:style w:type="paragraph" w:styleId="K-Tabulka" w:customStyle="1">
    <w:name w:val="K-Tabulka"/>
    <w:basedOn w:val="Default"/>
    <w:link w:val="K-TabulkaChar"/>
    <w:qFormat/>
    <w:rsid w:val="00ED337B"/>
    <w:pPr>
      <w:spacing w:after="120"/>
      <w:jc w:val="both"/>
    </w:pPr>
    <w:rPr>
      <w:b/>
      <w:bCs/>
      <w:color w:val="auto"/>
      <w:sz w:val="23"/>
      <w:szCs w:val="23"/>
    </w:rPr>
  </w:style>
  <w:style w:type="character" w:styleId="K-TextInfoChar" w:customStyle="1">
    <w:name w:val="K-Text_Info Char"/>
    <w:basedOn w:val="DefaultChar"/>
    <w:link w:val="K-TextInfo"/>
    <w:rsid w:val="00ED337B"/>
    <w:rPr>
      <w:rFonts w:ascii="Times New Roman" w:hAnsi="Times New Roman" w:cs="Times New Roman"/>
      <w:i/>
      <w:iCs/>
      <w:color w:val="2196FF" w:themeColor="text2" w:themeTint="99"/>
      <w:sz w:val="23"/>
      <w:szCs w:val="23"/>
    </w:rPr>
  </w:style>
  <w:style w:type="paragraph" w:styleId="K-TextPozn" w:customStyle="1">
    <w:name w:val="K-Text_Pozn"/>
    <w:basedOn w:val="Textpoznpodarou"/>
    <w:link w:val="K-TextPoznChar"/>
    <w:qFormat/>
    <w:rsid w:val="00A87B13"/>
    <w:rPr>
      <w:rFonts w:ascii="Times New Roman" w:hAnsi="Times New Roman" w:cs="Times New Roman"/>
    </w:rPr>
  </w:style>
  <w:style w:type="character" w:styleId="K-TabulkaChar" w:customStyle="1">
    <w:name w:val="K-Tabulka Char"/>
    <w:basedOn w:val="DefaultChar"/>
    <w:link w:val="K-Tabulka"/>
    <w:rsid w:val="00ED337B"/>
    <w:rPr>
      <w:rFonts w:ascii="Times New Roman" w:hAnsi="Times New Roman" w:cs="Times New Roman"/>
      <w:b/>
      <w:bCs/>
      <w:color w:val="000000"/>
      <w:sz w:val="23"/>
      <w:szCs w:val="23"/>
    </w:rPr>
  </w:style>
  <w:style w:type="character" w:styleId="K-TextPoznChar" w:customStyle="1">
    <w:name w:val="K-Text_Pozn Char"/>
    <w:basedOn w:val="TextpoznpodarouChar"/>
    <w:link w:val="K-TextPozn"/>
    <w:rsid w:val="00A87B13"/>
    <w:rPr>
      <w:rFonts w:ascii="Times New Roman" w:hAnsi="Times New Roman" w:cs="Times New Roman"/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111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14A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B1114A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14A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B1114A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B1114A"/>
    <w:rPr>
      <w:rFonts w:ascii="Segoe UI" w:hAnsi="Segoe UI" w:cs="Segoe UI"/>
      <w:color w:val="000000" w:themeColor="text1"/>
      <w:sz w:val="18"/>
      <w:szCs w:val="18"/>
    </w:rPr>
  </w:style>
  <w:style w:type="table" w:styleId="Mkatabulky">
    <w:name w:val="Table Grid"/>
    <w:basedOn w:val="Normlntabulka"/>
    <w:uiPriority w:val="39"/>
    <w:rsid w:val="008524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ulek">
    <w:name w:val="caption"/>
    <w:basedOn w:val="Normln"/>
    <w:next w:val="Normln"/>
    <w:link w:val="TitulekChar"/>
    <w:qFormat/>
    <w:rsid w:val="003B0BC8"/>
    <w:pPr>
      <w:spacing w:before="240" w:after="240" w:line="240" w:lineRule="auto"/>
    </w:pPr>
    <w:rPr>
      <w:rFonts w:ascii="Arial" w:hAnsi="Arial" w:eastAsia="Times New Roman" w:cs="Times New Roman"/>
      <w:b/>
      <w:bCs/>
      <w:color w:val="auto"/>
      <w:szCs w:val="20"/>
      <w:lang w:eastAsia="cs-CZ"/>
    </w:rPr>
  </w:style>
  <w:style w:type="character" w:styleId="TitulekChar" w:customStyle="1">
    <w:name w:val="Titulek Char"/>
    <w:link w:val="Titulek"/>
    <w:locked/>
    <w:rsid w:val="003B0BC8"/>
    <w:rPr>
      <w:rFonts w:ascii="Arial" w:hAnsi="Arial" w:eastAsia="Times New Roman" w:cs="Times New Roman"/>
      <w:b/>
      <w:bCs/>
      <w:szCs w:val="20"/>
      <w:lang w:eastAsia="cs-CZ"/>
    </w:rPr>
  </w:style>
  <w:style w:type="paragraph" w:styleId="Odrkyabc" w:customStyle="1">
    <w:name w:val="Odrážky abc"/>
    <w:basedOn w:val="Normln"/>
    <w:uiPriority w:val="99"/>
    <w:rsid w:val="003B0BC8"/>
    <w:pPr>
      <w:numPr>
        <w:numId w:val="9"/>
      </w:numPr>
      <w:spacing w:before="120" w:after="120" w:line="240" w:lineRule="auto"/>
    </w:pPr>
    <w:rPr>
      <w:rFonts w:ascii="Arial" w:hAnsi="Arial" w:eastAsia="Times New Roman" w:cs="Times New Roman"/>
      <w:color w:val="auto"/>
      <w:szCs w:val="24"/>
      <w:lang w:eastAsia="cs-CZ"/>
    </w:rPr>
  </w:style>
  <w:style w:type="character" w:styleId="apple-style-span" w:customStyle="1">
    <w:name w:val="apple-style-span"/>
    <w:basedOn w:val="Standardnpsmoodstavce"/>
    <w:rsid w:val="003B0BC8"/>
  </w:style>
  <w:style w:type="paragraph" w:styleId="00Body" w:customStyle="1">
    <w:name w:val="00 Body"/>
    <w:basedOn w:val="Normln"/>
    <w:link w:val="00BodyChar"/>
    <w:qFormat/>
    <w:rsid w:val="00436A3E"/>
    <w:pPr>
      <w:spacing w:before="180" w:after="180" w:line="264" w:lineRule="auto"/>
    </w:pPr>
    <w:rPr>
      <w:rFonts w:ascii="Arial (Body)" w:hAnsi="Arial (Body)" w:eastAsia="Times New Roman" w:cs="Times New Roman"/>
      <w:color w:val="auto"/>
      <w:szCs w:val="20"/>
      <w:lang w:val="en-US"/>
    </w:rPr>
  </w:style>
  <w:style w:type="character" w:styleId="00BodyChar" w:customStyle="1">
    <w:name w:val="00 Body Char"/>
    <w:basedOn w:val="Standardnpsmoodstavce"/>
    <w:link w:val="00Body"/>
    <w:rsid w:val="00436A3E"/>
    <w:rPr>
      <w:rFonts w:ascii="Arial (Body)" w:hAnsi="Arial (Body)" w:eastAsia="Times New Roman" w:cs="Times New Roman"/>
      <w:szCs w:val="20"/>
      <w:lang w:val="en-US"/>
    </w:rPr>
  </w:style>
  <w:style w:type="table" w:styleId="Mkatabulky1" w:customStyle="1">
    <w:name w:val="Mřížka tabulky1"/>
    <w:basedOn w:val="Normlntabulka"/>
    <w:next w:val="Mkatabulky"/>
    <w:uiPriority w:val="39"/>
    <w:rsid w:val="00F157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katabulky2" w:customStyle="1">
    <w:name w:val="Mřížka tabulky2"/>
    <w:basedOn w:val="Normlntabulka"/>
    <w:next w:val="Mkatabulky"/>
    <w:uiPriority w:val="39"/>
    <w:rsid w:val="00693E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ullet1" w:customStyle="1">
    <w:name w:val="Bullet 1"/>
    <w:basedOn w:val="Normln"/>
    <w:link w:val="Bullet1Char"/>
    <w:uiPriority w:val="99"/>
    <w:qFormat/>
    <w:rsid w:val="00984EFC"/>
    <w:pPr>
      <w:numPr>
        <w:numId w:val="12"/>
      </w:numPr>
      <w:spacing w:before="120" w:after="120" w:line="240" w:lineRule="auto"/>
    </w:pPr>
    <w:rPr>
      <w:rFonts w:ascii="Arial" w:hAnsi="Arial" w:eastAsia="Times New Roman" w:cs="Times New Roman"/>
      <w:color w:val="auto"/>
      <w:szCs w:val="24"/>
      <w:lang w:eastAsia="cs-CZ"/>
    </w:rPr>
  </w:style>
  <w:style w:type="paragraph" w:styleId="Odrka1" w:customStyle="1">
    <w:name w:val="Odrážka 1"/>
    <w:basedOn w:val="Bullet1"/>
    <w:link w:val="Odrka1Char"/>
    <w:qFormat/>
    <w:rsid w:val="00984EFC"/>
  </w:style>
  <w:style w:type="character" w:styleId="Odrka1Char" w:customStyle="1">
    <w:name w:val="Odrážka 1 Char"/>
    <w:basedOn w:val="Standardnpsmoodstavce"/>
    <w:link w:val="Odrka1"/>
    <w:rsid w:val="00984EFC"/>
    <w:rPr>
      <w:rFonts w:ascii="Arial" w:hAnsi="Arial" w:eastAsia="Times New Roman" w:cs="Times New Roman"/>
      <w:szCs w:val="24"/>
      <w:lang w:eastAsia="cs-CZ"/>
    </w:rPr>
  </w:style>
  <w:style w:type="character" w:styleId="Bullet1Char" w:customStyle="1">
    <w:name w:val="Bullet 1 Char"/>
    <w:basedOn w:val="Standardnpsmoodstavce"/>
    <w:link w:val="Bullet1"/>
    <w:uiPriority w:val="99"/>
    <w:rsid w:val="00984EFC"/>
    <w:rPr>
      <w:rFonts w:ascii="Arial" w:hAnsi="Arial" w:eastAsia="Times New Roman" w:cs="Times New Roman"/>
      <w:szCs w:val="24"/>
      <w:lang w:eastAsia="cs-CZ"/>
    </w:rPr>
  </w:style>
  <w:style w:type="character" w:styleId="OdstavecseseznamemChar" w:customStyle="1">
    <w:name w:val="Odstavec se seznamem Char"/>
    <w:aliases w:val="Odrážky 1 Char,seznam písmena Char,(1) odstavec Char"/>
    <w:basedOn w:val="Standardnpsmoodstavce"/>
    <w:link w:val="Odstavecseseznamem"/>
    <w:uiPriority w:val="34"/>
    <w:qFormat/>
    <w:rsid w:val="001F32B2"/>
    <w:rPr>
      <w:color w:val="000000" w:themeColor="text1"/>
    </w:rPr>
  </w:style>
  <w:style w:type="character" w:styleId="normaltextrun" w:customStyle="1">
    <w:name w:val="normaltextrun"/>
    <w:basedOn w:val="Standardnpsmoodstavce"/>
    <w:rsid w:val="00F01755"/>
  </w:style>
  <w:style w:type="character" w:styleId="eop" w:customStyle="1">
    <w:name w:val="eop"/>
    <w:basedOn w:val="Standardnpsmoodstavce"/>
    <w:rsid w:val="00F01755"/>
  </w:style>
  <w:style w:type="character" w:styleId="contextualspellingandgrammarerror" w:customStyle="1">
    <w:name w:val="contextualspellingandgrammarerror"/>
    <w:basedOn w:val="Standardnpsmoodstavce"/>
    <w:rsid w:val="009D1EAD"/>
  </w:style>
  <w:style w:type="paragraph" w:styleId="xmsonormal" w:customStyle="1">
    <w:name w:val="x_msonormal"/>
    <w:basedOn w:val="Normln"/>
    <w:rsid w:val="004F32C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  <w:style w:type="paragraph" w:styleId="paragraph" w:customStyle="1">
    <w:name w:val="paragraph"/>
    <w:basedOn w:val="Normln"/>
    <w:rsid w:val="00CB734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  <w:style w:type="character" w:styleId="tabchar" w:customStyle="1">
    <w:name w:val="tabchar"/>
    <w:basedOn w:val="Standardnpsmoodstavce"/>
    <w:rsid w:val="00CB734D"/>
  </w:style>
  <w:style w:type="character" w:styleId="spellingerror" w:customStyle="1">
    <w:name w:val="spellingerror"/>
    <w:basedOn w:val="Standardnpsmoodstavce"/>
    <w:rsid w:val="00CB734D"/>
  </w:style>
  <w:style w:type="character" w:styleId="scxw103030068" w:customStyle="1">
    <w:name w:val="scxw103030068"/>
    <w:basedOn w:val="Standardnpsmoodstavce"/>
    <w:rsid w:val="00CB734D"/>
  </w:style>
  <w:style w:type="paragraph" w:styleId="K-1" w:customStyle="1">
    <w:name w:val="K - 1"/>
    <w:basedOn w:val="K-Nadpis2"/>
    <w:link w:val="K-1Char"/>
    <w:qFormat/>
    <w:rsid w:val="00393C74"/>
    <w:pPr>
      <w:spacing w:before="160" w:after="160" w:line="240" w:lineRule="auto"/>
    </w:pPr>
    <w:rPr>
      <w:rFonts w:cstheme="minorHAnsi"/>
      <w:szCs w:val="26"/>
    </w:rPr>
  </w:style>
  <w:style w:type="character" w:styleId="K-1Char" w:customStyle="1">
    <w:name w:val="K - 1 Char"/>
    <w:basedOn w:val="K-Nadpis2Char"/>
    <w:link w:val="K-1"/>
    <w:rsid w:val="00393C74"/>
    <w:rPr>
      <w:rFonts w:ascii="Times New Roman" w:hAnsi="Times New Roman" w:eastAsiaTheme="majorEastAsia" w:cstheme="minorHAns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bd742abd50d44bc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f4657-8823-4c84-8165-cfcf7845651e}"/>
      </w:docPartPr>
      <w:docPartBody>
        <w:p w14:paraId="633D71A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668E3FACC0A4D909754AED2896FA5" ma:contentTypeVersion="10" ma:contentTypeDescription="Vytvoří nový dokument" ma:contentTypeScope="" ma:versionID="98d6cc77a46b5b92d15fcdff8b361900">
  <xsd:schema xmlns:xsd="http://www.w3.org/2001/XMLSchema" xmlns:xs="http://www.w3.org/2001/XMLSchema" xmlns:p="http://schemas.microsoft.com/office/2006/metadata/properties" xmlns:ns2="c901dcab-5c60-4e8e-adc9-0c7b361f0e15" xmlns:ns3="513a4330-68e5-46ad-8e16-8cb7e185a001" targetNamespace="http://schemas.microsoft.com/office/2006/metadata/properties" ma:root="true" ma:fieldsID="1a18521a795ce75b392771daa3c97262" ns2:_="" ns3:_="">
    <xsd:import namespace="c901dcab-5c60-4e8e-adc9-0c7b361f0e15"/>
    <xsd:import namespace="513a4330-68e5-46ad-8e16-8cb7e185a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1dcab-5c60-4e8e-adc9-0c7b361f0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a4330-68e5-46ad-8e16-8cb7e185a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5E84-47A9-4C74-9832-7DADC55C9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43D31-AE18-466E-894D-8DAB6E42E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1dcab-5c60-4e8e-adc9-0c7b361f0e15"/>
    <ds:schemaRef ds:uri="513a4330-68e5-46ad-8e16-8cb7e185a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1758E-458E-400C-A4E9-7E535E591BF2}">
  <ds:schemaRefs>
    <ds:schemaRef ds:uri="http://purl.org/dc/elements/1.1/"/>
    <ds:schemaRef ds:uri="http://schemas.microsoft.com/office/2006/metadata/properties"/>
    <ds:schemaRef ds:uri="c901dcab-5c60-4e8e-adc9-0c7b361f0e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13a4330-68e5-46ad-8e16-8cb7e185a00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51BCA8-40C1-464F-9182-B51D6235095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28EC834B.dotm</ap:Template>
  <ap:Application>Microsoft Word for the web</ap:Application>
  <ap:DocSecurity>0</ap:DocSecurity>
  <ap:ScaleCrop>false</ap:ScaleCrop>
  <ap:Company>Ministerstvo průmyslu a obchodu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Pápai Adam</dc:creator>
  <lastModifiedBy>Pápai Adam</lastModifiedBy>
  <revision>11</revision>
  <lastPrinted>2021-05-11T09:29:00.0000000Z</lastPrinted>
  <dcterms:created xsi:type="dcterms:W3CDTF">2021-05-28T05:49:00.0000000Z</dcterms:created>
  <dcterms:modified xsi:type="dcterms:W3CDTF">2021-09-07T10:35:36.4359747Z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0x0101008E0668E3FACC0A4D909754AED2896FA5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Veřejně přístupné informace</vt:lpwstr>
  </property>
  <property fmtid="{D5CDD505-2E9C-101B-9397-08002B2CF9AE}" pid="6" name="MSIP_Label_8d94c5f0-83f8-4bf2-af20-ac59dfc3b7e2_Enabled">
    <vt:lpwstr>True</vt:lpwstr>
  </property>
  <property fmtid="{D5CDD505-2E9C-101B-9397-08002B2CF9AE}" pid="7" name="MSIP_Label_8d94c5f0-83f8-4bf2-af20-ac59dfc3b7e2_SiteId">
    <vt:lpwstr>1f9775f0-c6d0-40f3-b27c-91cb5bbd294a</vt:lpwstr>
  </property>
  <property fmtid="{D5CDD505-2E9C-101B-9397-08002B2CF9AE}" pid="8" name="MSIP_Label_8d94c5f0-83f8-4bf2-af20-ac59dfc3b7e2_ActionId">
    <vt:lpwstr>8dfef26e-d646-48b8-9a03-f4c27dc60fce</vt:lpwstr>
  </property>
  <property fmtid="{D5CDD505-2E9C-101B-9397-08002B2CF9AE}" pid="9" name="MSIP_Label_8d94c5f0-83f8-4bf2-af20-ac59dfc3b7e2_Method">
    <vt:lpwstr>Privileged</vt:lpwstr>
  </property>
  <property fmtid="{D5CDD505-2E9C-101B-9397-08002B2CF9AE}" pid="10" name="MSIP_Label_8d94c5f0-83f8-4bf2-af20-ac59dfc3b7e2_SetDate">
    <vt:lpwstr>2021-05-19T06:10:56Z</vt:lpwstr>
  </property>
  <property fmtid="{D5CDD505-2E9C-101B-9397-08002B2CF9AE}" pid="11" name="MSIP_Label_8d94c5f0-83f8-4bf2-af20-ac59dfc3b7e2_Name">
    <vt:lpwstr>Veřejné</vt:lpwstr>
  </property>
  <property fmtid="{D5CDD505-2E9C-101B-9397-08002B2CF9AE}" pid="12" name="MSIP_Label_8d94c5f0-83f8-4bf2-af20-ac59dfc3b7e2_ContentBits">
    <vt:lpwstr>1</vt:lpwstr>
  </property>
</Properties>
</file>