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3E7AC010" w:rsidR="002C20CF" w:rsidRPr="00ED337B" w:rsidRDefault="7823537A" w:rsidP="3EE66962">
      <w:pPr>
        <w:pStyle w:val="K-Nadpis1"/>
        <w:spacing w:line="240" w:lineRule="auto"/>
        <w:rPr>
          <w:rFonts w:asciiTheme="minorHAnsi" w:eastAsiaTheme="minorEastAsia" w:hAnsiTheme="minorHAnsi" w:cstheme="minorBidi"/>
          <w:sz w:val="28"/>
          <w:szCs w:val="28"/>
        </w:rPr>
      </w:pPr>
      <w:r w:rsidRPr="3EE66962">
        <w:rPr>
          <w:rFonts w:asciiTheme="minorHAnsi" w:eastAsiaTheme="minorEastAsia" w:hAnsiTheme="minorHAnsi" w:cstheme="minorBidi"/>
          <w:sz w:val="28"/>
          <w:szCs w:val="28"/>
        </w:rPr>
        <w:t>2.</w:t>
      </w:r>
      <w:r w:rsidR="4CC4643D" w:rsidRPr="3EE66962">
        <w:rPr>
          <w:rFonts w:asciiTheme="minorHAnsi" w:eastAsiaTheme="minorEastAsia" w:hAnsiTheme="minorHAnsi" w:cstheme="minorBidi"/>
          <w:sz w:val="28"/>
          <w:szCs w:val="28"/>
        </w:rPr>
        <w:t>8</w:t>
      </w:r>
      <w:r w:rsidRPr="3EE66962">
        <w:rPr>
          <w:rFonts w:asciiTheme="minorHAnsi" w:eastAsiaTheme="minorEastAsia" w:hAnsiTheme="minorHAnsi" w:cstheme="minorBidi"/>
          <w:sz w:val="28"/>
          <w:szCs w:val="28"/>
        </w:rPr>
        <w:t xml:space="preserve"> </w:t>
      </w:r>
      <w:r w:rsidR="13460775" w:rsidRPr="3EE66962">
        <w:rPr>
          <w:rFonts w:asciiTheme="minorHAnsi" w:eastAsiaTheme="minorEastAsia" w:hAnsiTheme="minorHAnsi" w:cstheme="minorBidi"/>
          <w:sz w:val="28"/>
          <w:szCs w:val="28"/>
        </w:rPr>
        <w:t>Revitalizace území se starou stavební zátěží</w:t>
      </w:r>
      <w:r w:rsidR="5DAD3197" w:rsidRPr="3EE66962">
        <w:rPr>
          <w:rFonts w:asciiTheme="minorHAnsi" w:eastAsiaTheme="minorEastAsia" w:hAnsiTheme="minorHAnsi" w:cstheme="minorBidi"/>
          <w:sz w:val="28"/>
          <w:szCs w:val="28"/>
        </w:rPr>
        <w:t xml:space="preserve"> </w:t>
      </w:r>
    </w:p>
    <w:p w14:paraId="00F5B6F2" w14:textId="570D07A4" w:rsidR="002C20CF" w:rsidRPr="00ED337B" w:rsidRDefault="1339DDA4" w:rsidP="3EE66962">
      <w:pPr>
        <w:pStyle w:val="Nadpis2"/>
        <w:spacing w:line="240" w:lineRule="auto"/>
        <w:rPr>
          <w:rStyle w:val="K-Nadpis2Char"/>
          <w:rFonts w:asciiTheme="minorHAnsi" w:eastAsiaTheme="minorEastAsia" w:hAnsiTheme="minorHAnsi" w:cstheme="minorBidi"/>
          <w:b/>
          <w:bCs/>
          <w:sz w:val="20"/>
          <w:szCs w:val="20"/>
        </w:rPr>
      </w:pPr>
      <w:r w:rsidRPr="3EE66962">
        <w:rPr>
          <w:rStyle w:val="K-Nadpis2Char"/>
          <w:rFonts w:asciiTheme="minorHAnsi" w:eastAsiaTheme="minorEastAsia" w:hAnsiTheme="minorHAnsi" w:cstheme="minorBidi"/>
          <w:b/>
          <w:bCs/>
          <w:sz w:val="20"/>
          <w:szCs w:val="20"/>
        </w:rPr>
        <w:t xml:space="preserve">1. </w:t>
      </w:r>
      <w:r w:rsidR="0746F60A" w:rsidRPr="3EE66962">
        <w:rPr>
          <w:rStyle w:val="K-Nadpis2Char"/>
          <w:rFonts w:asciiTheme="minorHAnsi" w:eastAsiaTheme="minorEastAsia" w:hAnsiTheme="minorHAnsi" w:cstheme="minorBidi"/>
          <w:b/>
          <w:bCs/>
          <w:sz w:val="20"/>
          <w:szCs w:val="20"/>
        </w:rPr>
        <w:t>Popis</w:t>
      </w:r>
      <w:r w:rsidRPr="3EE66962">
        <w:rPr>
          <w:rStyle w:val="K-Nadpis2Char"/>
          <w:rFonts w:asciiTheme="minorHAnsi" w:eastAsiaTheme="minorEastAsia" w:hAnsiTheme="minorHAnsi" w:cstheme="minorBidi"/>
          <w:b/>
          <w:bCs/>
          <w:sz w:val="20"/>
          <w:szCs w:val="20"/>
        </w:rPr>
        <w:t xml:space="preserve"> </w:t>
      </w:r>
      <w:r w:rsidR="0746F60A" w:rsidRPr="3EE66962">
        <w:rPr>
          <w:rStyle w:val="K-Nadpis2Char"/>
          <w:rFonts w:asciiTheme="minorHAnsi" w:eastAsiaTheme="minorEastAsia" w:hAnsiTheme="minorHAnsi" w:cstheme="minorBidi"/>
          <w:b/>
          <w:bCs/>
          <w:sz w:val="20"/>
          <w:szCs w:val="20"/>
        </w:rPr>
        <w:t>komponenty</w:t>
      </w:r>
    </w:p>
    <w:tbl>
      <w:tblPr>
        <w:tblStyle w:val="Mkatabulky"/>
        <w:tblW w:w="9848" w:type="dxa"/>
        <w:tblLayout w:type="fixed"/>
        <w:tblLook w:val="04A0" w:firstRow="1" w:lastRow="0" w:firstColumn="1" w:lastColumn="0" w:noHBand="0" w:noVBand="1"/>
      </w:tblPr>
      <w:tblGrid>
        <w:gridCol w:w="9848"/>
      </w:tblGrid>
      <w:tr w:rsidR="52E03487" w14:paraId="0D436370" w14:textId="77777777" w:rsidTr="3D1952B0">
        <w:tc>
          <w:tcPr>
            <w:tcW w:w="9848" w:type="dxa"/>
            <w:tcBorders>
              <w:top w:val="single" w:sz="8" w:space="0" w:color="auto"/>
              <w:left w:val="single" w:sz="8" w:space="0" w:color="auto"/>
              <w:bottom w:val="single" w:sz="8" w:space="0" w:color="auto"/>
              <w:right w:val="single" w:sz="8" w:space="0" w:color="auto"/>
            </w:tcBorders>
          </w:tcPr>
          <w:p w14:paraId="3955EB4E" w14:textId="7C1F0748" w:rsidR="439250E4" w:rsidRDefault="05C4D3AC" w:rsidP="3EE66962">
            <w:pPr>
              <w:pStyle w:val="Default"/>
              <w:spacing w:after="120"/>
              <w:jc w:val="both"/>
              <w:rPr>
                <w:rFonts w:asciiTheme="minorHAnsi" w:eastAsiaTheme="minorEastAsia" w:hAnsiTheme="minorHAnsi" w:cstheme="minorBidi"/>
                <w:b/>
                <w:bCs/>
                <w:color w:val="000000" w:themeColor="text1"/>
                <w:sz w:val="20"/>
                <w:szCs w:val="20"/>
              </w:rPr>
            </w:pPr>
            <w:r w:rsidRPr="3EE66962">
              <w:rPr>
                <w:rFonts w:asciiTheme="minorHAnsi" w:eastAsiaTheme="minorEastAsia" w:hAnsiTheme="minorHAnsi" w:cstheme="minorBidi"/>
                <w:b/>
                <w:bCs/>
                <w:sz w:val="20"/>
                <w:szCs w:val="20"/>
              </w:rPr>
              <w:t>Revitalizace území se starou stavební zátěží</w:t>
            </w:r>
          </w:p>
          <w:p w14:paraId="09282573" w14:textId="131D3A1B" w:rsidR="52E03487" w:rsidRDefault="0FB0F5AD" w:rsidP="3EE66962">
            <w:pPr>
              <w:spacing w:line="240" w:lineRule="auto"/>
              <w:jc w:val="both"/>
              <w:rPr>
                <w:rFonts w:eastAsiaTheme="minorEastAsia"/>
                <w:b/>
                <w:bCs/>
                <w:sz w:val="20"/>
                <w:szCs w:val="20"/>
              </w:rPr>
            </w:pPr>
            <w:r w:rsidRPr="3EE66962">
              <w:rPr>
                <w:rFonts w:eastAsiaTheme="minorEastAsia"/>
                <w:b/>
                <w:bCs/>
                <w:sz w:val="20"/>
                <w:szCs w:val="20"/>
              </w:rPr>
              <w:t>Oblast politiky:</w:t>
            </w:r>
            <w:r w:rsidR="4F09C954" w:rsidRPr="3EE66962">
              <w:rPr>
                <w:rFonts w:eastAsiaTheme="minorEastAsia"/>
                <w:b/>
                <w:bCs/>
                <w:sz w:val="20"/>
                <w:szCs w:val="20"/>
              </w:rPr>
              <w:t xml:space="preserve"> </w:t>
            </w:r>
            <w:r w:rsidR="4F09C954" w:rsidRPr="3EE66962">
              <w:rPr>
                <w:rStyle w:val="K-TextInfoChar"/>
                <w:rFonts w:asciiTheme="minorHAnsi" w:eastAsiaTheme="minorEastAsia" w:hAnsiTheme="minorHAnsi" w:cstheme="minorBidi"/>
                <w:color w:val="auto"/>
                <w:sz w:val="20"/>
                <w:szCs w:val="20"/>
                <w:lang w:val="en-GB"/>
              </w:rPr>
              <w:t>Energy efficiency, building renovation, construction/housing, climate policy, social policy, resource efficiency, circular economy</w:t>
            </w:r>
            <w:r w:rsidR="4F09C954" w:rsidRPr="3EE66962">
              <w:rPr>
                <w:rFonts w:eastAsiaTheme="minorEastAsia"/>
                <w:b/>
                <w:bCs/>
                <w:sz w:val="20"/>
                <w:szCs w:val="20"/>
              </w:rPr>
              <w:t xml:space="preserve">  </w:t>
            </w:r>
          </w:p>
          <w:p w14:paraId="52125AEA" w14:textId="1722B9A8" w:rsidR="52E03487" w:rsidRDefault="0FB0F5AD" w:rsidP="3EE66962">
            <w:pPr>
              <w:spacing w:line="240" w:lineRule="auto"/>
              <w:jc w:val="both"/>
              <w:rPr>
                <w:rFonts w:eastAsiaTheme="minorEastAsia"/>
                <w:b/>
                <w:bCs/>
                <w:sz w:val="20"/>
                <w:szCs w:val="20"/>
              </w:rPr>
            </w:pPr>
            <w:r w:rsidRPr="3EE66962">
              <w:rPr>
                <w:rFonts w:eastAsiaTheme="minorEastAsia"/>
                <w:b/>
                <w:bCs/>
                <w:sz w:val="20"/>
                <w:szCs w:val="20"/>
              </w:rPr>
              <w:t xml:space="preserve">Cíl: </w:t>
            </w:r>
          </w:p>
          <w:p w14:paraId="52194811" w14:textId="3E94DA01" w:rsidR="6C348B13" w:rsidRDefault="7CBFBA02" w:rsidP="3D1952B0">
            <w:pPr>
              <w:pStyle w:val="Default"/>
              <w:spacing w:after="120"/>
              <w:jc w:val="both"/>
              <w:rPr>
                <w:rStyle w:val="K-TextChar"/>
                <w:rFonts w:asciiTheme="minorHAnsi" w:eastAsiaTheme="minorEastAsia" w:hAnsiTheme="minorHAnsi" w:cstheme="minorBidi"/>
                <w:sz w:val="20"/>
                <w:szCs w:val="20"/>
              </w:rPr>
            </w:pPr>
            <w:r w:rsidRPr="3D1952B0">
              <w:rPr>
                <w:rStyle w:val="K-TextChar"/>
                <w:rFonts w:asciiTheme="minorHAnsi" w:eastAsiaTheme="minorEastAsia" w:hAnsiTheme="minorHAnsi" w:cstheme="minorBidi"/>
                <w:sz w:val="20"/>
                <w:szCs w:val="20"/>
              </w:rPr>
              <w:t>Cílem iniciativy je podpořit v území projekty revitalizace území se starou stavební zátěží se záměrem na jedné straně provést energeticky účinnou renovaci budov, příp. výstavb</w:t>
            </w:r>
            <w:r w:rsidR="24EB6E25" w:rsidRPr="3D1952B0">
              <w:rPr>
                <w:rStyle w:val="K-TextChar"/>
                <w:rFonts w:asciiTheme="minorHAnsi" w:eastAsiaTheme="minorEastAsia" w:hAnsiTheme="minorHAnsi" w:cstheme="minorBidi"/>
                <w:sz w:val="20"/>
                <w:szCs w:val="20"/>
              </w:rPr>
              <w:t>u</w:t>
            </w:r>
            <w:r w:rsidRPr="3D1952B0">
              <w:rPr>
                <w:rStyle w:val="K-TextChar"/>
                <w:rFonts w:asciiTheme="minorHAnsi" w:eastAsiaTheme="minorEastAsia" w:hAnsiTheme="minorHAnsi" w:cstheme="minorBidi"/>
                <w:sz w:val="20"/>
                <w:szCs w:val="20"/>
              </w:rPr>
              <w:t xml:space="preserve"> nových energeticky účinných budov (tam, kde renovace nebude společensky efektivní) a budování přírodních úložišť uhlíku. Komponenta bude iniciovat komplexní přeměny lokalit, posílí ekologickou stabilitu území, nejen, že omezí zábor nové zemědělské půdy, ale současně vytvoří nové zelené plochy a podpoří zahuštění města bez jeho dalšího rozpínání, což sníží tlak na zabírání zelených ploch ve prospěch výstavby. Komponenta si klade za cíl skloubit podporu regionálního rozvoje pomocí zvýšení atraktivity lokalit zatížených starou stavební zátěží a směřování ekonomiky k uhlíkové neutralitě (pomocí právě budování přírodních úložišť uhlíku a vyšší energetické účinnosti budov).</w:t>
            </w:r>
          </w:p>
          <w:p w14:paraId="2BD4CEFE" w14:textId="6F7C350C" w:rsidR="6C348B13" w:rsidRDefault="7CBFBA02" w:rsidP="3D1952B0">
            <w:pPr>
              <w:pStyle w:val="Default"/>
              <w:spacing w:after="120"/>
              <w:jc w:val="both"/>
              <w:rPr>
                <w:rStyle w:val="K-TextChar"/>
                <w:rFonts w:asciiTheme="minorHAnsi" w:eastAsiaTheme="minorEastAsia" w:hAnsiTheme="minorHAnsi" w:cstheme="minorBidi"/>
                <w:sz w:val="20"/>
                <w:szCs w:val="20"/>
              </w:rPr>
            </w:pPr>
            <w:r w:rsidRPr="3D1952B0">
              <w:rPr>
                <w:rStyle w:val="K-TextChar"/>
                <w:rFonts w:asciiTheme="minorHAnsi" w:eastAsiaTheme="minorEastAsia" w:hAnsiTheme="minorHAnsi" w:cstheme="minorBidi"/>
                <w:sz w:val="20"/>
                <w:szCs w:val="20"/>
              </w:rPr>
              <w:t xml:space="preserve">Díky podpoře investičních aktivit bude mít naplnění komponenty významným vliv na rozvoj lokálních investic. Komponenta se zaměřuje na 2 typy projektů. Jedná se o podporu revitalizace specifických rozlehlých areálů </w:t>
            </w:r>
            <w:proofErr w:type="spellStart"/>
            <w:r w:rsidRPr="3D1952B0">
              <w:rPr>
                <w:rStyle w:val="K-TextChar"/>
                <w:rFonts w:asciiTheme="minorHAnsi" w:eastAsiaTheme="minorEastAsia" w:hAnsiTheme="minorHAnsi" w:cstheme="minorBidi"/>
                <w:sz w:val="20"/>
                <w:szCs w:val="20"/>
              </w:rPr>
              <w:t>brownfieldů</w:t>
            </w:r>
            <w:proofErr w:type="spellEnd"/>
            <w:r w:rsidRPr="3D1952B0">
              <w:rPr>
                <w:rStyle w:val="K-TextChar"/>
                <w:rFonts w:asciiTheme="minorHAnsi" w:eastAsiaTheme="minorEastAsia" w:hAnsiTheme="minorHAnsi" w:cstheme="minorBidi"/>
                <w:sz w:val="20"/>
                <w:szCs w:val="20"/>
              </w:rPr>
              <w:t xml:space="preserve">, jejichž podpora se zatím kvůli jejich komplikovanosti příliš nedaří, podpořena bude jejich realizace od samotného začátku až po samotnou realizace následných investičních projektů (investice č. </w:t>
            </w:r>
            <w:r w:rsidR="5BC4E822" w:rsidRPr="3D1952B0">
              <w:rPr>
                <w:rStyle w:val="K-TextChar"/>
                <w:rFonts w:asciiTheme="minorHAnsi" w:eastAsiaTheme="minorEastAsia" w:hAnsiTheme="minorHAnsi" w:cstheme="minorBidi"/>
                <w:sz w:val="20"/>
                <w:szCs w:val="20"/>
              </w:rPr>
              <w:t>2.8.1</w:t>
            </w:r>
            <w:r w:rsidRPr="3D1952B0">
              <w:rPr>
                <w:rStyle w:val="K-TextChar"/>
                <w:rFonts w:asciiTheme="minorHAnsi" w:eastAsiaTheme="minorEastAsia" w:hAnsiTheme="minorHAnsi" w:cstheme="minorBidi"/>
                <w:sz w:val="20"/>
                <w:szCs w:val="20"/>
              </w:rPr>
              <w:t xml:space="preserve">), aby bylo dosaženo maximálního dopadu na životní prostředí a maximálního společenského přínosu. Dále se komponenta zaměří na menší </w:t>
            </w:r>
            <w:proofErr w:type="spellStart"/>
            <w:r w:rsidRPr="3D1952B0">
              <w:rPr>
                <w:rStyle w:val="K-TextChar"/>
                <w:rFonts w:asciiTheme="minorHAnsi" w:eastAsiaTheme="minorEastAsia" w:hAnsiTheme="minorHAnsi" w:cstheme="minorBidi"/>
                <w:sz w:val="20"/>
                <w:szCs w:val="20"/>
              </w:rPr>
              <w:t>brownfieldy</w:t>
            </w:r>
            <w:proofErr w:type="spellEnd"/>
            <w:r w:rsidRPr="3D1952B0">
              <w:rPr>
                <w:rStyle w:val="K-TextChar"/>
                <w:rFonts w:asciiTheme="minorHAnsi" w:eastAsiaTheme="minorEastAsia" w:hAnsiTheme="minorHAnsi" w:cstheme="minorBidi"/>
                <w:sz w:val="20"/>
                <w:szCs w:val="20"/>
              </w:rPr>
              <w:t xml:space="preserve"> ve vlastnictví obcí a krajů a jejich komplexní přeměnu zahrnující vybudování zelených ploch a energeticky vysoce účinných budov (buď formou renovace nebo nové výstavby) (investice č. 2</w:t>
            </w:r>
            <w:r w:rsidR="7034877F" w:rsidRPr="3D1952B0">
              <w:rPr>
                <w:rStyle w:val="K-TextChar"/>
                <w:rFonts w:asciiTheme="minorHAnsi" w:eastAsiaTheme="minorEastAsia" w:hAnsiTheme="minorHAnsi" w:cstheme="minorBidi"/>
                <w:sz w:val="20"/>
                <w:szCs w:val="20"/>
              </w:rPr>
              <w:t>.8.2 a 2.8.3</w:t>
            </w:r>
            <w:r w:rsidRPr="3D1952B0">
              <w:rPr>
                <w:rStyle w:val="K-TextChar"/>
                <w:rFonts w:asciiTheme="minorHAnsi" w:eastAsiaTheme="minorEastAsia" w:hAnsiTheme="minorHAnsi" w:cstheme="minorBidi"/>
                <w:sz w:val="20"/>
                <w:szCs w:val="20"/>
              </w:rPr>
              <w:t xml:space="preserve">). Z prostředků komponenty nebudou podpořeny sanace ekologických zátěží, protože jejich průzkum a realizace nejsou zvládnutelné v časovém rámci RRF, zároveň jsou financované v rámci OP ŽP. Celkem dojde k revitalizaci nejméně 20 specifických </w:t>
            </w:r>
            <w:proofErr w:type="spellStart"/>
            <w:r w:rsidRPr="3D1952B0">
              <w:rPr>
                <w:rStyle w:val="K-TextChar"/>
                <w:rFonts w:asciiTheme="minorHAnsi" w:eastAsiaTheme="minorEastAsia" w:hAnsiTheme="minorHAnsi" w:cstheme="minorBidi"/>
                <w:sz w:val="20"/>
                <w:szCs w:val="20"/>
              </w:rPr>
              <w:t>brownfieldů</w:t>
            </w:r>
            <w:proofErr w:type="spellEnd"/>
            <w:r w:rsidRPr="3D1952B0">
              <w:rPr>
                <w:rStyle w:val="K-TextChar"/>
                <w:rFonts w:asciiTheme="minorHAnsi" w:eastAsiaTheme="minorEastAsia" w:hAnsiTheme="minorHAnsi" w:cstheme="minorBidi"/>
                <w:sz w:val="20"/>
                <w:szCs w:val="20"/>
              </w:rPr>
              <w:t xml:space="preserve"> a nejméně 45 projektů regenerace </w:t>
            </w:r>
            <w:proofErr w:type="spellStart"/>
            <w:r w:rsidRPr="3D1952B0">
              <w:rPr>
                <w:rStyle w:val="K-TextChar"/>
                <w:rFonts w:asciiTheme="minorHAnsi" w:eastAsiaTheme="minorEastAsia" w:hAnsiTheme="minorHAnsi" w:cstheme="minorBidi"/>
                <w:sz w:val="20"/>
                <w:szCs w:val="20"/>
              </w:rPr>
              <w:t>brownfieldů</w:t>
            </w:r>
            <w:proofErr w:type="spellEnd"/>
            <w:r w:rsidRPr="3D1952B0">
              <w:rPr>
                <w:rStyle w:val="K-TextChar"/>
                <w:rFonts w:asciiTheme="minorHAnsi" w:eastAsiaTheme="minorEastAsia" w:hAnsiTheme="minorHAnsi" w:cstheme="minorBidi"/>
                <w:sz w:val="20"/>
                <w:szCs w:val="20"/>
              </w:rPr>
              <w:t xml:space="preserve"> ve vlastnictví obcí a krajů pro nepodnikatelské využití a 20 projektů pro podnikatelské využití. Podmínkou bude, že v rámci revitalizace bude vysázen trvalý travní porost, příp. vysázeny stromy a budovy vystavované či renovované budou provedeny ve vysokém ekologickém standardu.</w:t>
            </w:r>
          </w:p>
          <w:p w14:paraId="1E36A8E5" w14:textId="46EDA668" w:rsidR="52E03487" w:rsidRDefault="0FB0F5AD" w:rsidP="3EE66962">
            <w:pPr>
              <w:spacing w:line="240" w:lineRule="auto"/>
              <w:jc w:val="both"/>
              <w:rPr>
                <w:rFonts w:eastAsiaTheme="minorEastAsia"/>
                <w:b/>
                <w:bCs/>
                <w:sz w:val="20"/>
                <w:szCs w:val="20"/>
              </w:rPr>
            </w:pPr>
            <w:r w:rsidRPr="3EE66962">
              <w:rPr>
                <w:rFonts w:eastAsiaTheme="minorEastAsia"/>
                <w:b/>
                <w:bCs/>
                <w:sz w:val="20"/>
                <w:szCs w:val="20"/>
              </w:rPr>
              <w:t xml:space="preserve">Reformy a investice: </w:t>
            </w:r>
          </w:p>
          <w:p w14:paraId="7418C399" w14:textId="5902BE52" w:rsidR="400500FB" w:rsidRDefault="37B26553" w:rsidP="3D1952B0">
            <w:pPr>
              <w:pStyle w:val="Default"/>
              <w:spacing w:after="120"/>
              <w:jc w:val="both"/>
              <w:rPr>
                <w:rStyle w:val="K-TextChar"/>
                <w:rFonts w:asciiTheme="minorHAnsi" w:eastAsiaTheme="minorEastAsia" w:hAnsiTheme="minorHAnsi" w:cstheme="minorBidi"/>
                <w:sz w:val="20"/>
                <w:szCs w:val="20"/>
              </w:rPr>
            </w:pPr>
            <w:r w:rsidRPr="3D1952B0">
              <w:rPr>
                <w:rStyle w:val="K-TextChar"/>
                <w:rFonts w:asciiTheme="minorHAnsi" w:eastAsiaTheme="minorEastAsia" w:hAnsiTheme="minorHAnsi" w:cstheme="minorBidi"/>
                <w:sz w:val="20"/>
                <w:szCs w:val="20"/>
              </w:rPr>
              <w:t xml:space="preserve">2.8.1 </w:t>
            </w:r>
            <w:r w:rsidR="75020C49" w:rsidRPr="3D1952B0">
              <w:rPr>
                <w:rStyle w:val="K-TextChar"/>
                <w:rFonts w:asciiTheme="minorHAnsi" w:eastAsiaTheme="minorEastAsia" w:hAnsiTheme="minorHAnsi" w:cstheme="minorBidi"/>
                <w:sz w:val="20"/>
                <w:szCs w:val="20"/>
              </w:rPr>
              <w:t xml:space="preserve">Investiční podpora </w:t>
            </w:r>
            <w:r w:rsidR="618864C6" w:rsidRPr="3D1952B0">
              <w:rPr>
                <w:rStyle w:val="K-TextChar"/>
                <w:rFonts w:asciiTheme="minorHAnsi" w:eastAsiaTheme="minorEastAsia" w:hAnsiTheme="minorHAnsi" w:cstheme="minorBidi"/>
                <w:sz w:val="20"/>
                <w:szCs w:val="20"/>
              </w:rPr>
              <w:t xml:space="preserve">regenerace </w:t>
            </w:r>
            <w:r w:rsidR="75020C49" w:rsidRPr="3D1952B0">
              <w:rPr>
                <w:rStyle w:val="K-TextChar"/>
                <w:rFonts w:asciiTheme="minorHAnsi" w:eastAsiaTheme="minorEastAsia" w:hAnsiTheme="minorHAnsi" w:cstheme="minorBidi"/>
                <w:sz w:val="20"/>
                <w:szCs w:val="20"/>
              </w:rPr>
              <w:t xml:space="preserve">specifických </w:t>
            </w:r>
            <w:proofErr w:type="spellStart"/>
            <w:r w:rsidR="688CEB2D" w:rsidRPr="3D1952B0">
              <w:rPr>
                <w:rStyle w:val="K-TextChar"/>
                <w:rFonts w:asciiTheme="minorHAnsi" w:eastAsiaTheme="minorEastAsia" w:hAnsiTheme="minorHAnsi" w:cstheme="minorBidi"/>
                <w:sz w:val="20"/>
                <w:szCs w:val="20"/>
              </w:rPr>
              <w:t>brownfieldů</w:t>
            </w:r>
            <w:proofErr w:type="spellEnd"/>
            <w:r w:rsidR="75020C49" w:rsidRPr="3D1952B0">
              <w:rPr>
                <w:rStyle w:val="K-TextChar"/>
                <w:rFonts w:asciiTheme="minorHAnsi" w:eastAsiaTheme="minorEastAsia" w:hAnsiTheme="minorHAnsi" w:cstheme="minorBidi"/>
                <w:sz w:val="20"/>
                <w:szCs w:val="20"/>
              </w:rPr>
              <w:t xml:space="preserve"> (COFOG </w:t>
            </w:r>
            <w:r w:rsidR="75020C49" w:rsidRPr="3D1952B0">
              <w:rPr>
                <w:rStyle w:val="K-TextInfoChar"/>
                <w:rFonts w:asciiTheme="minorHAnsi" w:eastAsiaTheme="minorEastAsia" w:hAnsiTheme="minorHAnsi" w:cstheme="minorBidi"/>
                <w:i w:val="0"/>
                <w:iCs w:val="0"/>
                <w:color w:val="auto"/>
                <w:sz w:val="20"/>
                <w:szCs w:val="20"/>
              </w:rPr>
              <w:t>04.7.4</w:t>
            </w:r>
            <w:r w:rsidR="75020C49" w:rsidRPr="3D1952B0">
              <w:rPr>
                <w:rStyle w:val="K-TextChar"/>
                <w:rFonts w:asciiTheme="minorHAnsi" w:eastAsiaTheme="minorEastAsia" w:hAnsiTheme="minorHAnsi" w:cstheme="minorBidi"/>
                <w:sz w:val="20"/>
                <w:szCs w:val="20"/>
              </w:rPr>
              <w:t xml:space="preserve">) – investice cílí na tvorbu jednotného finančního nástroje, ze kterého bude možné čerpat prostředky na kombinované využití </w:t>
            </w:r>
            <w:proofErr w:type="spellStart"/>
            <w:r w:rsidR="75020C49" w:rsidRPr="3D1952B0">
              <w:rPr>
                <w:rStyle w:val="K-TextChar"/>
                <w:rFonts w:asciiTheme="minorHAnsi" w:eastAsiaTheme="minorEastAsia" w:hAnsiTheme="minorHAnsi" w:cstheme="minorBidi"/>
                <w:sz w:val="20"/>
                <w:szCs w:val="20"/>
              </w:rPr>
              <w:t>brownfieldů</w:t>
            </w:r>
            <w:proofErr w:type="spellEnd"/>
            <w:r w:rsidR="75020C49" w:rsidRPr="3D1952B0">
              <w:rPr>
                <w:rStyle w:val="K-TextChar"/>
                <w:rFonts w:asciiTheme="minorHAnsi" w:eastAsiaTheme="minorEastAsia" w:hAnsiTheme="minorHAnsi" w:cstheme="minorBidi"/>
                <w:sz w:val="20"/>
                <w:szCs w:val="20"/>
              </w:rPr>
              <w:t xml:space="preserve">. Nástroj, který by se zaměřil na rozsáhlé areály </w:t>
            </w:r>
            <w:proofErr w:type="spellStart"/>
            <w:r w:rsidR="75020C49" w:rsidRPr="3D1952B0">
              <w:rPr>
                <w:rStyle w:val="K-TextChar"/>
                <w:rFonts w:asciiTheme="minorHAnsi" w:eastAsiaTheme="minorEastAsia" w:hAnsiTheme="minorHAnsi" w:cstheme="minorBidi"/>
                <w:sz w:val="20"/>
                <w:szCs w:val="20"/>
              </w:rPr>
              <w:t>brownfieldů</w:t>
            </w:r>
            <w:proofErr w:type="spellEnd"/>
            <w:r w:rsidR="75020C49" w:rsidRPr="3D1952B0">
              <w:rPr>
                <w:rStyle w:val="K-TextChar"/>
                <w:rFonts w:asciiTheme="minorHAnsi" w:eastAsiaTheme="minorEastAsia" w:hAnsiTheme="minorHAnsi" w:cstheme="minorBidi"/>
                <w:sz w:val="20"/>
                <w:szCs w:val="20"/>
              </w:rPr>
              <w:t xml:space="preserve"> a jejich rekonstrukci pro kombinované podnikatelské/nepodnikatelské využití, zatím neexistuje, což velmi ztěžuje transformaci těchto území. Zejména jde o velké specifické </w:t>
            </w:r>
            <w:proofErr w:type="spellStart"/>
            <w:r w:rsidR="75020C49" w:rsidRPr="3D1952B0">
              <w:rPr>
                <w:rStyle w:val="K-TextChar"/>
                <w:rFonts w:asciiTheme="minorHAnsi" w:eastAsiaTheme="minorEastAsia" w:hAnsiTheme="minorHAnsi" w:cstheme="minorBidi"/>
                <w:sz w:val="20"/>
                <w:szCs w:val="20"/>
              </w:rPr>
              <w:t>brownfieldy</w:t>
            </w:r>
            <w:proofErr w:type="spellEnd"/>
            <w:r w:rsidR="75020C49" w:rsidRPr="3D1952B0">
              <w:rPr>
                <w:rStyle w:val="K-TextChar"/>
                <w:rFonts w:asciiTheme="minorHAnsi" w:eastAsiaTheme="minorEastAsia" w:hAnsiTheme="minorHAnsi" w:cstheme="minorBidi"/>
                <w:sz w:val="20"/>
                <w:szCs w:val="20"/>
              </w:rPr>
              <w:t xml:space="preserve"> o velikosti několika hektarů, s větším množstvím různorodých objektů a potenciálně kontaminovaných ploch, využívaných zpravidla jen ve velmi malém rozsahu. Díky impulsu v podobě státní pomoci dojde k zatraktivnění těchto lokalit pro další rozvoj a budou tak vhodnější alternativou pro zástavbu oproti stavbám na zelené louce. Je předpoklad, že příjemci podpory by byly jak územně samosprávné celky, tak soukromé subjekty.</w:t>
            </w:r>
          </w:p>
          <w:p w14:paraId="6A7C4081" w14:textId="594C2F2C" w:rsidR="400500FB" w:rsidRDefault="7040745B" w:rsidP="3D1952B0">
            <w:pPr>
              <w:pStyle w:val="Default"/>
              <w:spacing w:after="120"/>
              <w:jc w:val="both"/>
              <w:rPr>
                <w:rStyle w:val="K-TextChar"/>
                <w:rFonts w:asciiTheme="minorHAnsi" w:eastAsiaTheme="minorEastAsia" w:hAnsiTheme="minorHAnsi" w:cstheme="minorBidi"/>
                <w:sz w:val="20"/>
                <w:szCs w:val="20"/>
              </w:rPr>
            </w:pPr>
            <w:r w:rsidRPr="3D1952B0">
              <w:rPr>
                <w:rStyle w:val="K-TextChar"/>
                <w:rFonts w:asciiTheme="minorHAnsi" w:eastAsiaTheme="minorEastAsia" w:hAnsiTheme="minorHAnsi" w:cstheme="minorBidi"/>
                <w:sz w:val="20"/>
                <w:szCs w:val="20"/>
              </w:rPr>
              <w:t>2.8.</w:t>
            </w:r>
            <w:r w:rsidR="75020C49" w:rsidRPr="3D1952B0">
              <w:rPr>
                <w:rStyle w:val="K-TextChar"/>
                <w:rFonts w:asciiTheme="minorHAnsi" w:eastAsiaTheme="minorEastAsia" w:hAnsiTheme="minorHAnsi" w:cstheme="minorBidi"/>
                <w:sz w:val="20"/>
                <w:szCs w:val="20"/>
              </w:rPr>
              <w:t xml:space="preserve">2. Investiční podpora </w:t>
            </w:r>
            <w:r w:rsidR="1B4C1727" w:rsidRPr="3D1952B0">
              <w:rPr>
                <w:rStyle w:val="K-TextChar"/>
                <w:rFonts w:asciiTheme="minorHAnsi" w:eastAsiaTheme="minorEastAsia" w:hAnsiTheme="minorHAnsi" w:cstheme="minorBidi"/>
                <w:sz w:val="20"/>
                <w:szCs w:val="20"/>
              </w:rPr>
              <w:t xml:space="preserve">regenerace </w:t>
            </w:r>
            <w:proofErr w:type="spellStart"/>
            <w:r w:rsidR="1B4C1727" w:rsidRPr="3D1952B0">
              <w:rPr>
                <w:rStyle w:val="K-TextChar"/>
                <w:rFonts w:asciiTheme="minorHAnsi" w:eastAsiaTheme="minorEastAsia" w:hAnsiTheme="minorHAnsi" w:cstheme="minorBidi"/>
                <w:sz w:val="20"/>
                <w:szCs w:val="20"/>
              </w:rPr>
              <w:t>brownfieldů</w:t>
            </w:r>
            <w:proofErr w:type="spellEnd"/>
            <w:r w:rsidR="75020C49" w:rsidRPr="3D1952B0">
              <w:rPr>
                <w:rStyle w:val="K-TextChar"/>
                <w:rFonts w:asciiTheme="minorHAnsi" w:eastAsiaTheme="minorEastAsia" w:hAnsiTheme="minorHAnsi" w:cstheme="minorBidi"/>
                <w:sz w:val="20"/>
                <w:szCs w:val="20"/>
              </w:rPr>
              <w:t xml:space="preserve"> ve vlastnictví obcí a krajů pro nepodnikatelské využití (COFOG 06.2.0) – investice cílí na podporu projektů zaměřených na regeneraci </w:t>
            </w:r>
            <w:proofErr w:type="spellStart"/>
            <w:r w:rsidR="75020C49" w:rsidRPr="3D1952B0">
              <w:rPr>
                <w:rStyle w:val="K-TextChar"/>
                <w:rFonts w:asciiTheme="minorHAnsi" w:eastAsiaTheme="minorEastAsia" w:hAnsiTheme="minorHAnsi" w:cstheme="minorBidi"/>
                <w:sz w:val="20"/>
                <w:szCs w:val="20"/>
              </w:rPr>
              <w:t>brownfieldů</w:t>
            </w:r>
            <w:proofErr w:type="spellEnd"/>
            <w:r w:rsidR="75020C49" w:rsidRPr="3D1952B0">
              <w:rPr>
                <w:rStyle w:val="K-TextChar"/>
                <w:rFonts w:asciiTheme="minorHAnsi" w:eastAsiaTheme="minorEastAsia" w:hAnsiTheme="minorHAnsi" w:cstheme="minorBidi"/>
                <w:sz w:val="20"/>
                <w:szCs w:val="20"/>
              </w:rPr>
              <w:t xml:space="preserve"> pro nepodnikatelské využití ve vlastnictví obcí a krajů. Jedná se o menší objekty ve vlastnictví obcí a krajů lokalizované v </w:t>
            </w:r>
            <w:proofErr w:type="spellStart"/>
            <w:r w:rsidR="75020C49" w:rsidRPr="3D1952B0">
              <w:rPr>
                <w:rStyle w:val="K-TextChar"/>
                <w:rFonts w:asciiTheme="minorHAnsi" w:eastAsiaTheme="minorEastAsia" w:hAnsiTheme="minorHAnsi" w:cstheme="minorBidi"/>
                <w:sz w:val="20"/>
                <w:szCs w:val="20"/>
              </w:rPr>
              <w:t>intravilánech</w:t>
            </w:r>
            <w:proofErr w:type="spellEnd"/>
            <w:r w:rsidR="75020C49" w:rsidRPr="3D1952B0">
              <w:rPr>
                <w:rStyle w:val="K-TextChar"/>
                <w:rFonts w:asciiTheme="minorHAnsi" w:eastAsiaTheme="minorEastAsia" w:hAnsiTheme="minorHAnsi" w:cstheme="minorBidi"/>
                <w:sz w:val="20"/>
                <w:szCs w:val="20"/>
              </w:rPr>
              <w:t xml:space="preserve"> měst, jejichž regenerace pro účely občanské vybavenosti významně přispěje k podpoře lokálních investic, zlepšení nedostatečné občanské vybavenosti, snížení záboru zemědělského půdního fondu, vzniku městské zeleně atd.</w:t>
            </w:r>
          </w:p>
          <w:p w14:paraId="42CD4661" w14:textId="5ABA8D97" w:rsidR="400500FB" w:rsidRDefault="5724D053" w:rsidP="3D1952B0">
            <w:pPr>
              <w:pStyle w:val="Default"/>
              <w:spacing w:after="120"/>
              <w:jc w:val="both"/>
              <w:rPr>
                <w:rStyle w:val="K-TextChar"/>
                <w:rFonts w:asciiTheme="minorHAnsi" w:eastAsiaTheme="minorEastAsia" w:hAnsiTheme="minorHAnsi" w:cstheme="minorBidi"/>
                <w:sz w:val="20"/>
                <w:szCs w:val="20"/>
              </w:rPr>
            </w:pPr>
            <w:r w:rsidRPr="3D1952B0">
              <w:rPr>
                <w:rStyle w:val="K-TextChar"/>
                <w:rFonts w:asciiTheme="minorHAnsi" w:eastAsiaTheme="minorEastAsia" w:hAnsiTheme="minorHAnsi" w:cstheme="minorBidi"/>
                <w:sz w:val="20"/>
                <w:szCs w:val="20"/>
              </w:rPr>
              <w:t>2.8.</w:t>
            </w:r>
            <w:r w:rsidR="75020C49" w:rsidRPr="3D1952B0">
              <w:rPr>
                <w:rStyle w:val="K-TextChar"/>
                <w:rFonts w:asciiTheme="minorHAnsi" w:eastAsiaTheme="minorEastAsia" w:hAnsiTheme="minorHAnsi" w:cstheme="minorBidi"/>
                <w:sz w:val="20"/>
                <w:szCs w:val="20"/>
              </w:rPr>
              <w:t xml:space="preserve">3. Investiční podpora </w:t>
            </w:r>
            <w:r w:rsidR="6C6162DC" w:rsidRPr="3D1952B0">
              <w:rPr>
                <w:rStyle w:val="K-TextChar"/>
                <w:rFonts w:asciiTheme="minorHAnsi" w:eastAsiaTheme="minorEastAsia" w:hAnsiTheme="minorHAnsi" w:cstheme="minorBidi"/>
                <w:sz w:val="20"/>
                <w:szCs w:val="20"/>
              </w:rPr>
              <w:t xml:space="preserve">regenerace </w:t>
            </w:r>
            <w:proofErr w:type="spellStart"/>
            <w:r w:rsidR="6C6162DC" w:rsidRPr="3D1952B0">
              <w:rPr>
                <w:rStyle w:val="K-TextChar"/>
                <w:rFonts w:asciiTheme="minorHAnsi" w:eastAsiaTheme="minorEastAsia" w:hAnsiTheme="minorHAnsi" w:cstheme="minorBidi"/>
                <w:sz w:val="20"/>
                <w:szCs w:val="20"/>
              </w:rPr>
              <w:t>brownfieldů</w:t>
            </w:r>
            <w:proofErr w:type="spellEnd"/>
            <w:r w:rsidR="75020C49" w:rsidRPr="3D1952B0">
              <w:rPr>
                <w:rStyle w:val="K-TextChar"/>
                <w:rFonts w:asciiTheme="minorHAnsi" w:eastAsiaTheme="minorEastAsia" w:hAnsiTheme="minorHAnsi" w:cstheme="minorBidi"/>
                <w:sz w:val="20"/>
                <w:szCs w:val="20"/>
              </w:rPr>
              <w:t xml:space="preserve"> ve vlastnictví obcí a krajů pro podnikatelské využití (COFOG 06.2.0) – cílem investice je revitalizovat a regenerovat lokality </w:t>
            </w:r>
            <w:proofErr w:type="spellStart"/>
            <w:r w:rsidR="75020C49" w:rsidRPr="3D1952B0">
              <w:rPr>
                <w:rStyle w:val="K-TextChar"/>
                <w:rFonts w:asciiTheme="minorHAnsi" w:eastAsiaTheme="minorEastAsia" w:hAnsiTheme="minorHAnsi" w:cstheme="minorBidi"/>
                <w:sz w:val="20"/>
                <w:szCs w:val="20"/>
              </w:rPr>
              <w:t>brownfields</w:t>
            </w:r>
            <w:proofErr w:type="spellEnd"/>
            <w:r w:rsidR="75020C49" w:rsidRPr="3D1952B0">
              <w:rPr>
                <w:rStyle w:val="K-TextChar"/>
                <w:rFonts w:asciiTheme="minorHAnsi" w:eastAsiaTheme="minorEastAsia" w:hAnsiTheme="minorHAnsi" w:cstheme="minorBidi"/>
                <w:sz w:val="20"/>
                <w:szCs w:val="20"/>
              </w:rPr>
              <w:t xml:space="preserve">, které jsou ve veřejném vlastnictví. Díky podpoře dojde k revitalizaci zastaralých a nevyužívaných areálů typu </w:t>
            </w:r>
            <w:proofErr w:type="spellStart"/>
            <w:r w:rsidR="75020C49" w:rsidRPr="3D1952B0">
              <w:rPr>
                <w:rStyle w:val="K-TextChar"/>
                <w:rFonts w:asciiTheme="minorHAnsi" w:eastAsiaTheme="minorEastAsia" w:hAnsiTheme="minorHAnsi" w:cstheme="minorBidi"/>
                <w:sz w:val="20"/>
                <w:szCs w:val="20"/>
              </w:rPr>
              <w:t>brownfield</w:t>
            </w:r>
            <w:proofErr w:type="spellEnd"/>
            <w:r w:rsidR="75020C49" w:rsidRPr="3D1952B0">
              <w:rPr>
                <w:rStyle w:val="K-TextChar"/>
                <w:rFonts w:asciiTheme="minorHAnsi" w:eastAsiaTheme="minorEastAsia" w:hAnsiTheme="minorHAnsi" w:cstheme="minorBidi"/>
                <w:sz w:val="20"/>
                <w:szCs w:val="20"/>
              </w:rPr>
              <w:t xml:space="preserve"> a jejich přeměně na průmyslové a podnikatelské plochy. Koncovými uživateli budou převážně podnikatelské subjekty především místních firem. Nepodnikatelské využití těchto lokalit bude doplňkové. Realizace této investice významně přispěje k posílení hospodářského a regionálního rozvoje prostřednictvím zvyšování konkurenceschopnosti investičního prostředí. Přímo souvisejícím efektem je také vznik nových pracovních míst a současně dosažení počtu </w:t>
            </w:r>
            <w:proofErr w:type="spellStart"/>
            <w:r w:rsidR="75020C49" w:rsidRPr="3D1952B0">
              <w:rPr>
                <w:rStyle w:val="K-TextChar"/>
                <w:rFonts w:asciiTheme="minorHAnsi" w:eastAsiaTheme="minorEastAsia" w:hAnsiTheme="minorHAnsi" w:cstheme="minorBidi"/>
                <w:sz w:val="20"/>
                <w:szCs w:val="20"/>
              </w:rPr>
              <w:t>brownfieldů</w:t>
            </w:r>
            <w:proofErr w:type="spellEnd"/>
            <w:r w:rsidR="75020C49" w:rsidRPr="3D1952B0">
              <w:rPr>
                <w:rStyle w:val="K-TextChar"/>
                <w:rFonts w:asciiTheme="minorHAnsi" w:eastAsiaTheme="minorEastAsia" w:hAnsiTheme="minorHAnsi" w:cstheme="minorBidi"/>
                <w:sz w:val="20"/>
                <w:szCs w:val="20"/>
              </w:rPr>
              <w:t xml:space="preserve"> a záborů zemědělské půdy pro stavby na zelené louce. Vždy se jedná o areály, jejichž bývalé využití bylo například kasárna, průmyslové podniky atd. Ze zemědělských areálů to jsou například jatka, opuštěné stavby pro živočišnou výrobu nebo opravu zemědělských strojů. Většinou jsou </w:t>
            </w:r>
            <w:r w:rsidR="75020C49" w:rsidRPr="3D1952B0">
              <w:rPr>
                <w:rStyle w:val="K-TextChar"/>
                <w:rFonts w:asciiTheme="minorHAnsi" w:eastAsiaTheme="minorEastAsia" w:hAnsiTheme="minorHAnsi" w:cstheme="minorBidi"/>
                <w:sz w:val="20"/>
                <w:szCs w:val="20"/>
              </w:rPr>
              <w:lastRenderedPageBreak/>
              <w:t xml:space="preserve">kvůli svému umístění i charakteru zcela nevhodné pro zemědělské využití včetně realizace krajinotvorných prvků většího významu. </w:t>
            </w:r>
          </w:p>
          <w:p w14:paraId="1F5E3634" w14:textId="55A7D8B3" w:rsidR="400500FB" w:rsidRDefault="32A0CDE6" w:rsidP="3EE66962">
            <w:pPr>
              <w:pStyle w:val="Default"/>
              <w:spacing w:after="120"/>
              <w:jc w:val="both"/>
              <w:rPr>
                <w:rStyle w:val="K-TextChar"/>
                <w:rFonts w:asciiTheme="minorHAnsi" w:eastAsiaTheme="minorEastAsia" w:hAnsiTheme="minorHAnsi" w:cstheme="minorBidi"/>
                <w:color w:val="000000" w:themeColor="text1"/>
                <w:sz w:val="20"/>
                <w:szCs w:val="20"/>
              </w:rPr>
            </w:pPr>
            <w:r w:rsidRPr="3EE66962">
              <w:rPr>
                <w:rStyle w:val="K-TextChar"/>
                <w:rFonts w:asciiTheme="minorHAnsi" w:eastAsiaTheme="minorEastAsia" w:hAnsiTheme="minorHAnsi" w:cstheme="minorBidi"/>
                <w:color w:val="000000" w:themeColor="text1"/>
                <w:sz w:val="20"/>
                <w:szCs w:val="20"/>
              </w:rPr>
              <w:t>Projekty pro všechny tři složky této komponenty budou vybírány za předpokladu, že podpora bude cílit do revitalizace ploch, na kterých se budou vysazovat trávníky, příp. sázet stromy a současně využitelné budovy se budou renovovat s cílem docílit vysokou úroveň energetických standardů.</w:t>
            </w:r>
          </w:p>
          <w:p w14:paraId="1DFA85E6" w14:textId="4B0AD4EA" w:rsidR="400500FB" w:rsidRDefault="32A0CDE6" w:rsidP="09952AC3">
            <w:pPr>
              <w:pStyle w:val="Default"/>
              <w:spacing w:after="120"/>
              <w:jc w:val="both"/>
              <w:rPr>
                <w:rStyle w:val="K-TextChar"/>
                <w:rFonts w:asciiTheme="minorHAnsi" w:eastAsiaTheme="minorEastAsia" w:hAnsiTheme="minorHAnsi" w:cstheme="minorBidi"/>
                <w:b/>
                <w:bCs/>
                <w:sz w:val="20"/>
                <w:szCs w:val="20"/>
              </w:rPr>
            </w:pPr>
            <w:r w:rsidRPr="09952AC3">
              <w:rPr>
                <w:rStyle w:val="K-TextChar"/>
                <w:rFonts w:asciiTheme="minorHAnsi" w:eastAsiaTheme="minorEastAsia" w:hAnsiTheme="minorHAnsi" w:cstheme="minorBidi"/>
                <w:b/>
                <w:bCs/>
                <w:sz w:val="20"/>
                <w:szCs w:val="20"/>
              </w:rPr>
              <w:t>Obě reformní aktivity mají významný dopad na životní prostředí, protože nejen že díky revi</w:t>
            </w:r>
            <w:r w:rsidR="00FC0DB9" w:rsidRPr="09952AC3">
              <w:rPr>
                <w:rStyle w:val="K-TextChar"/>
                <w:rFonts w:asciiTheme="minorHAnsi" w:eastAsiaTheme="minorEastAsia" w:hAnsiTheme="minorHAnsi" w:cstheme="minorBidi"/>
                <w:b/>
                <w:bCs/>
                <w:sz w:val="20"/>
                <w:szCs w:val="20"/>
              </w:rPr>
              <w:t>t</w:t>
            </w:r>
            <w:r w:rsidRPr="09952AC3">
              <w:rPr>
                <w:rStyle w:val="K-TextChar"/>
                <w:rFonts w:asciiTheme="minorHAnsi" w:eastAsiaTheme="minorEastAsia" w:hAnsiTheme="minorHAnsi" w:cstheme="minorBidi"/>
                <w:b/>
                <w:bCs/>
                <w:sz w:val="20"/>
                <w:szCs w:val="20"/>
              </w:rPr>
              <w:t>alizaci ploch postižených starou stavební zátěží dojde k ochraně zelených ploch – jejich opětovnému vysazování, ale také proto, že bude možné toto zastavěné (již využité území) obnovit a použít pro další rozvoj společnosti. Komponenta cílí na sociální, environmen</w:t>
            </w:r>
            <w:r w:rsidR="3EC558E8" w:rsidRPr="09952AC3">
              <w:rPr>
                <w:rStyle w:val="K-TextChar"/>
                <w:rFonts w:asciiTheme="minorHAnsi" w:eastAsiaTheme="minorEastAsia" w:hAnsiTheme="minorHAnsi" w:cstheme="minorBidi"/>
                <w:b/>
                <w:bCs/>
                <w:sz w:val="20"/>
                <w:szCs w:val="20"/>
              </w:rPr>
              <w:t>t</w:t>
            </w:r>
            <w:r w:rsidRPr="09952AC3">
              <w:rPr>
                <w:rStyle w:val="K-TextChar"/>
                <w:rFonts w:asciiTheme="minorHAnsi" w:eastAsiaTheme="minorEastAsia" w:hAnsiTheme="minorHAnsi" w:cstheme="minorBidi"/>
                <w:b/>
                <w:bCs/>
                <w:sz w:val="20"/>
                <w:szCs w:val="20"/>
              </w:rPr>
              <w:t>ální, ale i ekonomické cíle.</w:t>
            </w:r>
          </w:p>
          <w:p w14:paraId="2C566743" w14:textId="33605372" w:rsidR="400500FB" w:rsidRDefault="32A0CDE6" w:rsidP="3EE66962">
            <w:pPr>
              <w:pStyle w:val="Default"/>
              <w:spacing w:after="120"/>
              <w:jc w:val="both"/>
              <w:rPr>
                <w:rStyle w:val="K-TextChar"/>
                <w:rFonts w:asciiTheme="minorHAnsi" w:eastAsiaTheme="minorEastAsia" w:hAnsiTheme="minorHAnsi" w:cstheme="minorBidi"/>
                <w:b/>
                <w:bCs/>
                <w:color w:val="000000" w:themeColor="text1"/>
                <w:sz w:val="20"/>
                <w:szCs w:val="20"/>
              </w:rPr>
            </w:pPr>
            <w:r w:rsidRPr="3EE66962">
              <w:rPr>
                <w:rStyle w:val="K-TextChar"/>
                <w:rFonts w:asciiTheme="minorHAnsi" w:eastAsiaTheme="minorEastAsia" w:hAnsiTheme="minorHAnsi" w:cstheme="minorBidi"/>
                <w:b/>
                <w:bCs/>
                <w:color w:val="000000" w:themeColor="text1"/>
                <w:sz w:val="20"/>
                <w:szCs w:val="20"/>
              </w:rPr>
              <w:t xml:space="preserve">Vzhledem k </w:t>
            </w:r>
            <w:proofErr w:type="spellStart"/>
            <w:r w:rsidRPr="3EE66962">
              <w:rPr>
                <w:rStyle w:val="K-TextChar"/>
                <w:rFonts w:asciiTheme="minorHAnsi" w:eastAsiaTheme="minorEastAsia" w:hAnsiTheme="minorHAnsi" w:cstheme="minorBidi"/>
                <w:b/>
                <w:bCs/>
                <w:color w:val="000000" w:themeColor="text1"/>
                <w:sz w:val="20"/>
                <w:szCs w:val="20"/>
              </w:rPr>
              <w:t>po</w:t>
            </w:r>
            <w:r w:rsidR="5FAFF9B7" w:rsidRPr="3EE66962">
              <w:rPr>
                <w:rStyle w:val="K-TextChar"/>
                <w:rFonts w:asciiTheme="minorHAnsi" w:eastAsiaTheme="minorEastAsia" w:hAnsiTheme="minorHAnsi" w:cstheme="minorBidi"/>
                <w:b/>
                <w:bCs/>
                <w:color w:val="000000" w:themeColor="text1"/>
                <w:sz w:val="20"/>
                <w:szCs w:val="20"/>
              </w:rPr>
              <w:t>c</w:t>
            </w:r>
            <w:r w:rsidRPr="3EE66962">
              <w:rPr>
                <w:rStyle w:val="K-TextChar"/>
                <w:rFonts w:asciiTheme="minorHAnsi" w:eastAsiaTheme="minorEastAsia" w:hAnsiTheme="minorHAnsi" w:cstheme="minorBidi"/>
                <w:b/>
                <w:bCs/>
                <w:color w:val="000000" w:themeColor="text1"/>
                <w:sz w:val="20"/>
                <w:szCs w:val="20"/>
              </w:rPr>
              <w:t>ovidové</w:t>
            </w:r>
            <w:proofErr w:type="spellEnd"/>
            <w:r w:rsidRPr="3EE66962">
              <w:rPr>
                <w:rStyle w:val="K-TextChar"/>
                <w:rFonts w:asciiTheme="minorHAnsi" w:eastAsiaTheme="minorEastAsia" w:hAnsiTheme="minorHAnsi" w:cstheme="minorBidi"/>
                <w:b/>
                <w:bCs/>
                <w:color w:val="000000" w:themeColor="text1"/>
                <w:sz w:val="20"/>
                <w:szCs w:val="20"/>
              </w:rPr>
              <w:t xml:space="preserve"> situaci je třeba nastartovat ekonomiku v území a podpořit </w:t>
            </w:r>
            <w:proofErr w:type="gramStart"/>
            <w:r w:rsidRPr="3EE66962">
              <w:rPr>
                <w:rStyle w:val="K-TextChar"/>
                <w:rFonts w:asciiTheme="minorHAnsi" w:eastAsiaTheme="minorEastAsia" w:hAnsiTheme="minorHAnsi" w:cstheme="minorBidi"/>
                <w:b/>
                <w:bCs/>
                <w:color w:val="000000" w:themeColor="text1"/>
                <w:sz w:val="20"/>
                <w:szCs w:val="20"/>
              </w:rPr>
              <w:t>zaměstnanost - tato</w:t>
            </w:r>
            <w:proofErr w:type="gramEnd"/>
            <w:r w:rsidRPr="3EE66962">
              <w:rPr>
                <w:rStyle w:val="K-TextChar"/>
                <w:rFonts w:asciiTheme="minorHAnsi" w:eastAsiaTheme="minorEastAsia" w:hAnsiTheme="minorHAnsi" w:cstheme="minorBidi"/>
                <w:b/>
                <w:bCs/>
                <w:color w:val="000000" w:themeColor="text1"/>
                <w:sz w:val="20"/>
                <w:szCs w:val="20"/>
              </w:rPr>
              <w:t xml:space="preserve"> komponenta podporuje stavební činnost na území celé ČR a tím vysoce pozitivně přispívá k revitalizaci ekonomiky zasažené </w:t>
            </w:r>
            <w:proofErr w:type="spellStart"/>
            <w:r w:rsidRPr="3EE66962">
              <w:rPr>
                <w:rStyle w:val="K-TextChar"/>
                <w:rFonts w:asciiTheme="minorHAnsi" w:eastAsiaTheme="minorEastAsia" w:hAnsiTheme="minorHAnsi" w:cstheme="minorBidi"/>
                <w:b/>
                <w:bCs/>
                <w:color w:val="000000" w:themeColor="text1"/>
                <w:sz w:val="20"/>
                <w:szCs w:val="20"/>
              </w:rPr>
              <w:t>covid</w:t>
            </w:r>
            <w:proofErr w:type="spellEnd"/>
            <w:r w:rsidR="00654847">
              <w:rPr>
                <w:rStyle w:val="K-TextChar"/>
                <w:rFonts w:asciiTheme="minorHAnsi" w:eastAsiaTheme="minorEastAsia" w:hAnsiTheme="minorHAnsi" w:cstheme="minorBidi"/>
                <w:b/>
                <w:bCs/>
                <w:color w:val="000000" w:themeColor="text1"/>
                <w:sz w:val="20"/>
                <w:szCs w:val="20"/>
              </w:rPr>
              <w:t> </w:t>
            </w:r>
            <w:r w:rsidRPr="3EE66962">
              <w:rPr>
                <w:rStyle w:val="K-TextChar"/>
                <w:rFonts w:asciiTheme="minorHAnsi" w:eastAsiaTheme="minorEastAsia" w:hAnsiTheme="minorHAnsi" w:cstheme="minorBidi"/>
                <w:b/>
                <w:bCs/>
                <w:color w:val="000000" w:themeColor="text1"/>
                <w:sz w:val="20"/>
                <w:szCs w:val="20"/>
              </w:rPr>
              <w:t>19.</w:t>
            </w:r>
          </w:p>
          <w:p w14:paraId="53082BB3" w14:textId="30191A1B" w:rsidR="52E03487" w:rsidRDefault="52E03487" w:rsidP="3EE66962">
            <w:pPr>
              <w:spacing w:line="240" w:lineRule="auto"/>
              <w:jc w:val="both"/>
              <w:rPr>
                <w:rFonts w:eastAsiaTheme="minorEastAsia"/>
                <w:b/>
                <w:bCs/>
                <w:sz w:val="20"/>
                <w:szCs w:val="20"/>
              </w:rPr>
            </w:pPr>
          </w:p>
          <w:p w14:paraId="7223A7FF" w14:textId="1A9BC8E5" w:rsidR="52E03487" w:rsidRDefault="0FB0F5AD" w:rsidP="3EE66962">
            <w:pPr>
              <w:spacing w:line="240" w:lineRule="auto"/>
              <w:jc w:val="both"/>
              <w:rPr>
                <w:rFonts w:eastAsiaTheme="minorEastAsia"/>
                <w:b/>
                <w:bCs/>
                <w:sz w:val="20"/>
                <w:szCs w:val="20"/>
              </w:rPr>
            </w:pPr>
            <w:r w:rsidRPr="3EE66962">
              <w:rPr>
                <w:rFonts w:eastAsiaTheme="minorEastAsia"/>
                <w:b/>
                <w:bCs/>
                <w:sz w:val="20"/>
                <w:szCs w:val="20"/>
              </w:rPr>
              <w:t xml:space="preserve">Odhadované náklady: </w:t>
            </w:r>
          </w:p>
          <w:p w14:paraId="0E637486" w14:textId="4AC8DA90" w:rsidR="6958CFA7" w:rsidRDefault="3EBAF74E" w:rsidP="3EE66962">
            <w:pPr>
              <w:pStyle w:val="Default"/>
              <w:spacing w:after="120"/>
              <w:jc w:val="both"/>
              <w:rPr>
                <w:rStyle w:val="K-TextChar"/>
                <w:rFonts w:asciiTheme="minorHAnsi" w:eastAsiaTheme="minorEastAsia" w:hAnsiTheme="minorHAnsi" w:cstheme="minorBidi"/>
                <w:sz w:val="20"/>
                <w:szCs w:val="20"/>
              </w:rPr>
            </w:pPr>
            <w:r w:rsidRPr="3EE66962">
              <w:rPr>
                <w:rStyle w:val="K-TextChar"/>
                <w:rFonts w:asciiTheme="minorHAnsi" w:eastAsiaTheme="minorEastAsia" w:hAnsiTheme="minorHAnsi" w:cstheme="minorBidi"/>
                <w:sz w:val="20"/>
                <w:szCs w:val="20"/>
              </w:rPr>
              <w:t>3</w:t>
            </w:r>
            <w:r w:rsidR="00C31E73">
              <w:rPr>
                <w:rStyle w:val="K-TextChar"/>
                <w:rFonts w:asciiTheme="minorHAnsi" w:eastAsiaTheme="minorEastAsia" w:hAnsiTheme="minorHAnsi" w:cstheme="minorBidi"/>
                <w:sz w:val="20"/>
                <w:szCs w:val="20"/>
              </w:rPr>
              <w:t xml:space="preserve"> </w:t>
            </w:r>
            <w:r w:rsidRPr="3EE66962">
              <w:rPr>
                <w:rStyle w:val="K-TextChar"/>
                <w:rFonts w:asciiTheme="minorHAnsi" w:eastAsiaTheme="minorEastAsia" w:hAnsiTheme="minorHAnsi" w:cstheme="minorBidi"/>
                <w:sz w:val="20"/>
                <w:szCs w:val="20"/>
              </w:rPr>
              <w:t>332 mil. Kč</w:t>
            </w:r>
            <w:r w:rsidR="00C31E73">
              <w:rPr>
                <w:rStyle w:val="K-TextChar"/>
                <w:rFonts w:asciiTheme="minorHAnsi" w:eastAsiaTheme="minorEastAsia" w:hAnsiTheme="minorHAnsi" w:cstheme="minorBidi"/>
                <w:sz w:val="20"/>
                <w:szCs w:val="20"/>
              </w:rPr>
              <w:t xml:space="preserve"> (plně zahrnuto do RRF)</w:t>
            </w:r>
          </w:p>
          <w:p w14:paraId="628FE1F9" w14:textId="06270952" w:rsidR="6958CFA7" w:rsidRDefault="6958CFA7" w:rsidP="3EE66962">
            <w:pPr>
              <w:pStyle w:val="Default"/>
              <w:spacing w:after="120"/>
              <w:jc w:val="both"/>
              <w:rPr>
                <w:rStyle w:val="K-TextChar"/>
                <w:rFonts w:asciiTheme="minorHAnsi" w:eastAsiaTheme="minorEastAsia" w:hAnsiTheme="minorHAnsi" w:cstheme="minorBidi"/>
                <w:sz w:val="20"/>
                <w:szCs w:val="20"/>
              </w:rPr>
            </w:pPr>
          </w:p>
        </w:tc>
      </w:tr>
    </w:tbl>
    <w:p w14:paraId="45F426A1" w14:textId="5D4B211A" w:rsidR="52E03487" w:rsidRDefault="52E03487" w:rsidP="3EE66962">
      <w:pPr>
        <w:pStyle w:val="Default"/>
        <w:spacing w:after="120"/>
        <w:jc w:val="both"/>
        <w:rPr>
          <w:rFonts w:asciiTheme="minorHAnsi" w:eastAsiaTheme="minorEastAsia" w:hAnsiTheme="minorHAnsi" w:cstheme="minorBidi"/>
          <w:b/>
          <w:bCs/>
          <w:sz w:val="20"/>
          <w:szCs w:val="20"/>
        </w:rPr>
      </w:pPr>
    </w:p>
    <w:p w14:paraId="3A6495CC" w14:textId="329CA3FF" w:rsidR="00AC795B" w:rsidRDefault="5C3B6C25" w:rsidP="3EE66962">
      <w:pPr>
        <w:pStyle w:val="Default"/>
        <w:spacing w:after="120"/>
        <w:jc w:val="both"/>
        <w:rPr>
          <w:rFonts w:asciiTheme="minorHAnsi" w:eastAsiaTheme="minorEastAsia" w:hAnsiTheme="minorHAnsi" w:cstheme="minorBidi"/>
          <w:color w:val="auto"/>
          <w:sz w:val="20"/>
          <w:szCs w:val="20"/>
        </w:rPr>
      </w:pPr>
      <w:r w:rsidRPr="3EE66962">
        <w:rPr>
          <w:rFonts w:asciiTheme="minorHAnsi" w:eastAsiaTheme="minorEastAsia" w:hAnsiTheme="minorHAnsi" w:cstheme="minorBidi"/>
          <w:b/>
          <w:bCs/>
          <w:sz w:val="20"/>
          <w:szCs w:val="20"/>
        </w:rPr>
        <w:t>Další popis komponenty</w:t>
      </w:r>
    </w:p>
    <w:p w14:paraId="0029EDE2" w14:textId="41D6B531" w:rsidR="00AC795B" w:rsidRDefault="7E338BCF" w:rsidP="3D1952B0">
      <w:pPr>
        <w:pStyle w:val="Default"/>
        <w:spacing w:after="120"/>
        <w:jc w:val="both"/>
        <w:rPr>
          <w:rFonts w:asciiTheme="minorHAnsi" w:eastAsiaTheme="minorEastAsia" w:hAnsiTheme="minorHAnsi" w:cstheme="minorBidi"/>
          <w:color w:val="auto"/>
          <w:sz w:val="20"/>
          <w:szCs w:val="20"/>
        </w:rPr>
      </w:pPr>
      <w:r w:rsidRPr="3D1952B0">
        <w:rPr>
          <w:rFonts w:asciiTheme="minorHAnsi" w:eastAsiaTheme="minorEastAsia" w:hAnsiTheme="minorHAnsi" w:cstheme="minorBidi"/>
          <w:color w:val="auto"/>
          <w:sz w:val="20"/>
          <w:szCs w:val="20"/>
        </w:rPr>
        <w:t xml:space="preserve">Území </w:t>
      </w:r>
      <w:r w:rsidR="73F26E50" w:rsidRPr="3D1952B0">
        <w:rPr>
          <w:rFonts w:asciiTheme="minorHAnsi" w:eastAsiaTheme="minorEastAsia" w:hAnsiTheme="minorHAnsi" w:cstheme="minorBidi"/>
          <w:color w:val="auto"/>
          <w:sz w:val="20"/>
          <w:szCs w:val="20"/>
        </w:rPr>
        <w:t xml:space="preserve">se </w:t>
      </w:r>
      <w:r w:rsidRPr="3D1952B0">
        <w:rPr>
          <w:rFonts w:asciiTheme="minorHAnsi" w:eastAsiaTheme="minorEastAsia" w:hAnsiTheme="minorHAnsi" w:cstheme="minorBidi"/>
          <w:color w:val="auto"/>
          <w:sz w:val="20"/>
          <w:szCs w:val="20"/>
        </w:rPr>
        <w:t xml:space="preserve">starou stavební zátěží neboli </w:t>
      </w:r>
      <w:proofErr w:type="spellStart"/>
      <w:r w:rsidRPr="3D1952B0">
        <w:rPr>
          <w:rFonts w:asciiTheme="minorHAnsi" w:eastAsiaTheme="minorEastAsia" w:hAnsiTheme="minorHAnsi" w:cstheme="minorBidi"/>
          <w:color w:val="auto"/>
          <w:sz w:val="20"/>
          <w:szCs w:val="20"/>
        </w:rPr>
        <w:t>b</w:t>
      </w:r>
      <w:r w:rsidR="64F84A62" w:rsidRPr="3D1952B0">
        <w:rPr>
          <w:rFonts w:asciiTheme="minorHAnsi" w:eastAsiaTheme="minorEastAsia" w:hAnsiTheme="minorHAnsi" w:cstheme="minorBidi"/>
          <w:color w:val="auto"/>
          <w:sz w:val="20"/>
          <w:szCs w:val="20"/>
        </w:rPr>
        <w:t>rownfieldy</w:t>
      </w:r>
      <w:proofErr w:type="spellEnd"/>
      <w:r w:rsidR="64F84A62" w:rsidRPr="3D1952B0">
        <w:rPr>
          <w:rFonts w:asciiTheme="minorHAnsi" w:eastAsiaTheme="minorEastAsia" w:hAnsiTheme="minorHAnsi" w:cstheme="minorBidi"/>
          <w:color w:val="auto"/>
          <w:sz w:val="20"/>
          <w:szCs w:val="20"/>
        </w:rPr>
        <w:t xml:space="preserve"> představují rozsáhlý a dlouhodobý problém. Jedná se o lokality s degradovaným, neexistujícím nebo nedostatečným využitím. Kromě toho </w:t>
      </w:r>
      <w:proofErr w:type="spellStart"/>
      <w:r w:rsidR="64F84A62" w:rsidRPr="3D1952B0">
        <w:rPr>
          <w:rFonts w:asciiTheme="minorHAnsi" w:eastAsiaTheme="minorEastAsia" w:hAnsiTheme="minorHAnsi" w:cstheme="minorBidi"/>
          <w:color w:val="auto"/>
          <w:sz w:val="20"/>
          <w:szCs w:val="20"/>
        </w:rPr>
        <w:t>brownfieldy</w:t>
      </w:r>
      <w:proofErr w:type="spellEnd"/>
      <w:r w:rsidR="64F84A62" w:rsidRPr="3D1952B0">
        <w:rPr>
          <w:rFonts w:asciiTheme="minorHAnsi" w:eastAsiaTheme="minorEastAsia" w:hAnsiTheme="minorHAnsi" w:cstheme="minorBidi"/>
          <w:color w:val="auto"/>
          <w:sz w:val="20"/>
          <w:szCs w:val="20"/>
        </w:rPr>
        <w:t xml:space="preserve"> negativně ovlivňují vnímání image lokalit a snižují atraktivitu měst, obcí a jejich čtvrtí pro další rozvoj. Regenerace </w:t>
      </w:r>
      <w:proofErr w:type="spellStart"/>
      <w:r w:rsidR="64F84A62" w:rsidRPr="3D1952B0">
        <w:rPr>
          <w:rFonts w:asciiTheme="minorHAnsi" w:eastAsiaTheme="minorEastAsia" w:hAnsiTheme="minorHAnsi" w:cstheme="minorBidi"/>
          <w:color w:val="auto"/>
          <w:sz w:val="20"/>
          <w:szCs w:val="20"/>
        </w:rPr>
        <w:t>brownfieldů</w:t>
      </w:r>
      <w:proofErr w:type="spellEnd"/>
      <w:r w:rsidR="64F84A62" w:rsidRPr="3D1952B0">
        <w:rPr>
          <w:rFonts w:asciiTheme="minorHAnsi" w:eastAsiaTheme="minorEastAsia" w:hAnsiTheme="minorHAnsi" w:cstheme="minorBidi"/>
          <w:color w:val="auto"/>
          <w:sz w:val="20"/>
          <w:szCs w:val="20"/>
        </w:rPr>
        <w:t xml:space="preserve"> je finančně náročnější než výstavba na „zelené louce“ (</w:t>
      </w:r>
      <w:proofErr w:type="spellStart"/>
      <w:r w:rsidR="64F84A62" w:rsidRPr="3D1952B0">
        <w:rPr>
          <w:rFonts w:asciiTheme="minorHAnsi" w:eastAsiaTheme="minorEastAsia" w:hAnsiTheme="minorHAnsi" w:cstheme="minorBidi"/>
          <w:color w:val="auto"/>
          <w:sz w:val="20"/>
          <w:szCs w:val="20"/>
        </w:rPr>
        <w:t>greenfield</w:t>
      </w:r>
      <w:proofErr w:type="spellEnd"/>
      <w:r w:rsidR="64F84A62" w:rsidRPr="3D1952B0">
        <w:rPr>
          <w:rFonts w:asciiTheme="minorHAnsi" w:eastAsiaTheme="minorEastAsia" w:hAnsiTheme="minorHAnsi" w:cstheme="minorBidi"/>
          <w:color w:val="auto"/>
          <w:sz w:val="20"/>
          <w:szCs w:val="20"/>
        </w:rPr>
        <w:t xml:space="preserve">). Klíčovým předpokladem pro nastartování </w:t>
      </w:r>
      <w:r w:rsidR="51E33280" w:rsidRPr="3D1952B0">
        <w:rPr>
          <w:rFonts w:asciiTheme="minorHAnsi" w:eastAsiaTheme="minorEastAsia" w:hAnsiTheme="minorHAnsi" w:cstheme="minorBidi"/>
          <w:color w:val="auto"/>
          <w:sz w:val="20"/>
          <w:szCs w:val="20"/>
        </w:rPr>
        <w:t>revitalizace území</w:t>
      </w:r>
      <w:r w:rsidR="64F84A62" w:rsidRPr="3D1952B0">
        <w:rPr>
          <w:rFonts w:asciiTheme="minorHAnsi" w:eastAsiaTheme="minorEastAsia" w:hAnsiTheme="minorHAnsi" w:cstheme="minorBidi"/>
          <w:color w:val="auto"/>
          <w:sz w:val="20"/>
          <w:szCs w:val="20"/>
        </w:rPr>
        <w:t xml:space="preserve"> je finanční podpora z veřejných zdrojů sloužící k eliminaci znevýhodnění těchto lokalit a bariér dalšího rozvoje.</w:t>
      </w:r>
    </w:p>
    <w:p w14:paraId="1AAE60CE" w14:textId="4DDDA837" w:rsidR="00190254" w:rsidRPr="006A18C7" w:rsidRDefault="370C861E"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Při nedostatečné</w:t>
      </w:r>
      <w:r w:rsidR="16611D0E" w:rsidRPr="3EE66962">
        <w:rPr>
          <w:rFonts w:asciiTheme="minorHAnsi" w:eastAsiaTheme="minorEastAsia" w:hAnsiTheme="minorHAnsi" w:cstheme="minorBidi"/>
          <w:b w:val="0"/>
          <w:color w:val="auto"/>
          <w:sz w:val="20"/>
          <w:szCs w:val="20"/>
        </w:rPr>
        <w:t>m</w:t>
      </w:r>
      <w:r w:rsidRPr="3EE66962">
        <w:rPr>
          <w:rFonts w:asciiTheme="minorHAnsi" w:eastAsiaTheme="minorEastAsia" w:hAnsiTheme="minorHAnsi" w:cstheme="minorBidi"/>
          <w:b w:val="0"/>
          <w:color w:val="auto"/>
          <w:sz w:val="20"/>
          <w:szCs w:val="20"/>
        </w:rPr>
        <w:t xml:space="preserve"> využívání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je rozvoj směřován do lokalit na okraji </w:t>
      </w:r>
      <w:proofErr w:type="spellStart"/>
      <w:r w:rsidRPr="3EE66962">
        <w:rPr>
          <w:rFonts w:asciiTheme="minorHAnsi" w:eastAsiaTheme="minorEastAsia" w:hAnsiTheme="minorHAnsi" w:cstheme="minorBidi"/>
          <w:b w:val="0"/>
          <w:color w:val="auto"/>
          <w:sz w:val="20"/>
          <w:szCs w:val="20"/>
        </w:rPr>
        <w:t>intravilánu</w:t>
      </w:r>
      <w:proofErr w:type="spellEnd"/>
      <w:r w:rsidRPr="3EE66962">
        <w:rPr>
          <w:rFonts w:asciiTheme="minorHAnsi" w:eastAsiaTheme="minorEastAsia" w:hAnsiTheme="minorHAnsi" w:cstheme="minorBidi"/>
          <w:b w:val="0"/>
          <w:color w:val="auto"/>
          <w:sz w:val="20"/>
          <w:szCs w:val="20"/>
        </w:rPr>
        <w:t>, ve větší vzdálenosti od centrálních částí s nižšími vstupními náklady na rozvoj, ale vyššími nároky na spotřebu energií, nižší energetickou efektivitu, negativnějším vlivem na klima v důsledku rychlejšího snižování ploch s vegetačním pokryvem, dlouhodobými důsledky pro udržitelný rozvoj osídlení a kvalitu života obyvatel, například v souvislosti s delšími dojezdovými vzdálenostmi, nárůstem dopravy, prodražení dopravní obslužnosti atd.</w:t>
      </w:r>
    </w:p>
    <w:p w14:paraId="19643506" w14:textId="3847C016" w:rsidR="0062364A" w:rsidRPr="006A18C7" w:rsidRDefault="370C861E"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Cílem komponenty je naopak využít potenciál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jakožto ploch, do kterých by měl především směřovat rozvoj území a</w:t>
      </w:r>
      <w:r w:rsidR="67E5ECA8" w:rsidRPr="3EE66962">
        <w:rPr>
          <w:rFonts w:asciiTheme="minorHAnsi" w:eastAsiaTheme="minorEastAsia" w:hAnsiTheme="minorHAnsi" w:cstheme="minorBidi"/>
          <w:b w:val="0"/>
          <w:color w:val="auto"/>
          <w:sz w:val="20"/>
          <w:szCs w:val="20"/>
        </w:rPr>
        <w:t xml:space="preserve"> </w:t>
      </w:r>
      <w:r w:rsidR="27F1CCD6" w:rsidRPr="3EE66962">
        <w:rPr>
          <w:rFonts w:asciiTheme="minorHAnsi" w:eastAsiaTheme="minorEastAsia" w:hAnsiTheme="minorHAnsi" w:cstheme="minorBidi"/>
          <w:b w:val="0"/>
          <w:color w:val="auto"/>
          <w:sz w:val="20"/>
          <w:szCs w:val="20"/>
        </w:rPr>
        <w:t>dalšími</w:t>
      </w:r>
      <w:r w:rsidRPr="3EE66962">
        <w:rPr>
          <w:rFonts w:asciiTheme="minorHAnsi" w:eastAsiaTheme="minorEastAsia" w:hAnsiTheme="minorHAnsi" w:cstheme="minorBidi"/>
          <w:b w:val="0"/>
          <w:color w:val="auto"/>
          <w:sz w:val="20"/>
          <w:szCs w:val="20"/>
        </w:rPr>
        <w:t xml:space="preserve"> investice</w:t>
      </w:r>
      <w:r w:rsidR="67E5ECA8" w:rsidRPr="3EE66962">
        <w:rPr>
          <w:rFonts w:asciiTheme="minorHAnsi" w:eastAsiaTheme="minorEastAsia" w:hAnsiTheme="minorHAnsi" w:cstheme="minorBidi"/>
          <w:b w:val="0"/>
          <w:color w:val="auto"/>
          <w:sz w:val="20"/>
          <w:szCs w:val="20"/>
        </w:rPr>
        <w:t>mi</w:t>
      </w:r>
      <w:r w:rsidR="5E7DB1EC" w:rsidRPr="3EE66962">
        <w:rPr>
          <w:rFonts w:asciiTheme="minorHAnsi" w:eastAsiaTheme="minorEastAsia" w:hAnsiTheme="minorHAnsi" w:cstheme="minorBidi"/>
          <w:b w:val="0"/>
          <w:color w:val="auto"/>
          <w:sz w:val="20"/>
          <w:szCs w:val="20"/>
        </w:rPr>
        <w:t xml:space="preserve"> problematické lokality přeměnit na budoucí rozvojové lokality. </w:t>
      </w:r>
      <w:r w:rsidR="02DB474C" w:rsidRPr="3EE66962">
        <w:rPr>
          <w:rFonts w:asciiTheme="minorHAnsi" w:eastAsiaTheme="minorEastAsia" w:hAnsiTheme="minorHAnsi" w:cstheme="minorBidi"/>
          <w:b w:val="0"/>
          <w:color w:val="auto"/>
          <w:sz w:val="20"/>
          <w:szCs w:val="20"/>
        </w:rPr>
        <w:t>D</w:t>
      </w:r>
      <w:r w:rsidR="005AFB98" w:rsidRPr="3EE66962">
        <w:rPr>
          <w:rFonts w:asciiTheme="minorHAnsi" w:eastAsiaTheme="minorEastAsia" w:hAnsiTheme="minorHAnsi" w:cstheme="minorBidi"/>
          <w:b w:val="0"/>
          <w:color w:val="auto"/>
          <w:sz w:val="20"/>
          <w:szCs w:val="20"/>
        </w:rPr>
        <w:t xml:space="preserve">íky podpoře ze strany státu a </w:t>
      </w:r>
      <w:r w:rsidR="0CDE3B55" w:rsidRPr="3EE66962">
        <w:rPr>
          <w:rFonts w:asciiTheme="minorHAnsi" w:eastAsiaTheme="minorEastAsia" w:hAnsiTheme="minorHAnsi" w:cstheme="minorBidi"/>
          <w:b w:val="0"/>
          <w:color w:val="auto"/>
          <w:sz w:val="20"/>
          <w:szCs w:val="20"/>
        </w:rPr>
        <w:t>zapojení dalších aktérů</w:t>
      </w:r>
      <w:r w:rsidR="02DB474C" w:rsidRPr="3EE66962">
        <w:rPr>
          <w:rFonts w:asciiTheme="minorHAnsi" w:eastAsiaTheme="minorEastAsia" w:hAnsiTheme="minorHAnsi" w:cstheme="minorBidi"/>
          <w:b w:val="0"/>
          <w:color w:val="auto"/>
          <w:sz w:val="20"/>
          <w:szCs w:val="20"/>
        </w:rPr>
        <w:t xml:space="preserve"> se </w:t>
      </w:r>
      <w:r w:rsidR="5E7DB1EC" w:rsidRPr="3EE66962">
        <w:rPr>
          <w:rFonts w:asciiTheme="minorHAnsi" w:eastAsiaTheme="minorEastAsia" w:hAnsiTheme="minorHAnsi" w:cstheme="minorBidi"/>
          <w:b w:val="0"/>
          <w:color w:val="auto"/>
          <w:sz w:val="20"/>
          <w:szCs w:val="20"/>
        </w:rPr>
        <w:t xml:space="preserve">v regionech </w:t>
      </w:r>
      <w:r w:rsidR="02DB474C" w:rsidRPr="3EE66962">
        <w:rPr>
          <w:rFonts w:asciiTheme="minorHAnsi" w:eastAsiaTheme="minorEastAsia" w:hAnsiTheme="minorHAnsi" w:cstheme="minorBidi"/>
          <w:b w:val="0"/>
          <w:color w:val="auto"/>
          <w:sz w:val="20"/>
          <w:szCs w:val="20"/>
        </w:rPr>
        <w:t xml:space="preserve">vytvoří </w:t>
      </w:r>
      <w:r w:rsidR="0CDE3B55" w:rsidRPr="3EE66962">
        <w:rPr>
          <w:rFonts w:asciiTheme="minorHAnsi" w:eastAsiaTheme="minorEastAsia" w:hAnsiTheme="minorHAnsi" w:cstheme="minorBidi"/>
          <w:b w:val="0"/>
          <w:color w:val="auto"/>
          <w:sz w:val="20"/>
          <w:szCs w:val="20"/>
        </w:rPr>
        <w:t xml:space="preserve">příklady dobré praxe a </w:t>
      </w:r>
      <w:r w:rsidR="02DB474C" w:rsidRPr="3EE66962">
        <w:rPr>
          <w:rFonts w:asciiTheme="minorHAnsi" w:eastAsiaTheme="minorEastAsia" w:hAnsiTheme="minorHAnsi" w:cstheme="minorBidi"/>
          <w:b w:val="0"/>
          <w:color w:val="auto"/>
          <w:sz w:val="20"/>
          <w:szCs w:val="20"/>
        </w:rPr>
        <w:t xml:space="preserve">nastartují </w:t>
      </w:r>
      <w:r w:rsidR="0CDE3B55" w:rsidRPr="3EE66962">
        <w:rPr>
          <w:rFonts w:asciiTheme="minorHAnsi" w:eastAsiaTheme="minorEastAsia" w:hAnsiTheme="minorHAnsi" w:cstheme="minorBidi"/>
          <w:b w:val="0"/>
          <w:color w:val="auto"/>
          <w:sz w:val="20"/>
          <w:szCs w:val="20"/>
        </w:rPr>
        <w:t>pozitivní změny</w:t>
      </w:r>
      <w:r w:rsidR="5CB7A429" w:rsidRPr="3EE66962">
        <w:rPr>
          <w:rFonts w:asciiTheme="minorHAnsi" w:eastAsiaTheme="minorEastAsia" w:hAnsiTheme="minorHAnsi" w:cstheme="minorBidi"/>
          <w:b w:val="0"/>
          <w:color w:val="auto"/>
          <w:sz w:val="20"/>
          <w:szCs w:val="20"/>
        </w:rPr>
        <w:t>.</w:t>
      </w:r>
      <w:r w:rsidR="0CDE3B55" w:rsidRPr="3EE66962">
        <w:rPr>
          <w:rFonts w:asciiTheme="minorHAnsi" w:eastAsiaTheme="minorEastAsia" w:hAnsiTheme="minorHAnsi" w:cstheme="minorBidi"/>
          <w:b w:val="0"/>
          <w:color w:val="auto"/>
          <w:sz w:val="20"/>
          <w:szCs w:val="20"/>
        </w:rPr>
        <w:t xml:space="preserve"> </w:t>
      </w:r>
    </w:p>
    <w:p w14:paraId="23BE1054" w14:textId="74DEC7BA" w:rsidR="0041359A" w:rsidRPr="0041359A" w:rsidRDefault="35CB26C5" w:rsidP="3D1952B0">
      <w:pPr>
        <w:pStyle w:val="K-Nadpis3"/>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b w:val="0"/>
          <w:color w:val="auto"/>
          <w:sz w:val="20"/>
          <w:szCs w:val="20"/>
        </w:rPr>
        <w:t xml:space="preserve">Jedná se především o podporu podnikatelského </w:t>
      </w:r>
      <w:r w:rsidR="34C2D1F4" w:rsidRPr="3D1952B0">
        <w:rPr>
          <w:rFonts w:asciiTheme="minorHAnsi" w:eastAsiaTheme="minorEastAsia" w:hAnsiTheme="minorHAnsi" w:cstheme="minorBidi"/>
          <w:b w:val="0"/>
          <w:color w:val="auto"/>
          <w:sz w:val="20"/>
          <w:szCs w:val="20"/>
        </w:rPr>
        <w:t xml:space="preserve">a nepodnikatelského </w:t>
      </w:r>
      <w:r w:rsidRPr="3D1952B0">
        <w:rPr>
          <w:rFonts w:asciiTheme="minorHAnsi" w:eastAsiaTheme="minorEastAsia" w:hAnsiTheme="minorHAnsi" w:cstheme="minorBidi"/>
          <w:b w:val="0"/>
          <w:color w:val="auto"/>
          <w:sz w:val="20"/>
          <w:szCs w:val="20"/>
        </w:rPr>
        <w:t xml:space="preserve">využití </w:t>
      </w:r>
      <w:proofErr w:type="spellStart"/>
      <w:r w:rsidRPr="3D1952B0">
        <w:rPr>
          <w:rFonts w:asciiTheme="minorHAnsi" w:eastAsiaTheme="minorEastAsia" w:hAnsiTheme="minorHAnsi" w:cstheme="minorBidi"/>
          <w:b w:val="0"/>
          <w:color w:val="auto"/>
          <w:sz w:val="20"/>
          <w:szCs w:val="20"/>
        </w:rPr>
        <w:t>brownfieldů</w:t>
      </w:r>
      <w:proofErr w:type="spellEnd"/>
      <w:r w:rsidRPr="3D1952B0">
        <w:rPr>
          <w:rFonts w:asciiTheme="minorHAnsi" w:eastAsiaTheme="minorEastAsia" w:hAnsiTheme="minorHAnsi" w:cstheme="minorBidi"/>
          <w:b w:val="0"/>
          <w:color w:val="auto"/>
          <w:sz w:val="20"/>
          <w:szCs w:val="20"/>
        </w:rPr>
        <w:t xml:space="preserve"> ve vlastnictví územních samosprávných celků</w:t>
      </w:r>
      <w:r w:rsidR="11CF02FE" w:rsidRPr="3D1952B0">
        <w:rPr>
          <w:rFonts w:asciiTheme="minorHAnsi" w:eastAsiaTheme="minorEastAsia" w:hAnsiTheme="minorHAnsi" w:cstheme="minorBidi"/>
          <w:b w:val="0"/>
          <w:color w:val="auto"/>
          <w:sz w:val="20"/>
          <w:szCs w:val="20"/>
        </w:rPr>
        <w:t xml:space="preserve"> a investice potřebné pro budoucí využívávání rozsáhlých </w:t>
      </w:r>
      <w:proofErr w:type="spellStart"/>
      <w:r w:rsidR="11CF02FE" w:rsidRPr="3D1952B0">
        <w:rPr>
          <w:rFonts w:asciiTheme="minorHAnsi" w:eastAsiaTheme="minorEastAsia" w:hAnsiTheme="minorHAnsi" w:cstheme="minorBidi"/>
          <w:b w:val="0"/>
          <w:color w:val="auto"/>
          <w:sz w:val="20"/>
          <w:szCs w:val="20"/>
        </w:rPr>
        <w:t>brownfieldů</w:t>
      </w:r>
      <w:proofErr w:type="spellEnd"/>
      <w:r w:rsidR="11CF02FE" w:rsidRPr="3D1952B0">
        <w:rPr>
          <w:rFonts w:asciiTheme="minorHAnsi" w:eastAsiaTheme="minorEastAsia" w:hAnsiTheme="minorHAnsi" w:cstheme="minorBidi"/>
          <w:b w:val="0"/>
          <w:color w:val="auto"/>
          <w:sz w:val="20"/>
          <w:szCs w:val="20"/>
        </w:rPr>
        <w:t xml:space="preserve">. Komponenta bude rozdělena do gesce </w:t>
      </w:r>
      <w:r w:rsidR="02F0050D" w:rsidRPr="3D1952B0">
        <w:rPr>
          <w:rFonts w:asciiTheme="minorHAnsi" w:eastAsiaTheme="minorEastAsia" w:hAnsiTheme="minorHAnsi" w:cstheme="minorBidi"/>
          <w:b w:val="0"/>
          <w:color w:val="auto"/>
          <w:sz w:val="20"/>
          <w:szCs w:val="20"/>
        </w:rPr>
        <w:t xml:space="preserve">dvou </w:t>
      </w:r>
      <w:r w:rsidR="11CF02FE" w:rsidRPr="3D1952B0">
        <w:rPr>
          <w:rFonts w:asciiTheme="minorHAnsi" w:eastAsiaTheme="minorEastAsia" w:hAnsiTheme="minorHAnsi" w:cstheme="minorBidi"/>
          <w:b w:val="0"/>
          <w:color w:val="auto"/>
          <w:sz w:val="20"/>
          <w:szCs w:val="20"/>
        </w:rPr>
        <w:t>rezortů –</w:t>
      </w:r>
      <w:r w:rsidR="6A01EE6C" w:rsidRPr="3D1952B0">
        <w:rPr>
          <w:rFonts w:asciiTheme="minorHAnsi" w:eastAsiaTheme="minorEastAsia" w:hAnsiTheme="minorHAnsi" w:cstheme="minorBidi"/>
          <w:b w:val="0"/>
          <w:color w:val="auto"/>
          <w:sz w:val="20"/>
          <w:szCs w:val="20"/>
        </w:rPr>
        <w:t xml:space="preserve"> </w:t>
      </w:r>
      <w:r w:rsidR="11CF02FE" w:rsidRPr="3D1952B0">
        <w:rPr>
          <w:rFonts w:asciiTheme="minorHAnsi" w:eastAsiaTheme="minorEastAsia" w:hAnsiTheme="minorHAnsi" w:cstheme="minorBidi"/>
          <w:b w:val="0"/>
          <w:color w:val="auto"/>
          <w:sz w:val="20"/>
          <w:szCs w:val="20"/>
        </w:rPr>
        <w:t xml:space="preserve">Ministerstva pro místní rozvoj a Ministerstva průmyslu a obchodu. </w:t>
      </w:r>
    </w:p>
    <w:p w14:paraId="4B2F1C57" w14:textId="77777777" w:rsidR="00E55C44" w:rsidRDefault="00E55C44" w:rsidP="3EE66962">
      <w:pPr>
        <w:pStyle w:val="Nadpis2"/>
        <w:spacing w:line="240" w:lineRule="auto"/>
        <w:rPr>
          <w:rFonts w:asciiTheme="minorHAnsi" w:eastAsiaTheme="minorEastAsia" w:hAnsiTheme="minorHAnsi" w:cstheme="minorBidi"/>
          <w:sz w:val="20"/>
          <w:szCs w:val="20"/>
        </w:rPr>
      </w:pPr>
    </w:p>
    <w:p w14:paraId="1E505E7D" w14:textId="0C873F69" w:rsidR="002C20CF" w:rsidRDefault="1339DDA4" w:rsidP="3EE66962">
      <w:pPr>
        <w:pStyle w:val="Nadpis2"/>
        <w:spacing w:line="240" w:lineRule="auto"/>
        <w:rPr>
          <w:rStyle w:val="K-Nadpis2Char"/>
          <w:rFonts w:asciiTheme="minorHAnsi" w:eastAsiaTheme="minorEastAsia" w:hAnsiTheme="minorHAnsi" w:cstheme="minorBidi"/>
          <w:b/>
          <w:bCs/>
          <w:sz w:val="20"/>
          <w:szCs w:val="20"/>
        </w:rPr>
      </w:pPr>
      <w:r w:rsidRPr="3EE66962">
        <w:rPr>
          <w:rFonts w:asciiTheme="minorHAnsi" w:eastAsiaTheme="minorEastAsia" w:hAnsiTheme="minorHAnsi" w:cstheme="minorBidi"/>
          <w:sz w:val="20"/>
          <w:szCs w:val="20"/>
        </w:rPr>
        <w:t xml:space="preserve">2. </w:t>
      </w:r>
      <w:r w:rsidR="0746F60A" w:rsidRPr="3EE66962">
        <w:rPr>
          <w:rStyle w:val="K-Nadpis2Char"/>
          <w:rFonts w:asciiTheme="minorHAnsi" w:eastAsiaTheme="minorEastAsia" w:hAnsiTheme="minorHAnsi" w:cstheme="minorBidi"/>
          <w:b/>
          <w:bCs/>
          <w:sz w:val="20"/>
          <w:szCs w:val="20"/>
        </w:rPr>
        <w:t>Hlavní výzvy a cíle</w:t>
      </w:r>
    </w:p>
    <w:p w14:paraId="4357DEF3" w14:textId="0D095A1F" w:rsidR="002C20CF" w:rsidRPr="00ED337B" w:rsidRDefault="1339DDA4" w:rsidP="3EE66962">
      <w:pPr>
        <w:pStyle w:val="Default"/>
        <w:spacing w:after="120"/>
        <w:jc w:val="both"/>
        <w:rPr>
          <w:rFonts w:asciiTheme="minorHAnsi" w:eastAsiaTheme="minorEastAsia" w:hAnsiTheme="minorHAnsi" w:cstheme="minorBidi"/>
          <w:b/>
          <w:bCs/>
          <w:sz w:val="20"/>
          <w:szCs w:val="20"/>
        </w:rPr>
      </w:pPr>
      <w:r w:rsidRPr="3EE66962">
        <w:rPr>
          <w:rStyle w:val="K-Nadpis3Char"/>
          <w:rFonts w:asciiTheme="minorHAnsi" w:eastAsiaTheme="minorEastAsia" w:hAnsiTheme="minorHAnsi" w:cstheme="minorBidi"/>
          <w:sz w:val="20"/>
          <w:szCs w:val="20"/>
        </w:rPr>
        <w:t xml:space="preserve">a) </w:t>
      </w:r>
      <w:r w:rsidR="0746F60A" w:rsidRPr="3EE66962">
        <w:rPr>
          <w:rStyle w:val="K-Nadpis3Char"/>
          <w:rFonts w:asciiTheme="minorHAnsi" w:eastAsiaTheme="minorEastAsia" w:hAnsiTheme="minorHAnsi" w:cstheme="minorBidi"/>
          <w:sz w:val="20"/>
          <w:szCs w:val="20"/>
        </w:rPr>
        <w:t>Hlavní výzvy</w:t>
      </w:r>
    </w:p>
    <w:p w14:paraId="74AD3A43" w14:textId="5CE437B7" w:rsidR="00157A34" w:rsidRDefault="43F486B2" w:rsidP="3D1952B0">
      <w:pPr>
        <w:pStyle w:val="K-Nadpis3"/>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b w:val="0"/>
          <w:color w:val="auto"/>
          <w:sz w:val="20"/>
          <w:szCs w:val="20"/>
        </w:rPr>
        <w:t xml:space="preserve">V České republice se vyskytují </w:t>
      </w:r>
      <w:proofErr w:type="spellStart"/>
      <w:r w:rsidRPr="3D1952B0">
        <w:rPr>
          <w:rFonts w:asciiTheme="minorHAnsi" w:eastAsiaTheme="minorEastAsia" w:hAnsiTheme="minorHAnsi" w:cstheme="minorBidi"/>
          <w:b w:val="0"/>
          <w:color w:val="auto"/>
          <w:sz w:val="20"/>
          <w:szCs w:val="20"/>
        </w:rPr>
        <w:t>brownfieldy</w:t>
      </w:r>
      <w:proofErr w:type="spellEnd"/>
      <w:r w:rsidRPr="3D1952B0">
        <w:rPr>
          <w:rFonts w:asciiTheme="minorHAnsi" w:eastAsiaTheme="minorEastAsia" w:hAnsiTheme="minorHAnsi" w:cstheme="minorBidi"/>
          <w:b w:val="0"/>
          <w:color w:val="auto"/>
          <w:sz w:val="20"/>
          <w:szCs w:val="20"/>
        </w:rPr>
        <w:t xml:space="preserve"> nejrůznějšího původu (bývalé průmyslové areály a objekty dopravní infrastruktury, zemědělské </w:t>
      </w:r>
      <w:r w:rsidR="3B4159A9" w:rsidRPr="3D1952B0">
        <w:rPr>
          <w:rFonts w:asciiTheme="minorHAnsi" w:eastAsiaTheme="minorEastAsia" w:hAnsiTheme="minorHAnsi" w:cstheme="minorBidi"/>
          <w:b w:val="0"/>
          <w:color w:val="auto"/>
          <w:sz w:val="20"/>
          <w:szCs w:val="20"/>
        </w:rPr>
        <w:t xml:space="preserve">a vojenské </w:t>
      </w:r>
      <w:r w:rsidRPr="3D1952B0">
        <w:rPr>
          <w:rFonts w:asciiTheme="minorHAnsi" w:eastAsiaTheme="minorEastAsia" w:hAnsiTheme="minorHAnsi" w:cstheme="minorBidi"/>
          <w:b w:val="0"/>
          <w:color w:val="auto"/>
          <w:sz w:val="20"/>
          <w:szCs w:val="20"/>
        </w:rPr>
        <w:t>objekty a areály, objekty pro bydlení, občanskou vybavenost ad.)</w:t>
      </w:r>
      <w:r w:rsidR="43F22049" w:rsidRPr="3D1952B0">
        <w:rPr>
          <w:rFonts w:asciiTheme="minorHAnsi" w:eastAsiaTheme="minorEastAsia" w:hAnsiTheme="minorHAnsi" w:cstheme="minorBidi"/>
          <w:b w:val="0"/>
          <w:color w:val="auto"/>
          <w:sz w:val="20"/>
          <w:szCs w:val="20"/>
        </w:rPr>
        <w:t>.</w:t>
      </w:r>
      <w:r w:rsidRPr="3D1952B0">
        <w:rPr>
          <w:rFonts w:asciiTheme="minorHAnsi" w:eastAsiaTheme="minorEastAsia" w:hAnsiTheme="minorHAnsi" w:cstheme="minorBidi"/>
          <w:b w:val="0"/>
          <w:color w:val="auto"/>
          <w:sz w:val="20"/>
          <w:szCs w:val="20"/>
        </w:rPr>
        <w:t xml:space="preserve"> Jejich opětovné využití pro původní účely není velmi často možné ani vhodné. Původ </w:t>
      </w:r>
      <w:proofErr w:type="spellStart"/>
      <w:r w:rsidRPr="3D1952B0">
        <w:rPr>
          <w:rFonts w:asciiTheme="minorHAnsi" w:eastAsiaTheme="minorEastAsia" w:hAnsiTheme="minorHAnsi" w:cstheme="minorBidi"/>
          <w:b w:val="0"/>
          <w:color w:val="auto"/>
          <w:sz w:val="20"/>
          <w:szCs w:val="20"/>
        </w:rPr>
        <w:t>brownfieldů</w:t>
      </w:r>
      <w:proofErr w:type="spellEnd"/>
      <w:r w:rsidRPr="3D1952B0">
        <w:rPr>
          <w:rFonts w:asciiTheme="minorHAnsi" w:eastAsiaTheme="minorEastAsia" w:hAnsiTheme="minorHAnsi" w:cstheme="minorBidi"/>
          <w:b w:val="0"/>
          <w:color w:val="auto"/>
          <w:sz w:val="20"/>
          <w:szCs w:val="20"/>
        </w:rPr>
        <w:t xml:space="preserve"> nacházíme jak v době rychlé transformace devadesátých let, </w:t>
      </w:r>
      <w:r w:rsidR="71C499B5" w:rsidRPr="3D1952B0">
        <w:rPr>
          <w:rFonts w:asciiTheme="minorHAnsi" w:eastAsiaTheme="minorEastAsia" w:hAnsiTheme="minorHAnsi" w:cstheme="minorBidi"/>
          <w:b w:val="0"/>
          <w:color w:val="auto"/>
          <w:sz w:val="20"/>
          <w:szCs w:val="20"/>
        </w:rPr>
        <w:t>tak</w:t>
      </w:r>
      <w:r w:rsidRPr="3D1952B0">
        <w:rPr>
          <w:rFonts w:asciiTheme="minorHAnsi" w:eastAsiaTheme="minorEastAsia" w:hAnsiTheme="minorHAnsi" w:cstheme="minorBidi"/>
          <w:b w:val="0"/>
          <w:color w:val="auto"/>
          <w:sz w:val="20"/>
          <w:szCs w:val="20"/>
        </w:rPr>
        <w:t xml:space="preserve"> i v důsledku pozdějších</w:t>
      </w:r>
      <w:r w:rsidR="42844455" w:rsidRPr="3D1952B0">
        <w:rPr>
          <w:rFonts w:asciiTheme="minorHAnsi" w:eastAsiaTheme="minorEastAsia" w:hAnsiTheme="minorHAnsi" w:cstheme="minorBidi"/>
          <w:b w:val="0"/>
          <w:color w:val="auto"/>
          <w:sz w:val="20"/>
          <w:szCs w:val="20"/>
        </w:rPr>
        <w:t xml:space="preserve"> změn</w:t>
      </w:r>
      <w:r w:rsidRPr="3D1952B0">
        <w:rPr>
          <w:rFonts w:asciiTheme="minorHAnsi" w:eastAsiaTheme="minorEastAsia" w:hAnsiTheme="minorHAnsi" w:cstheme="minorBidi"/>
          <w:b w:val="0"/>
          <w:color w:val="auto"/>
          <w:sz w:val="20"/>
          <w:szCs w:val="20"/>
        </w:rPr>
        <w:t xml:space="preserve"> spojených s technologickým pokrokem, ale i v důsledku hospodářských výkyvů</w:t>
      </w:r>
      <w:r w:rsidR="43F22049" w:rsidRPr="3D1952B0">
        <w:rPr>
          <w:rFonts w:asciiTheme="minorHAnsi" w:eastAsiaTheme="minorEastAsia" w:hAnsiTheme="minorHAnsi" w:cstheme="minorBidi"/>
          <w:b w:val="0"/>
          <w:color w:val="auto"/>
          <w:sz w:val="20"/>
          <w:szCs w:val="20"/>
        </w:rPr>
        <w:t xml:space="preserve"> nebo dalších obecných společenských změn</w:t>
      </w:r>
      <w:r w:rsidRPr="3D1952B0">
        <w:rPr>
          <w:rFonts w:asciiTheme="minorHAnsi" w:eastAsiaTheme="minorEastAsia" w:hAnsiTheme="minorHAnsi" w:cstheme="minorBidi"/>
          <w:b w:val="0"/>
          <w:color w:val="auto"/>
          <w:sz w:val="20"/>
          <w:szCs w:val="20"/>
        </w:rPr>
        <w:t>.</w:t>
      </w:r>
      <w:r w:rsidR="3D666471" w:rsidRPr="3D1952B0">
        <w:rPr>
          <w:rFonts w:asciiTheme="minorHAnsi" w:eastAsiaTheme="minorEastAsia" w:hAnsiTheme="minorHAnsi" w:cstheme="minorBidi"/>
          <w:b w:val="0"/>
          <w:color w:val="auto"/>
          <w:sz w:val="20"/>
          <w:szCs w:val="20"/>
        </w:rPr>
        <w:t xml:space="preserve"> Přehled typů a rozmístění v ČR dle dat Národní databáze </w:t>
      </w:r>
      <w:proofErr w:type="spellStart"/>
      <w:r w:rsidR="3D666471" w:rsidRPr="3D1952B0">
        <w:rPr>
          <w:rFonts w:asciiTheme="minorHAnsi" w:eastAsiaTheme="minorEastAsia" w:hAnsiTheme="minorHAnsi" w:cstheme="minorBidi"/>
          <w:b w:val="0"/>
          <w:color w:val="auto"/>
          <w:sz w:val="20"/>
          <w:szCs w:val="20"/>
        </w:rPr>
        <w:t>brownfieldů</w:t>
      </w:r>
      <w:proofErr w:type="spellEnd"/>
      <w:r w:rsidR="3D666471" w:rsidRPr="3D1952B0">
        <w:rPr>
          <w:rFonts w:asciiTheme="minorHAnsi" w:eastAsiaTheme="minorEastAsia" w:hAnsiTheme="minorHAnsi" w:cstheme="minorBidi"/>
          <w:b w:val="0"/>
          <w:color w:val="auto"/>
          <w:sz w:val="20"/>
          <w:szCs w:val="20"/>
        </w:rPr>
        <w:t xml:space="preserve"> je uveden na grafech č. 1 </w:t>
      </w:r>
      <w:r w:rsidR="642DC440" w:rsidRPr="3D1952B0">
        <w:rPr>
          <w:rFonts w:asciiTheme="minorHAnsi" w:eastAsiaTheme="minorEastAsia" w:hAnsiTheme="minorHAnsi" w:cstheme="minorBidi"/>
          <w:b w:val="0"/>
          <w:color w:val="auto"/>
          <w:sz w:val="20"/>
          <w:szCs w:val="20"/>
        </w:rPr>
        <w:t>až</w:t>
      </w:r>
      <w:r w:rsidR="3D666471" w:rsidRPr="3D1952B0">
        <w:rPr>
          <w:rFonts w:asciiTheme="minorHAnsi" w:eastAsiaTheme="minorEastAsia" w:hAnsiTheme="minorHAnsi" w:cstheme="minorBidi"/>
          <w:b w:val="0"/>
          <w:color w:val="auto"/>
          <w:sz w:val="20"/>
          <w:szCs w:val="20"/>
        </w:rPr>
        <w:t xml:space="preserve"> </w:t>
      </w:r>
      <w:r w:rsidR="0C94DDAC" w:rsidRPr="3D1952B0">
        <w:rPr>
          <w:rFonts w:asciiTheme="minorHAnsi" w:eastAsiaTheme="minorEastAsia" w:hAnsiTheme="minorHAnsi" w:cstheme="minorBidi"/>
          <w:b w:val="0"/>
          <w:color w:val="auto"/>
          <w:sz w:val="20"/>
          <w:szCs w:val="20"/>
        </w:rPr>
        <w:t>2</w:t>
      </w:r>
      <w:r w:rsidR="3D666471" w:rsidRPr="3D1952B0">
        <w:rPr>
          <w:rFonts w:asciiTheme="minorHAnsi" w:eastAsiaTheme="minorEastAsia" w:hAnsiTheme="minorHAnsi" w:cstheme="minorBidi"/>
          <w:b w:val="0"/>
          <w:color w:val="auto"/>
          <w:sz w:val="20"/>
          <w:szCs w:val="20"/>
        </w:rPr>
        <w:t xml:space="preserve">. Na základě historického vývoje převládají především průmyslové a zemědělské areály, které </w:t>
      </w:r>
      <w:r w:rsidR="5C2DFB75" w:rsidRPr="3D1952B0">
        <w:rPr>
          <w:rFonts w:asciiTheme="minorHAnsi" w:eastAsiaTheme="minorEastAsia" w:hAnsiTheme="minorHAnsi" w:cstheme="minorBidi"/>
          <w:b w:val="0"/>
          <w:color w:val="auto"/>
          <w:sz w:val="20"/>
          <w:szCs w:val="20"/>
        </w:rPr>
        <w:t>kvůli</w:t>
      </w:r>
      <w:r w:rsidR="3D666471" w:rsidRPr="3D1952B0">
        <w:rPr>
          <w:rFonts w:asciiTheme="minorHAnsi" w:eastAsiaTheme="minorEastAsia" w:hAnsiTheme="minorHAnsi" w:cstheme="minorBidi"/>
          <w:b w:val="0"/>
          <w:color w:val="auto"/>
          <w:sz w:val="20"/>
          <w:szCs w:val="20"/>
        </w:rPr>
        <w:t xml:space="preserve"> transformaci ekonomiky již dále neplní svojí funkci. Jejich rozmístění je v rámci ČR různorodé, v určitých krajích převládají právě bývalé průmyslové objekty (např. kraje Liberecký či </w:t>
      </w:r>
      <w:r w:rsidR="2763C20C" w:rsidRPr="3D1952B0">
        <w:rPr>
          <w:rFonts w:asciiTheme="minorHAnsi" w:eastAsiaTheme="minorEastAsia" w:hAnsiTheme="minorHAnsi" w:cstheme="minorBidi"/>
          <w:b w:val="0"/>
          <w:color w:val="auto"/>
          <w:sz w:val="20"/>
          <w:szCs w:val="20"/>
        </w:rPr>
        <w:t>Jihomoravský</w:t>
      </w:r>
      <w:r w:rsidR="3D666471" w:rsidRPr="3D1952B0">
        <w:rPr>
          <w:rFonts w:asciiTheme="minorHAnsi" w:eastAsiaTheme="minorEastAsia" w:hAnsiTheme="minorHAnsi" w:cstheme="minorBidi"/>
          <w:b w:val="0"/>
          <w:color w:val="auto"/>
          <w:sz w:val="20"/>
          <w:szCs w:val="20"/>
        </w:rPr>
        <w:t xml:space="preserve">), </w:t>
      </w:r>
      <w:r w:rsidR="2763C20C" w:rsidRPr="3D1952B0">
        <w:rPr>
          <w:rFonts w:asciiTheme="minorHAnsi" w:eastAsiaTheme="minorEastAsia" w:hAnsiTheme="minorHAnsi" w:cstheme="minorBidi"/>
          <w:b w:val="0"/>
          <w:color w:val="auto"/>
          <w:sz w:val="20"/>
          <w:szCs w:val="20"/>
        </w:rPr>
        <w:t xml:space="preserve">v Pardubickém nebo Olomouckém kraji naopak převládají zemědělské </w:t>
      </w:r>
      <w:proofErr w:type="spellStart"/>
      <w:r w:rsidR="2763C20C" w:rsidRPr="3D1952B0">
        <w:rPr>
          <w:rFonts w:asciiTheme="minorHAnsi" w:eastAsiaTheme="minorEastAsia" w:hAnsiTheme="minorHAnsi" w:cstheme="minorBidi"/>
          <w:b w:val="0"/>
          <w:color w:val="auto"/>
          <w:sz w:val="20"/>
          <w:szCs w:val="20"/>
        </w:rPr>
        <w:t>brownfieldy</w:t>
      </w:r>
      <w:proofErr w:type="spellEnd"/>
      <w:r w:rsidR="2763C20C" w:rsidRPr="3D1952B0">
        <w:rPr>
          <w:rFonts w:asciiTheme="minorHAnsi" w:eastAsiaTheme="minorEastAsia" w:hAnsiTheme="minorHAnsi" w:cstheme="minorBidi"/>
          <w:b w:val="0"/>
          <w:color w:val="auto"/>
          <w:sz w:val="20"/>
          <w:szCs w:val="20"/>
        </w:rPr>
        <w:t xml:space="preserve">, což souvisí také s původním </w:t>
      </w:r>
      <w:r w:rsidR="2763C20C" w:rsidRPr="3D1952B0">
        <w:rPr>
          <w:rFonts w:asciiTheme="minorHAnsi" w:eastAsiaTheme="minorEastAsia" w:hAnsiTheme="minorHAnsi" w:cstheme="minorBidi"/>
          <w:b w:val="0"/>
          <w:color w:val="auto"/>
          <w:sz w:val="20"/>
          <w:szCs w:val="20"/>
        </w:rPr>
        <w:lastRenderedPageBreak/>
        <w:t>hospodářským zaměřením regionu</w:t>
      </w:r>
      <w:r w:rsidR="00D16619" w:rsidRPr="3D1952B0">
        <w:rPr>
          <w:rStyle w:val="Znakapoznpodarou"/>
          <w:rFonts w:asciiTheme="minorHAnsi" w:eastAsiaTheme="minorEastAsia" w:hAnsiTheme="minorHAnsi" w:cstheme="minorBidi"/>
          <w:b w:val="0"/>
          <w:color w:val="auto"/>
          <w:sz w:val="20"/>
          <w:szCs w:val="20"/>
        </w:rPr>
        <w:footnoteReference w:id="2"/>
      </w:r>
      <w:r w:rsidR="2763C20C" w:rsidRPr="3D1952B0">
        <w:rPr>
          <w:rFonts w:asciiTheme="minorHAnsi" w:eastAsiaTheme="minorEastAsia" w:hAnsiTheme="minorHAnsi" w:cstheme="minorBidi"/>
          <w:b w:val="0"/>
          <w:color w:val="auto"/>
          <w:sz w:val="20"/>
          <w:szCs w:val="20"/>
        </w:rPr>
        <w:t xml:space="preserve">. </w:t>
      </w:r>
      <w:r w:rsidR="7222A0C0" w:rsidRPr="3D1952B0">
        <w:rPr>
          <w:rFonts w:asciiTheme="minorHAnsi" w:eastAsiaTheme="minorEastAsia" w:hAnsiTheme="minorHAnsi" w:cstheme="minorBidi"/>
          <w:b w:val="0"/>
          <w:color w:val="auto"/>
          <w:sz w:val="20"/>
          <w:szCs w:val="20"/>
        </w:rPr>
        <w:t xml:space="preserve">Proto je strategií ČR </w:t>
      </w:r>
      <w:r w:rsidR="21F44456" w:rsidRPr="3D1952B0">
        <w:rPr>
          <w:rFonts w:asciiTheme="minorHAnsi" w:eastAsiaTheme="minorEastAsia" w:hAnsiTheme="minorHAnsi" w:cstheme="minorBidi"/>
          <w:b w:val="0"/>
          <w:color w:val="auto"/>
          <w:sz w:val="20"/>
          <w:szCs w:val="20"/>
        </w:rPr>
        <w:t xml:space="preserve">u </w:t>
      </w:r>
      <w:r w:rsidR="51E33280" w:rsidRPr="3D1952B0">
        <w:rPr>
          <w:rFonts w:asciiTheme="minorHAnsi" w:eastAsiaTheme="minorEastAsia" w:hAnsiTheme="minorHAnsi" w:cstheme="minorBidi"/>
          <w:b w:val="0"/>
          <w:color w:val="auto"/>
          <w:sz w:val="20"/>
          <w:szCs w:val="20"/>
        </w:rPr>
        <w:t>revitalizace území</w:t>
      </w:r>
      <w:r w:rsidR="7222A0C0" w:rsidRPr="3D1952B0">
        <w:rPr>
          <w:rFonts w:asciiTheme="minorHAnsi" w:eastAsiaTheme="minorEastAsia" w:hAnsiTheme="minorHAnsi" w:cstheme="minorBidi"/>
          <w:b w:val="0"/>
          <w:color w:val="auto"/>
          <w:sz w:val="20"/>
          <w:szCs w:val="20"/>
        </w:rPr>
        <w:t xml:space="preserve"> strukturovat podporu dle budoucího využití lokalit a také ve zvýšené míře podporovat investice v zejména v nejohroženějších oblastech. I když je podpora v rámci komponenty určena pro území celé České republiky, zvýhodněna jsou území, </w:t>
      </w:r>
      <w:r w:rsidR="21F44456" w:rsidRPr="3D1952B0">
        <w:rPr>
          <w:rFonts w:asciiTheme="minorHAnsi" w:eastAsiaTheme="minorEastAsia" w:hAnsiTheme="minorHAnsi" w:cstheme="minorBidi"/>
          <w:b w:val="0"/>
          <w:color w:val="auto"/>
          <w:sz w:val="20"/>
          <w:szCs w:val="20"/>
        </w:rPr>
        <w:t>která</w:t>
      </w:r>
      <w:r w:rsidR="7222A0C0" w:rsidRPr="3D1952B0">
        <w:rPr>
          <w:rFonts w:asciiTheme="minorHAnsi" w:eastAsiaTheme="minorEastAsia" w:hAnsiTheme="minorHAnsi" w:cstheme="minorBidi"/>
          <w:b w:val="0"/>
          <w:color w:val="auto"/>
          <w:sz w:val="20"/>
          <w:szCs w:val="20"/>
        </w:rPr>
        <w:t xml:space="preserve"> oproti </w:t>
      </w:r>
      <w:r w:rsidR="21F44456" w:rsidRPr="3D1952B0">
        <w:rPr>
          <w:rFonts w:asciiTheme="minorHAnsi" w:eastAsiaTheme="minorEastAsia" w:hAnsiTheme="minorHAnsi" w:cstheme="minorBidi"/>
          <w:b w:val="0"/>
          <w:color w:val="auto"/>
          <w:sz w:val="20"/>
          <w:szCs w:val="20"/>
        </w:rPr>
        <w:t>ostatním</w:t>
      </w:r>
      <w:r w:rsidR="7222A0C0" w:rsidRPr="3D1952B0">
        <w:rPr>
          <w:rFonts w:asciiTheme="minorHAnsi" w:eastAsiaTheme="minorEastAsia" w:hAnsiTheme="minorHAnsi" w:cstheme="minorBidi"/>
          <w:b w:val="0"/>
          <w:color w:val="auto"/>
          <w:sz w:val="20"/>
          <w:szCs w:val="20"/>
        </w:rPr>
        <w:t xml:space="preserve"> zaostávají</w:t>
      </w:r>
      <w:r w:rsidR="0742730A" w:rsidRPr="3D1952B0">
        <w:rPr>
          <w:rFonts w:asciiTheme="minorHAnsi" w:eastAsiaTheme="minorEastAsia" w:hAnsiTheme="minorHAnsi" w:cstheme="minorBidi"/>
          <w:b w:val="0"/>
          <w:color w:val="auto"/>
          <w:sz w:val="20"/>
          <w:szCs w:val="20"/>
        </w:rPr>
        <w:t xml:space="preserve"> a jsou vymezena</w:t>
      </w:r>
      <w:r w:rsidR="7222A0C0" w:rsidRPr="3D1952B0">
        <w:rPr>
          <w:rFonts w:asciiTheme="minorHAnsi" w:eastAsiaTheme="minorEastAsia" w:hAnsiTheme="minorHAnsi" w:cstheme="minorBidi"/>
          <w:b w:val="0"/>
          <w:color w:val="auto"/>
          <w:sz w:val="20"/>
          <w:szCs w:val="20"/>
        </w:rPr>
        <w:t xml:space="preserve"> Strategi</w:t>
      </w:r>
      <w:r w:rsidR="0742730A" w:rsidRPr="3D1952B0">
        <w:rPr>
          <w:rFonts w:asciiTheme="minorHAnsi" w:eastAsiaTheme="minorEastAsia" w:hAnsiTheme="minorHAnsi" w:cstheme="minorBidi"/>
          <w:b w:val="0"/>
          <w:color w:val="auto"/>
          <w:sz w:val="20"/>
          <w:szCs w:val="20"/>
        </w:rPr>
        <w:t>í</w:t>
      </w:r>
      <w:r w:rsidR="7222A0C0" w:rsidRPr="3D1952B0">
        <w:rPr>
          <w:rFonts w:asciiTheme="minorHAnsi" w:eastAsiaTheme="minorEastAsia" w:hAnsiTheme="minorHAnsi" w:cstheme="minorBidi"/>
          <w:b w:val="0"/>
          <w:color w:val="auto"/>
          <w:sz w:val="20"/>
          <w:szCs w:val="20"/>
        </w:rPr>
        <w:t xml:space="preserve"> regionální</w:t>
      </w:r>
      <w:r w:rsidR="0742730A" w:rsidRPr="3D1952B0">
        <w:rPr>
          <w:rFonts w:asciiTheme="minorHAnsi" w:eastAsiaTheme="minorEastAsia" w:hAnsiTheme="minorHAnsi" w:cstheme="minorBidi"/>
          <w:b w:val="0"/>
          <w:color w:val="auto"/>
          <w:sz w:val="20"/>
          <w:szCs w:val="20"/>
        </w:rPr>
        <w:t>ho</w:t>
      </w:r>
      <w:r w:rsidR="7222A0C0" w:rsidRPr="3D1952B0">
        <w:rPr>
          <w:rFonts w:asciiTheme="minorHAnsi" w:eastAsiaTheme="minorEastAsia" w:hAnsiTheme="minorHAnsi" w:cstheme="minorBidi"/>
          <w:b w:val="0"/>
          <w:color w:val="auto"/>
          <w:sz w:val="20"/>
          <w:szCs w:val="20"/>
        </w:rPr>
        <w:t xml:space="preserve"> rozvoje ČR 2021+ a Strategick</w:t>
      </w:r>
      <w:r w:rsidR="0742730A" w:rsidRPr="3D1952B0">
        <w:rPr>
          <w:rFonts w:asciiTheme="minorHAnsi" w:eastAsiaTheme="minorEastAsia" w:hAnsiTheme="minorHAnsi" w:cstheme="minorBidi"/>
          <w:b w:val="0"/>
          <w:color w:val="auto"/>
          <w:sz w:val="20"/>
          <w:szCs w:val="20"/>
        </w:rPr>
        <w:t>ým</w:t>
      </w:r>
      <w:r w:rsidR="7222A0C0" w:rsidRPr="3D1952B0">
        <w:rPr>
          <w:rFonts w:asciiTheme="minorHAnsi" w:eastAsiaTheme="minorEastAsia" w:hAnsiTheme="minorHAnsi" w:cstheme="minorBidi"/>
          <w:b w:val="0"/>
          <w:color w:val="auto"/>
          <w:sz w:val="20"/>
          <w:szCs w:val="20"/>
        </w:rPr>
        <w:t xml:space="preserve"> rámce</w:t>
      </w:r>
      <w:r w:rsidR="0742730A" w:rsidRPr="3D1952B0">
        <w:rPr>
          <w:rFonts w:asciiTheme="minorHAnsi" w:eastAsiaTheme="minorEastAsia" w:hAnsiTheme="minorHAnsi" w:cstheme="minorBidi"/>
          <w:b w:val="0"/>
          <w:color w:val="auto"/>
          <w:sz w:val="20"/>
          <w:szCs w:val="20"/>
        </w:rPr>
        <w:t>m</w:t>
      </w:r>
      <w:r w:rsidR="7222A0C0" w:rsidRPr="3D1952B0">
        <w:rPr>
          <w:rFonts w:asciiTheme="minorHAnsi" w:eastAsiaTheme="minorEastAsia" w:hAnsiTheme="minorHAnsi" w:cstheme="minorBidi"/>
          <w:b w:val="0"/>
          <w:color w:val="auto"/>
          <w:sz w:val="20"/>
          <w:szCs w:val="20"/>
        </w:rPr>
        <w:t xml:space="preserve"> hospodářské restrukturalizace Ústeckého, Moravskoslezského a Karlovarského kraje. Na základě </w:t>
      </w:r>
      <w:r w:rsidR="0742730A" w:rsidRPr="3D1952B0">
        <w:rPr>
          <w:rFonts w:asciiTheme="minorHAnsi" w:eastAsiaTheme="minorEastAsia" w:hAnsiTheme="minorHAnsi" w:cstheme="minorBidi"/>
          <w:b w:val="0"/>
          <w:color w:val="auto"/>
          <w:sz w:val="20"/>
          <w:szCs w:val="20"/>
        </w:rPr>
        <w:t>těchto</w:t>
      </w:r>
      <w:r w:rsidR="7222A0C0" w:rsidRPr="3D1952B0">
        <w:rPr>
          <w:rFonts w:asciiTheme="minorHAnsi" w:eastAsiaTheme="minorEastAsia" w:hAnsiTheme="minorHAnsi" w:cstheme="minorBidi"/>
          <w:b w:val="0"/>
          <w:color w:val="auto"/>
          <w:sz w:val="20"/>
          <w:szCs w:val="20"/>
        </w:rPr>
        <w:t xml:space="preserve"> strategi</w:t>
      </w:r>
      <w:r w:rsidR="0742730A" w:rsidRPr="3D1952B0">
        <w:rPr>
          <w:rFonts w:asciiTheme="minorHAnsi" w:eastAsiaTheme="minorEastAsia" w:hAnsiTheme="minorHAnsi" w:cstheme="minorBidi"/>
          <w:b w:val="0"/>
          <w:color w:val="auto"/>
          <w:sz w:val="20"/>
          <w:szCs w:val="20"/>
        </w:rPr>
        <w:t>í</w:t>
      </w:r>
      <w:r w:rsidR="7222A0C0" w:rsidRPr="3D1952B0">
        <w:rPr>
          <w:rFonts w:asciiTheme="minorHAnsi" w:eastAsiaTheme="minorEastAsia" w:hAnsiTheme="minorHAnsi" w:cstheme="minorBidi"/>
          <w:b w:val="0"/>
          <w:color w:val="auto"/>
          <w:sz w:val="20"/>
          <w:szCs w:val="20"/>
        </w:rPr>
        <w:t xml:space="preserve"> bude zvýšená míra podpory směřovat do území, kter</w:t>
      </w:r>
      <w:r w:rsidR="2368FCA9" w:rsidRPr="3D1952B0">
        <w:rPr>
          <w:rFonts w:asciiTheme="minorHAnsi" w:eastAsiaTheme="minorEastAsia" w:hAnsiTheme="minorHAnsi" w:cstheme="minorBidi"/>
          <w:b w:val="0"/>
          <w:color w:val="auto"/>
          <w:sz w:val="20"/>
          <w:szCs w:val="20"/>
        </w:rPr>
        <w:t xml:space="preserve">á jsou definována </w:t>
      </w:r>
      <w:r w:rsidR="7222A0C0" w:rsidRPr="3D1952B0">
        <w:rPr>
          <w:rFonts w:asciiTheme="minorHAnsi" w:eastAsiaTheme="minorEastAsia" w:hAnsiTheme="minorHAnsi" w:cstheme="minorBidi"/>
          <w:b w:val="0"/>
          <w:color w:val="auto"/>
          <w:sz w:val="20"/>
          <w:szCs w:val="20"/>
        </w:rPr>
        <w:t>jako strukturálně postižené kraje (uhelné regiony) a hospodářsky a sociálně ohrožená území.</w:t>
      </w:r>
    </w:p>
    <w:p w14:paraId="41C24210" w14:textId="11C0E38E" w:rsidR="001222FF" w:rsidRDefault="001222FF" w:rsidP="3EE66962">
      <w:pPr>
        <w:pStyle w:val="Titulek"/>
        <w:rPr>
          <w:rFonts w:asciiTheme="minorHAnsi" w:eastAsiaTheme="minorEastAsia" w:hAnsiTheme="minorHAnsi"/>
          <w:b w:val="0"/>
          <w:bCs w:val="0"/>
          <w:color w:val="auto"/>
          <w:sz w:val="20"/>
          <w:szCs w:val="20"/>
        </w:rPr>
      </w:pPr>
    </w:p>
    <w:p w14:paraId="4F9E842C" w14:textId="62DE3E35" w:rsidR="00A450A1" w:rsidRDefault="00A450A1" w:rsidP="3EE66962">
      <w:pPr>
        <w:pStyle w:val="K-Nadpis3"/>
        <w:rPr>
          <w:rFonts w:asciiTheme="minorHAnsi" w:eastAsiaTheme="minorEastAsia" w:hAnsiTheme="minorHAnsi" w:cstheme="minorBidi"/>
          <w:b w:val="0"/>
          <w:color w:val="auto"/>
          <w:sz w:val="20"/>
          <w:szCs w:val="20"/>
        </w:rPr>
      </w:pPr>
      <w:r>
        <w:rPr>
          <w:noProof/>
          <w:lang w:eastAsia="cs-CZ"/>
        </w:rPr>
        <w:drawing>
          <wp:inline distT="0" distB="0" distL="0" distR="0" wp14:anchorId="74D8E191" wp14:editId="2A7B9262">
            <wp:extent cx="6152083" cy="2494483"/>
            <wp:effectExtent l="0" t="0" r="1270" b="1270"/>
            <wp:docPr id="1" name="Graf 1">
              <a:extLst xmlns:a="http://schemas.openxmlformats.org/drawingml/2006/main">
                <a:ext uri="{FF2B5EF4-FFF2-40B4-BE49-F238E27FC236}">
                  <a16:creationId xmlns:a16="http://schemas.microsoft.com/office/drawing/2014/main" id="{2D5CB4D9-2560-454E-871D-8959DE872B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811A87" w14:textId="0887B798" w:rsidR="00A450A1" w:rsidRDefault="00A450A1" w:rsidP="3EE66962">
      <w:pPr>
        <w:pStyle w:val="K-Nadpis3"/>
        <w:rPr>
          <w:rFonts w:asciiTheme="minorHAnsi" w:eastAsiaTheme="minorEastAsia" w:hAnsiTheme="minorHAnsi" w:cstheme="minorBidi"/>
          <w:b w:val="0"/>
          <w:color w:val="auto"/>
          <w:sz w:val="20"/>
          <w:szCs w:val="20"/>
        </w:rPr>
      </w:pPr>
    </w:p>
    <w:p w14:paraId="57A9948E" w14:textId="4BE7DB37" w:rsidR="00A450A1" w:rsidRDefault="00A450A1" w:rsidP="3EE66962">
      <w:pPr>
        <w:pStyle w:val="K-Nadpis3"/>
        <w:rPr>
          <w:rFonts w:asciiTheme="minorHAnsi" w:eastAsiaTheme="minorEastAsia" w:hAnsiTheme="minorHAnsi" w:cstheme="minorBidi"/>
          <w:b w:val="0"/>
          <w:color w:val="auto"/>
          <w:sz w:val="20"/>
          <w:szCs w:val="20"/>
        </w:rPr>
      </w:pPr>
      <w:r>
        <w:rPr>
          <w:noProof/>
          <w:lang w:eastAsia="cs-CZ"/>
        </w:rPr>
        <w:drawing>
          <wp:inline distT="0" distB="0" distL="0" distR="0" wp14:anchorId="18D1AE77" wp14:editId="5D9E6002">
            <wp:extent cx="6210604" cy="2590800"/>
            <wp:effectExtent l="0" t="0" r="0" b="0"/>
            <wp:docPr id="2" name="Graf 2">
              <a:extLst xmlns:a="http://schemas.openxmlformats.org/drawingml/2006/main">
                <a:ext uri="{FF2B5EF4-FFF2-40B4-BE49-F238E27FC236}">
                  <a16:creationId xmlns:a16="http://schemas.microsoft.com/office/drawing/2014/main" id="{73983216-6A97-44AC-8C5B-A64ECF367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EA2AEE" w14:textId="77777777" w:rsidR="002D13C9" w:rsidRDefault="002D13C9" w:rsidP="3EE66962">
      <w:pPr>
        <w:pStyle w:val="K-Nadpis3"/>
        <w:rPr>
          <w:rFonts w:asciiTheme="minorHAnsi" w:eastAsiaTheme="minorEastAsia" w:hAnsiTheme="minorHAnsi" w:cstheme="minorBidi"/>
          <w:b w:val="0"/>
          <w:color w:val="auto"/>
          <w:sz w:val="20"/>
          <w:szCs w:val="20"/>
        </w:rPr>
      </w:pPr>
    </w:p>
    <w:p w14:paraId="28CBAEA8" w14:textId="5FB0DFBD" w:rsidR="005E4932" w:rsidRDefault="037493B7"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V Národní databázi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kterou spravuje agentura pro podnikání a inovace </w:t>
      </w:r>
      <w:proofErr w:type="spellStart"/>
      <w:r w:rsidRPr="3EE66962">
        <w:rPr>
          <w:rFonts w:asciiTheme="minorHAnsi" w:eastAsiaTheme="minorEastAsia" w:hAnsiTheme="minorHAnsi" w:cstheme="minorBidi"/>
          <w:b w:val="0"/>
          <w:color w:val="auto"/>
          <w:sz w:val="20"/>
          <w:szCs w:val="20"/>
        </w:rPr>
        <w:t>CzechInvest</w:t>
      </w:r>
      <w:proofErr w:type="spellEnd"/>
      <w:r w:rsidRPr="3EE66962">
        <w:rPr>
          <w:rFonts w:asciiTheme="minorHAnsi" w:eastAsiaTheme="minorEastAsia" w:hAnsiTheme="minorHAnsi" w:cstheme="minorBidi"/>
          <w:b w:val="0"/>
          <w:color w:val="auto"/>
          <w:sz w:val="20"/>
          <w:szCs w:val="20"/>
        </w:rPr>
        <w:t xml:space="preserve">, je v současnosti registrováno </w:t>
      </w:r>
      <w:r w:rsidR="16234BEA" w:rsidRPr="3EE66962">
        <w:rPr>
          <w:rFonts w:asciiTheme="minorHAnsi" w:eastAsiaTheme="minorEastAsia" w:hAnsiTheme="minorHAnsi" w:cstheme="minorBidi"/>
          <w:b w:val="0"/>
          <w:color w:val="auto"/>
          <w:sz w:val="20"/>
          <w:szCs w:val="20"/>
        </w:rPr>
        <w:t>3</w:t>
      </w:r>
      <w:r w:rsidRPr="3EE66962">
        <w:rPr>
          <w:rFonts w:asciiTheme="minorHAnsi" w:eastAsiaTheme="minorEastAsia" w:hAnsiTheme="minorHAnsi" w:cstheme="minorBidi"/>
          <w:b w:val="0"/>
          <w:color w:val="auto"/>
          <w:sz w:val="20"/>
          <w:szCs w:val="20"/>
        </w:rPr>
        <w:t xml:space="preserve"> </w:t>
      </w:r>
      <w:r w:rsidR="16234BEA" w:rsidRPr="3EE66962">
        <w:rPr>
          <w:rFonts w:asciiTheme="minorHAnsi" w:eastAsiaTheme="minorEastAsia" w:hAnsiTheme="minorHAnsi" w:cstheme="minorBidi"/>
          <w:b w:val="0"/>
          <w:color w:val="auto"/>
          <w:sz w:val="20"/>
          <w:szCs w:val="20"/>
        </w:rPr>
        <w:t>278</w:t>
      </w:r>
      <w:r w:rsidR="00DE75E4" w:rsidRPr="3EE66962">
        <w:rPr>
          <w:rStyle w:val="Znakapoznpodarou"/>
          <w:rFonts w:asciiTheme="minorHAnsi" w:eastAsiaTheme="minorEastAsia" w:hAnsiTheme="minorHAnsi" w:cstheme="minorBidi"/>
          <w:b w:val="0"/>
          <w:color w:val="auto"/>
          <w:sz w:val="20"/>
          <w:szCs w:val="20"/>
        </w:rPr>
        <w:footnoteReference w:id="3"/>
      </w:r>
      <w:r w:rsidRPr="3EE66962">
        <w:rPr>
          <w:rFonts w:asciiTheme="minorHAnsi" w:eastAsiaTheme="minorEastAsia" w:hAnsiTheme="minorHAnsi" w:cstheme="minorBidi"/>
          <w:b w:val="0"/>
          <w:color w:val="auto"/>
          <w:sz w:val="20"/>
          <w:szCs w:val="20"/>
        </w:rPr>
        <w:t xml:space="preserve"> lokalit.</w:t>
      </w:r>
      <w:r w:rsidR="7EA1E13A" w:rsidRPr="3EE66962">
        <w:rPr>
          <w:rFonts w:asciiTheme="minorHAnsi" w:eastAsiaTheme="minorEastAsia" w:hAnsiTheme="minorHAnsi" w:cstheme="minorBidi"/>
          <w:b w:val="0"/>
          <w:color w:val="auto"/>
          <w:sz w:val="20"/>
          <w:szCs w:val="20"/>
        </w:rPr>
        <w:t xml:space="preserve"> To představuje ale jen část ze skutečného počtu </w:t>
      </w:r>
      <w:proofErr w:type="spellStart"/>
      <w:r w:rsidR="7EA1E13A" w:rsidRPr="3EE66962">
        <w:rPr>
          <w:rFonts w:asciiTheme="minorHAnsi" w:eastAsiaTheme="minorEastAsia" w:hAnsiTheme="minorHAnsi" w:cstheme="minorBidi"/>
          <w:b w:val="0"/>
          <w:color w:val="auto"/>
          <w:sz w:val="20"/>
          <w:szCs w:val="20"/>
        </w:rPr>
        <w:t>brownfieldů</w:t>
      </w:r>
      <w:proofErr w:type="spellEnd"/>
      <w:r w:rsidR="77854865" w:rsidRPr="3EE66962">
        <w:rPr>
          <w:rFonts w:asciiTheme="minorHAnsi" w:eastAsiaTheme="minorEastAsia" w:hAnsiTheme="minorHAnsi" w:cstheme="minorBidi"/>
          <w:b w:val="0"/>
          <w:color w:val="auto"/>
          <w:sz w:val="20"/>
          <w:szCs w:val="20"/>
        </w:rPr>
        <w:t xml:space="preserve"> a na základě odhadů</w:t>
      </w:r>
      <w:r w:rsidR="69851A7C" w:rsidRPr="3EE66962">
        <w:rPr>
          <w:rFonts w:asciiTheme="minorHAnsi" w:eastAsiaTheme="minorEastAsia" w:hAnsiTheme="minorHAnsi" w:cstheme="minorBidi"/>
          <w:b w:val="0"/>
          <w:color w:val="auto"/>
          <w:sz w:val="20"/>
          <w:szCs w:val="20"/>
        </w:rPr>
        <w:t>,</w:t>
      </w:r>
      <w:r w:rsidR="77854865" w:rsidRPr="3EE66962">
        <w:rPr>
          <w:rFonts w:asciiTheme="minorHAnsi" w:eastAsiaTheme="minorEastAsia" w:hAnsiTheme="minorHAnsi" w:cstheme="minorBidi"/>
          <w:b w:val="0"/>
          <w:color w:val="auto"/>
          <w:sz w:val="20"/>
          <w:szCs w:val="20"/>
        </w:rPr>
        <w:t xml:space="preserve"> založených na extrapolaci dat</w:t>
      </w:r>
      <w:r w:rsidR="69851A7C" w:rsidRPr="3EE66962">
        <w:rPr>
          <w:rFonts w:asciiTheme="minorHAnsi" w:eastAsiaTheme="minorEastAsia" w:hAnsiTheme="minorHAnsi" w:cstheme="minorBidi"/>
          <w:b w:val="0"/>
          <w:color w:val="auto"/>
          <w:sz w:val="20"/>
          <w:szCs w:val="20"/>
        </w:rPr>
        <w:t>,</w:t>
      </w:r>
      <w:r w:rsidR="77854865" w:rsidRPr="3EE66962">
        <w:rPr>
          <w:rFonts w:asciiTheme="minorHAnsi" w:eastAsiaTheme="minorEastAsia" w:hAnsiTheme="minorHAnsi" w:cstheme="minorBidi"/>
          <w:b w:val="0"/>
          <w:color w:val="auto"/>
          <w:sz w:val="20"/>
          <w:szCs w:val="20"/>
        </w:rPr>
        <w:t xml:space="preserve"> se v ČR může nacházet až trojnásobek </w:t>
      </w:r>
      <w:r w:rsidR="590E9A3C" w:rsidRPr="3EE66962">
        <w:rPr>
          <w:rFonts w:asciiTheme="minorHAnsi" w:eastAsiaTheme="minorEastAsia" w:hAnsiTheme="minorHAnsi" w:cstheme="minorBidi"/>
          <w:b w:val="0"/>
          <w:color w:val="auto"/>
          <w:sz w:val="20"/>
          <w:szCs w:val="20"/>
        </w:rPr>
        <w:t xml:space="preserve">počtu </w:t>
      </w:r>
      <w:r w:rsidR="77854865" w:rsidRPr="3EE66962">
        <w:rPr>
          <w:rFonts w:asciiTheme="minorHAnsi" w:eastAsiaTheme="minorEastAsia" w:hAnsiTheme="minorHAnsi" w:cstheme="minorBidi"/>
          <w:b w:val="0"/>
          <w:color w:val="auto"/>
          <w:sz w:val="20"/>
          <w:szCs w:val="20"/>
        </w:rPr>
        <w:t xml:space="preserve">lokalit registrovaných v Národní databázi </w:t>
      </w:r>
      <w:proofErr w:type="spellStart"/>
      <w:r w:rsidR="77854865" w:rsidRPr="3EE66962">
        <w:rPr>
          <w:rFonts w:asciiTheme="minorHAnsi" w:eastAsiaTheme="minorEastAsia" w:hAnsiTheme="minorHAnsi" w:cstheme="minorBidi"/>
          <w:b w:val="0"/>
          <w:color w:val="auto"/>
          <w:sz w:val="20"/>
          <w:szCs w:val="20"/>
        </w:rPr>
        <w:t>brownfieldů</w:t>
      </w:r>
      <w:proofErr w:type="spellEnd"/>
      <w:r w:rsidR="292A7898" w:rsidRPr="3EE66962">
        <w:rPr>
          <w:rFonts w:asciiTheme="minorHAnsi" w:eastAsiaTheme="minorEastAsia" w:hAnsiTheme="minorHAnsi" w:cstheme="minorBidi"/>
          <w:b w:val="0"/>
          <w:color w:val="auto"/>
          <w:sz w:val="20"/>
          <w:szCs w:val="20"/>
        </w:rPr>
        <w:t xml:space="preserve">. </w:t>
      </w:r>
      <w:r w:rsidR="35264A64" w:rsidRPr="3EE66962">
        <w:rPr>
          <w:rFonts w:asciiTheme="minorHAnsi" w:eastAsiaTheme="minorEastAsia" w:hAnsiTheme="minorHAnsi" w:cstheme="minorBidi"/>
          <w:b w:val="0"/>
          <w:color w:val="auto"/>
          <w:sz w:val="20"/>
          <w:szCs w:val="20"/>
        </w:rPr>
        <w:t xml:space="preserve">Oproti roku 2015, kdy bylo v databázi registrováno 2666 lokalit, se jedná o nárůst o 22 %. Vyšší počet lokalit není způsoben významným vznikem nových lokalit, ale spíše se jedná o zlepšení systému monitoringu a evidence již existujících </w:t>
      </w:r>
      <w:proofErr w:type="spellStart"/>
      <w:r w:rsidR="35264A64" w:rsidRPr="3EE66962">
        <w:rPr>
          <w:rFonts w:asciiTheme="minorHAnsi" w:eastAsiaTheme="minorEastAsia" w:hAnsiTheme="minorHAnsi" w:cstheme="minorBidi"/>
          <w:b w:val="0"/>
          <w:color w:val="auto"/>
          <w:sz w:val="20"/>
          <w:szCs w:val="20"/>
        </w:rPr>
        <w:t>brownfieldů</w:t>
      </w:r>
      <w:proofErr w:type="spellEnd"/>
      <w:r w:rsidR="35264A64" w:rsidRPr="3EE66962">
        <w:rPr>
          <w:rFonts w:asciiTheme="minorHAnsi" w:eastAsiaTheme="minorEastAsia" w:hAnsiTheme="minorHAnsi" w:cstheme="minorBidi"/>
          <w:b w:val="0"/>
          <w:color w:val="auto"/>
          <w:sz w:val="20"/>
          <w:szCs w:val="20"/>
        </w:rPr>
        <w:t xml:space="preserve">. Zároveň k nárůstu přispěly nově vzniklé programy na regeneraci </w:t>
      </w:r>
      <w:proofErr w:type="spellStart"/>
      <w:r w:rsidR="35264A64" w:rsidRPr="3EE66962">
        <w:rPr>
          <w:rFonts w:asciiTheme="minorHAnsi" w:eastAsiaTheme="minorEastAsia" w:hAnsiTheme="minorHAnsi" w:cstheme="minorBidi"/>
          <w:b w:val="0"/>
          <w:color w:val="auto"/>
          <w:sz w:val="20"/>
          <w:szCs w:val="20"/>
        </w:rPr>
        <w:t>brownfieldů</w:t>
      </w:r>
      <w:proofErr w:type="spellEnd"/>
      <w:r w:rsidR="35264A64" w:rsidRPr="3EE66962">
        <w:rPr>
          <w:rFonts w:asciiTheme="minorHAnsi" w:eastAsiaTheme="minorEastAsia" w:hAnsiTheme="minorHAnsi" w:cstheme="minorBidi"/>
          <w:b w:val="0"/>
          <w:color w:val="auto"/>
          <w:sz w:val="20"/>
          <w:szCs w:val="20"/>
        </w:rPr>
        <w:t>, jejichž podmínkou bylo objekt v databázi registrovat.</w:t>
      </w:r>
      <w:r w:rsidR="612C091A" w:rsidRPr="3EE66962">
        <w:rPr>
          <w:rFonts w:asciiTheme="minorHAnsi" w:eastAsiaTheme="minorEastAsia" w:hAnsiTheme="minorHAnsi" w:cstheme="minorBidi"/>
          <w:b w:val="0"/>
          <w:color w:val="auto"/>
          <w:sz w:val="20"/>
          <w:szCs w:val="20"/>
        </w:rPr>
        <w:t xml:space="preserve"> </w:t>
      </w:r>
    </w:p>
    <w:p w14:paraId="0D325432" w14:textId="32FE9CCF" w:rsidR="00D04B3A" w:rsidRDefault="02D95A30" w:rsidP="3D1952B0">
      <w:pPr>
        <w:pStyle w:val="K-Nadpis3"/>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b w:val="0"/>
          <w:color w:val="auto"/>
          <w:sz w:val="20"/>
          <w:szCs w:val="20"/>
        </w:rPr>
        <w:lastRenderedPageBreak/>
        <w:t>V letech 2007 až 2014 se podle odhadů rozpracovaných v</w:t>
      </w:r>
      <w:r w:rsidR="32215840" w:rsidRPr="3D1952B0">
        <w:rPr>
          <w:rFonts w:asciiTheme="minorHAnsi" w:eastAsiaTheme="minorEastAsia" w:hAnsiTheme="minorHAnsi" w:cstheme="minorBidi"/>
          <w:b w:val="0"/>
          <w:color w:val="auto"/>
          <w:sz w:val="20"/>
          <w:szCs w:val="20"/>
        </w:rPr>
        <w:t> </w:t>
      </w:r>
      <w:r w:rsidRPr="3D1952B0">
        <w:rPr>
          <w:rFonts w:asciiTheme="minorHAnsi" w:eastAsiaTheme="minorEastAsia" w:hAnsiTheme="minorHAnsi" w:cstheme="minorBidi"/>
          <w:b w:val="0"/>
          <w:color w:val="auto"/>
          <w:sz w:val="20"/>
          <w:szCs w:val="20"/>
        </w:rPr>
        <w:t>N</w:t>
      </w:r>
      <w:r w:rsidR="32215840" w:rsidRPr="3D1952B0">
        <w:rPr>
          <w:rFonts w:asciiTheme="minorHAnsi" w:eastAsiaTheme="minorEastAsia" w:hAnsiTheme="minorHAnsi" w:cstheme="minorBidi"/>
          <w:b w:val="0"/>
          <w:color w:val="auto"/>
          <w:sz w:val="20"/>
          <w:szCs w:val="20"/>
        </w:rPr>
        <w:t xml:space="preserve">árodní strategii regenerace </w:t>
      </w:r>
      <w:proofErr w:type="spellStart"/>
      <w:r w:rsidR="32215840" w:rsidRPr="3D1952B0">
        <w:rPr>
          <w:rFonts w:asciiTheme="minorHAnsi" w:eastAsiaTheme="minorEastAsia" w:hAnsiTheme="minorHAnsi" w:cstheme="minorBidi"/>
          <w:b w:val="0"/>
          <w:color w:val="auto"/>
          <w:sz w:val="20"/>
          <w:szCs w:val="20"/>
        </w:rPr>
        <w:t>brownfieldů</w:t>
      </w:r>
      <w:proofErr w:type="spellEnd"/>
      <w:r w:rsidR="32215840" w:rsidRPr="3D1952B0">
        <w:rPr>
          <w:rFonts w:asciiTheme="minorHAnsi" w:eastAsiaTheme="minorEastAsia" w:hAnsiTheme="minorHAnsi" w:cstheme="minorBidi"/>
          <w:b w:val="0"/>
          <w:color w:val="auto"/>
          <w:sz w:val="20"/>
          <w:szCs w:val="20"/>
        </w:rPr>
        <w:t xml:space="preserve"> </w:t>
      </w:r>
      <w:r w:rsidR="76C9F54D" w:rsidRPr="3D1952B0">
        <w:rPr>
          <w:rFonts w:asciiTheme="minorHAnsi" w:eastAsiaTheme="minorEastAsia" w:hAnsiTheme="minorHAnsi" w:cstheme="minorBidi"/>
          <w:b w:val="0"/>
          <w:color w:val="auto"/>
          <w:sz w:val="20"/>
          <w:szCs w:val="20"/>
        </w:rPr>
        <w:t xml:space="preserve">(NSRB) </w:t>
      </w:r>
      <w:r w:rsidRPr="3D1952B0">
        <w:rPr>
          <w:rFonts w:asciiTheme="minorHAnsi" w:eastAsiaTheme="minorEastAsia" w:hAnsiTheme="minorHAnsi" w:cstheme="minorBidi"/>
          <w:b w:val="0"/>
          <w:color w:val="auto"/>
          <w:sz w:val="20"/>
          <w:szCs w:val="20"/>
        </w:rPr>
        <w:t xml:space="preserve">podařilo na území ČR regenerovat zhruba 15 % ploch </w:t>
      </w:r>
      <w:proofErr w:type="spellStart"/>
      <w:r w:rsidRPr="3D1952B0">
        <w:rPr>
          <w:rFonts w:asciiTheme="minorHAnsi" w:eastAsiaTheme="minorEastAsia" w:hAnsiTheme="minorHAnsi" w:cstheme="minorBidi"/>
          <w:b w:val="0"/>
          <w:color w:val="auto"/>
          <w:sz w:val="20"/>
          <w:szCs w:val="20"/>
        </w:rPr>
        <w:t>brownfieldů</w:t>
      </w:r>
      <w:proofErr w:type="spellEnd"/>
      <w:r w:rsidRPr="3D1952B0">
        <w:rPr>
          <w:rFonts w:asciiTheme="minorHAnsi" w:eastAsiaTheme="minorEastAsia" w:hAnsiTheme="minorHAnsi" w:cstheme="minorBidi"/>
          <w:b w:val="0"/>
          <w:color w:val="auto"/>
          <w:sz w:val="20"/>
          <w:szCs w:val="20"/>
        </w:rPr>
        <w:t>, povětšinou s největším rozvojovým potenciálem</w:t>
      </w:r>
      <w:r w:rsidR="6DD0B726" w:rsidRPr="3D1952B0">
        <w:rPr>
          <w:rFonts w:asciiTheme="minorHAnsi" w:eastAsiaTheme="minorEastAsia" w:hAnsiTheme="minorHAnsi" w:cstheme="minorBidi"/>
          <w:b w:val="0"/>
          <w:color w:val="auto"/>
          <w:sz w:val="20"/>
          <w:szCs w:val="20"/>
        </w:rPr>
        <w:t>,</w:t>
      </w:r>
      <w:r w:rsidRPr="3D1952B0">
        <w:rPr>
          <w:rFonts w:asciiTheme="minorHAnsi" w:eastAsiaTheme="minorEastAsia" w:hAnsiTheme="minorHAnsi" w:cstheme="minorBidi"/>
          <w:b w:val="0"/>
          <w:color w:val="auto"/>
          <w:sz w:val="20"/>
          <w:szCs w:val="20"/>
        </w:rPr>
        <w:t xml:space="preserve"> a zároveň </w:t>
      </w:r>
      <w:r w:rsidR="228AD0D1" w:rsidRPr="3D1952B0">
        <w:rPr>
          <w:rFonts w:asciiTheme="minorHAnsi" w:eastAsiaTheme="minorEastAsia" w:hAnsiTheme="minorHAnsi" w:cstheme="minorBidi"/>
          <w:b w:val="0"/>
          <w:color w:val="auto"/>
          <w:sz w:val="20"/>
          <w:szCs w:val="20"/>
        </w:rPr>
        <w:t xml:space="preserve">s </w:t>
      </w:r>
      <w:r w:rsidRPr="3D1952B0">
        <w:rPr>
          <w:rFonts w:asciiTheme="minorHAnsi" w:eastAsiaTheme="minorEastAsia" w:hAnsiTheme="minorHAnsi" w:cstheme="minorBidi"/>
          <w:b w:val="0"/>
          <w:color w:val="auto"/>
          <w:sz w:val="20"/>
          <w:szCs w:val="20"/>
        </w:rPr>
        <w:t xml:space="preserve">minimem bariér pro nový rozvoj. </w:t>
      </w:r>
      <w:proofErr w:type="spellStart"/>
      <w:r w:rsidR="4CC5ED07" w:rsidRPr="3D1952B0">
        <w:rPr>
          <w:rFonts w:asciiTheme="minorHAnsi" w:eastAsiaTheme="minorEastAsia" w:hAnsiTheme="minorHAnsi" w:cstheme="minorBidi"/>
          <w:b w:val="0"/>
          <w:color w:val="auto"/>
          <w:sz w:val="20"/>
          <w:szCs w:val="20"/>
        </w:rPr>
        <w:t>Brownfieldy</w:t>
      </w:r>
      <w:proofErr w:type="spellEnd"/>
      <w:r w:rsidR="4CC5ED07" w:rsidRPr="3D1952B0">
        <w:rPr>
          <w:rFonts w:asciiTheme="minorHAnsi" w:eastAsiaTheme="minorEastAsia" w:hAnsiTheme="minorHAnsi" w:cstheme="minorBidi"/>
          <w:b w:val="0"/>
          <w:color w:val="auto"/>
          <w:sz w:val="20"/>
          <w:szCs w:val="20"/>
        </w:rPr>
        <w:t xml:space="preserve"> se daří regenerovat především v lokalitách, které jsou atraktivní pro soukromé investory (dobrá poloha, vyjasněné vlastnické vztahy, malá nebo žádná kontaminace apod.). V případě mnoha lokalit </w:t>
      </w:r>
      <w:r w:rsidR="22E2BE1A" w:rsidRPr="3D1952B0">
        <w:rPr>
          <w:rFonts w:asciiTheme="minorHAnsi" w:eastAsiaTheme="minorEastAsia" w:hAnsiTheme="minorHAnsi" w:cstheme="minorBidi"/>
          <w:b w:val="0"/>
          <w:color w:val="auto"/>
          <w:sz w:val="20"/>
          <w:szCs w:val="20"/>
        </w:rPr>
        <w:t xml:space="preserve">však </w:t>
      </w:r>
      <w:r w:rsidR="4CC5ED07" w:rsidRPr="3D1952B0">
        <w:rPr>
          <w:rFonts w:asciiTheme="minorHAnsi" w:eastAsiaTheme="minorEastAsia" w:hAnsiTheme="minorHAnsi" w:cstheme="minorBidi"/>
          <w:b w:val="0"/>
          <w:color w:val="auto"/>
          <w:sz w:val="20"/>
          <w:szCs w:val="20"/>
        </w:rPr>
        <w:t>převyšují potřebné</w:t>
      </w:r>
      <w:r w:rsidR="4CC5ED07" w:rsidRPr="3D1952B0">
        <w:rPr>
          <w:rFonts w:asciiTheme="minorHAnsi" w:eastAsiaTheme="minorEastAsia" w:hAnsiTheme="minorHAnsi" w:cstheme="minorBidi"/>
          <w:color w:val="auto"/>
          <w:sz w:val="20"/>
          <w:szCs w:val="20"/>
        </w:rPr>
        <w:t xml:space="preserve"> </w:t>
      </w:r>
      <w:r w:rsidR="4CC5ED07" w:rsidRPr="3D1952B0">
        <w:rPr>
          <w:rFonts w:asciiTheme="minorHAnsi" w:eastAsiaTheme="minorEastAsia" w:hAnsiTheme="minorHAnsi" w:cstheme="minorBidi"/>
          <w:b w:val="0"/>
          <w:color w:val="auto"/>
          <w:sz w:val="20"/>
          <w:szCs w:val="20"/>
        </w:rPr>
        <w:t>investice pro překonání zátěží a rozvojových bariér finanční možnosti vlastníků.</w:t>
      </w:r>
      <w:r w:rsidR="4BEFF83A" w:rsidRPr="3D1952B0">
        <w:rPr>
          <w:rFonts w:asciiTheme="minorHAnsi" w:eastAsiaTheme="minorEastAsia" w:hAnsiTheme="minorHAnsi" w:cstheme="minorBidi"/>
          <w:b w:val="0"/>
          <w:color w:val="auto"/>
          <w:sz w:val="20"/>
          <w:szCs w:val="20"/>
        </w:rPr>
        <w:t xml:space="preserve"> Proto zůstává</w:t>
      </w:r>
      <w:r w:rsidR="4BEFF83A" w:rsidRPr="3D1952B0">
        <w:rPr>
          <w:rFonts w:asciiTheme="minorHAnsi" w:eastAsiaTheme="minorEastAsia" w:hAnsiTheme="minorHAnsi" w:cstheme="minorBidi"/>
          <w:color w:val="auto"/>
          <w:sz w:val="20"/>
          <w:szCs w:val="20"/>
        </w:rPr>
        <w:t xml:space="preserve"> </w:t>
      </w:r>
      <w:r w:rsidR="32215840" w:rsidRPr="3D1952B0">
        <w:rPr>
          <w:rFonts w:asciiTheme="minorHAnsi" w:eastAsiaTheme="minorEastAsia" w:hAnsiTheme="minorHAnsi" w:cstheme="minorBidi"/>
          <w:b w:val="0"/>
          <w:color w:val="auto"/>
          <w:sz w:val="20"/>
          <w:szCs w:val="20"/>
        </w:rPr>
        <w:t>v</w:t>
      </w:r>
      <w:r w:rsidRPr="3D1952B0">
        <w:rPr>
          <w:rFonts w:asciiTheme="minorHAnsi" w:eastAsiaTheme="minorEastAsia" w:hAnsiTheme="minorHAnsi" w:cstheme="minorBidi"/>
          <w:b w:val="0"/>
          <w:color w:val="auto"/>
          <w:sz w:val="20"/>
          <w:szCs w:val="20"/>
        </w:rPr>
        <w:t>elká část těchto lokalit stále nevyužita.</w:t>
      </w:r>
    </w:p>
    <w:p w14:paraId="06CD5E8A" w14:textId="7F1D8E32" w:rsidR="00E55C44" w:rsidRDefault="3663472F"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Problémem, který nastal v průběhu roku 2020</w:t>
      </w:r>
      <w:r w:rsidR="2B601ACC" w:rsidRPr="3EE66962">
        <w:rPr>
          <w:rFonts w:asciiTheme="minorHAnsi" w:eastAsiaTheme="minorEastAsia" w:hAnsiTheme="minorHAnsi" w:cstheme="minorBidi"/>
          <w:b w:val="0"/>
          <w:color w:val="auto"/>
          <w:sz w:val="20"/>
          <w:szCs w:val="20"/>
        </w:rPr>
        <w:t xml:space="preserve"> v souvislosti s pandemií COVID-19</w:t>
      </w:r>
      <w:r w:rsidRPr="3EE66962">
        <w:rPr>
          <w:rFonts w:asciiTheme="minorHAnsi" w:eastAsiaTheme="minorEastAsia" w:hAnsiTheme="minorHAnsi" w:cstheme="minorBidi"/>
          <w:b w:val="0"/>
          <w:color w:val="auto"/>
          <w:sz w:val="20"/>
          <w:szCs w:val="20"/>
        </w:rPr>
        <w:t>, byl pokles investiční aktivity v regionech. Územn</w:t>
      </w:r>
      <w:r w:rsidR="35BB64C1" w:rsidRPr="3EE66962">
        <w:rPr>
          <w:rFonts w:asciiTheme="minorHAnsi" w:eastAsiaTheme="minorEastAsia" w:hAnsiTheme="minorHAnsi" w:cstheme="minorBidi"/>
          <w:b w:val="0"/>
          <w:color w:val="auto"/>
          <w:sz w:val="20"/>
          <w:szCs w:val="20"/>
        </w:rPr>
        <w:t>í</w:t>
      </w:r>
      <w:r w:rsidRPr="3EE66962">
        <w:rPr>
          <w:rFonts w:asciiTheme="minorHAnsi" w:eastAsiaTheme="minorEastAsia" w:hAnsiTheme="minorHAnsi" w:cstheme="minorBidi"/>
          <w:b w:val="0"/>
          <w:color w:val="auto"/>
          <w:sz w:val="20"/>
          <w:szCs w:val="20"/>
        </w:rPr>
        <w:t xml:space="preserve"> samosprávné celky v důsledku mimořádných výdajů i poklesu příjmů rušil</w:t>
      </w:r>
      <w:r w:rsidR="34BC2BB7" w:rsidRPr="3EE66962">
        <w:rPr>
          <w:rFonts w:asciiTheme="minorHAnsi" w:eastAsiaTheme="minorEastAsia" w:hAnsiTheme="minorHAnsi" w:cstheme="minorBidi"/>
          <w:b w:val="0"/>
          <w:color w:val="auto"/>
          <w:sz w:val="20"/>
          <w:szCs w:val="20"/>
        </w:rPr>
        <w:t>y</w:t>
      </w:r>
      <w:r w:rsidRPr="3EE66962">
        <w:rPr>
          <w:rFonts w:asciiTheme="minorHAnsi" w:eastAsiaTheme="minorEastAsia" w:hAnsiTheme="minorHAnsi" w:cstheme="minorBidi"/>
          <w:b w:val="0"/>
          <w:color w:val="auto"/>
          <w:sz w:val="20"/>
          <w:szCs w:val="20"/>
        </w:rPr>
        <w:t xml:space="preserve"> investice. Cílem státu by mělo</w:t>
      </w:r>
      <w:r w:rsidR="6B7C7105" w:rsidRPr="3EE66962">
        <w:rPr>
          <w:rFonts w:asciiTheme="minorHAnsi" w:eastAsiaTheme="minorEastAsia" w:hAnsiTheme="minorHAnsi" w:cstheme="minorBidi"/>
          <w:b w:val="0"/>
          <w:color w:val="auto"/>
          <w:sz w:val="20"/>
          <w:szCs w:val="20"/>
        </w:rPr>
        <w:t xml:space="preserve"> být</w:t>
      </w:r>
      <w:r w:rsidRPr="3EE66962">
        <w:rPr>
          <w:rFonts w:asciiTheme="minorHAnsi" w:eastAsiaTheme="minorEastAsia" w:hAnsiTheme="minorHAnsi" w:cstheme="minorBidi"/>
          <w:b w:val="0"/>
          <w:color w:val="auto"/>
          <w:sz w:val="20"/>
          <w:szCs w:val="20"/>
        </w:rPr>
        <w:t xml:space="preserve"> v této době naopak v regionech investiční aktivitu podpořit. </w:t>
      </w:r>
      <w:r w:rsidR="0B95D5C2" w:rsidRPr="3EE66962">
        <w:rPr>
          <w:rFonts w:asciiTheme="minorHAnsi" w:eastAsiaTheme="minorEastAsia" w:hAnsiTheme="minorHAnsi" w:cstheme="minorBidi"/>
          <w:b w:val="0"/>
          <w:color w:val="auto"/>
          <w:sz w:val="20"/>
          <w:szCs w:val="20"/>
        </w:rPr>
        <w:t>Právě podpor</w:t>
      </w:r>
      <w:r w:rsidR="06EBFA72" w:rsidRPr="3EE66962">
        <w:rPr>
          <w:rFonts w:asciiTheme="minorHAnsi" w:eastAsiaTheme="minorEastAsia" w:hAnsiTheme="minorHAnsi" w:cstheme="minorBidi"/>
          <w:b w:val="0"/>
          <w:color w:val="auto"/>
          <w:sz w:val="20"/>
          <w:szCs w:val="20"/>
        </w:rPr>
        <w:t>ou investování</w:t>
      </w:r>
      <w:r w:rsidR="0B95D5C2" w:rsidRPr="3EE66962">
        <w:rPr>
          <w:rFonts w:asciiTheme="minorHAnsi" w:eastAsiaTheme="minorEastAsia" w:hAnsiTheme="minorHAnsi" w:cstheme="minorBidi"/>
          <w:b w:val="0"/>
          <w:color w:val="auto"/>
          <w:sz w:val="20"/>
          <w:szCs w:val="20"/>
        </w:rPr>
        <w:t xml:space="preserve"> </w:t>
      </w:r>
      <w:r w:rsidR="06EBFA72" w:rsidRPr="3EE66962">
        <w:rPr>
          <w:rFonts w:asciiTheme="minorHAnsi" w:eastAsiaTheme="minorEastAsia" w:hAnsiTheme="minorHAnsi" w:cstheme="minorBidi"/>
          <w:b w:val="0"/>
          <w:color w:val="auto"/>
          <w:sz w:val="20"/>
          <w:szCs w:val="20"/>
        </w:rPr>
        <w:t xml:space="preserve">stát nastartuje investiční aktivitu v území a zároveň tak pomůže k realizaci projektů, které přemění </w:t>
      </w:r>
      <w:proofErr w:type="spellStart"/>
      <w:r w:rsidR="06EBFA72" w:rsidRPr="3EE66962">
        <w:rPr>
          <w:rFonts w:asciiTheme="minorHAnsi" w:eastAsiaTheme="minorEastAsia" w:hAnsiTheme="minorHAnsi" w:cstheme="minorBidi"/>
          <w:b w:val="0"/>
          <w:color w:val="auto"/>
          <w:sz w:val="20"/>
          <w:szCs w:val="20"/>
        </w:rPr>
        <w:t>brownfieldy</w:t>
      </w:r>
      <w:proofErr w:type="spellEnd"/>
      <w:r w:rsidR="06EBFA72" w:rsidRPr="3EE66962">
        <w:rPr>
          <w:rFonts w:asciiTheme="minorHAnsi" w:eastAsiaTheme="minorEastAsia" w:hAnsiTheme="minorHAnsi" w:cstheme="minorBidi"/>
          <w:b w:val="0"/>
          <w:color w:val="auto"/>
          <w:sz w:val="20"/>
          <w:szCs w:val="20"/>
        </w:rPr>
        <w:t xml:space="preserve"> na </w:t>
      </w:r>
      <w:r w:rsidRPr="3EE66962">
        <w:rPr>
          <w:rFonts w:asciiTheme="minorHAnsi" w:eastAsiaTheme="minorEastAsia" w:hAnsiTheme="minorHAnsi" w:cstheme="minorBidi"/>
          <w:b w:val="0"/>
          <w:color w:val="auto"/>
          <w:sz w:val="20"/>
          <w:szCs w:val="20"/>
        </w:rPr>
        <w:t>polyfunkční lokalit</w:t>
      </w:r>
      <w:r w:rsidR="4EE07855" w:rsidRPr="3EE66962">
        <w:rPr>
          <w:rFonts w:asciiTheme="minorHAnsi" w:eastAsiaTheme="minorEastAsia" w:hAnsiTheme="minorHAnsi" w:cstheme="minorBidi"/>
          <w:b w:val="0"/>
          <w:color w:val="auto"/>
          <w:sz w:val="20"/>
          <w:szCs w:val="20"/>
        </w:rPr>
        <w:t>y</w:t>
      </w:r>
      <w:r w:rsidR="0B95D5C2" w:rsidRPr="3EE66962">
        <w:rPr>
          <w:rFonts w:asciiTheme="minorHAnsi" w:eastAsiaTheme="minorEastAsia" w:hAnsiTheme="minorHAnsi" w:cstheme="minorBidi"/>
          <w:b w:val="0"/>
          <w:color w:val="auto"/>
          <w:sz w:val="20"/>
          <w:szCs w:val="20"/>
        </w:rPr>
        <w:t xml:space="preserve"> </w:t>
      </w:r>
      <w:r w:rsidR="78E69856" w:rsidRPr="3EE66962">
        <w:rPr>
          <w:rFonts w:asciiTheme="minorHAnsi" w:eastAsiaTheme="minorEastAsia" w:hAnsiTheme="minorHAnsi" w:cstheme="minorBidi"/>
          <w:b w:val="0"/>
          <w:color w:val="auto"/>
          <w:sz w:val="20"/>
          <w:szCs w:val="20"/>
        </w:rPr>
        <w:t>v souladu s principy udržitelnosti a prosazováním</w:t>
      </w:r>
      <w:r w:rsidR="06EBFA72" w:rsidRPr="3EE66962">
        <w:rPr>
          <w:rFonts w:asciiTheme="minorHAnsi" w:eastAsiaTheme="minorEastAsia" w:hAnsiTheme="minorHAnsi" w:cstheme="minorBidi"/>
          <w:b w:val="0"/>
          <w:color w:val="auto"/>
          <w:sz w:val="20"/>
          <w:szCs w:val="20"/>
        </w:rPr>
        <w:t xml:space="preserve"> inovativních řešení. </w:t>
      </w:r>
    </w:p>
    <w:p w14:paraId="6E546650" w14:textId="0C4E75DE" w:rsidR="00C5173A" w:rsidRPr="00623F15" w:rsidRDefault="32F95183" w:rsidP="3EE66962">
      <w:pPr>
        <w:pStyle w:val="K-Nadpis3"/>
        <w:rPr>
          <w:rFonts w:asciiTheme="minorHAnsi" w:eastAsiaTheme="minorEastAsia" w:hAnsiTheme="minorHAnsi" w:cstheme="minorBidi"/>
          <w:b w:val="0"/>
          <w:sz w:val="20"/>
          <w:szCs w:val="20"/>
        </w:rPr>
      </w:pPr>
      <w:r w:rsidRPr="3EE66962">
        <w:rPr>
          <w:rFonts w:asciiTheme="minorHAnsi" w:eastAsiaTheme="minorEastAsia" w:hAnsiTheme="minorHAnsi" w:cstheme="minorBidi"/>
          <w:b w:val="0"/>
          <w:color w:val="auto"/>
          <w:sz w:val="20"/>
          <w:szCs w:val="20"/>
        </w:rPr>
        <w:t xml:space="preserve">Na jaře 2020 Svaz měst a obcí ČR provedl dotazníkové šetření na vzorku </w:t>
      </w:r>
      <w:r w:rsidRPr="3EE66962">
        <w:rPr>
          <w:rFonts w:asciiTheme="minorHAnsi" w:eastAsiaTheme="minorEastAsia" w:hAnsiTheme="minorHAnsi" w:cstheme="minorBidi"/>
          <w:b w:val="0"/>
          <w:sz w:val="20"/>
          <w:szCs w:val="20"/>
        </w:rPr>
        <w:t>383 obcí, z něhož vyplynulo, že v rámci celé ČR se města a obce rozhodly v letech 2020 a 2021 odložit 23 tisíc investic a téměř 10 tisíc investic nerealizovat. Projektovaná výše zrušených investic činí 8,4 miliardy Kč.</w:t>
      </w:r>
      <w:r w:rsidR="35264A64" w:rsidRPr="3EE66962">
        <w:rPr>
          <w:rFonts w:asciiTheme="minorHAnsi" w:eastAsiaTheme="minorEastAsia" w:hAnsiTheme="minorHAnsi" w:cstheme="minorBidi"/>
          <w:b w:val="0"/>
          <w:sz w:val="20"/>
          <w:szCs w:val="20"/>
        </w:rPr>
        <w:t xml:space="preserve"> </w:t>
      </w:r>
      <w:r w:rsidRPr="3EE66962">
        <w:rPr>
          <w:rFonts w:asciiTheme="minorHAnsi" w:eastAsiaTheme="minorEastAsia" w:hAnsiTheme="minorHAnsi" w:cstheme="minorBidi"/>
          <w:b w:val="0"/>
          <w:sz w:val="20"/>
          <w:szCs w:val="20"/>
        </w:rPr>
        <w:t xml:space="preserve">Souhrnná částka odložených investic je ve výši 27,6 miliardy Kč. </w:t>
      </w:r>
      <w:r w:rsidR="1F68C5B1" w:rsidRPr="3EE66962">
        <w:rPr>
          <w:rFonts w:asciiTheme="minorHAnsi" w:eastAsiaTheme="minorEastAsia" w:hAnsiTheme="minorHAnsi" w:cstheme="minorBidi"/>
          <w:b w:val="0"/>
          <w:sz w:val="20"/>
          <w:szCs w:val="20"/>
        </w:rPr>
        <w:t xml:space="preserve">Zhruba </w:t>
      </w:r>
      <w:r w:rsidRPr="3EE66962">
        <w:rPr>
          <w:rFonts w:asciiTheme="minorHAnsi" w:eastAsiaTheme="minorEastAsia" w:hAnsiTheme="minorHAnsi" w:cstheme="minorBidi"/>
          <w:b w:val="0"/>
          <w:sz w:val="20"/>
          <w:szCs w:val="20"/>
        </w:rPr>
        <w:t>40 % zúčastněných municipalit přesouvá alespoň jednu ze svých investic do dalších let. Pětina měst a obcí některou z investic úplně ruší. Z hlediska celkového objemu investic se jedná především o výdaje na b</w:t>
      </w:r>
      <w:r w:rsidR="303396BA" w:rsidRPr="3EE66962">
        <w:rPr>
          <w:rFonts w:asciiTheme="minorHAnsi" w:eastAsiaTheme="minorEastAsia" w:hAnsiTheme="minorHAnsi" w:cstheme="minorBidi"/>
          <w:b w:val="0"/>
          <w:sz w:val="20"/>
          <w:szCs w:val="20"/>
        </w:rPr>
        <w:t>u</w:t>
      </w:r>
      <w:r w:rsidRPr="3EE66962">
        <w:rPr>
          <w:rFonts w:asciiTheme="minorHAnsi" w:eastAsiaTheme="minorEastAsia" w:hAnsiTheme="minorHAnsi" w:cstheme="minorBidi"/>
          <w:b w:val="0"/>
          <w:sz w:val="20"/>
          <w:szCs w:val="20"/>
        </w:rPr>
        <w:t>dování a opravy budov ve veřejném vlastnictví, budování a opravy pozemních komunikací ad</w:t>
      </w:r>
      <w:r w:rsidR="00C5173A" w:rsidRPr="3EE66962">
        <w:rPr>
          <w:rStyle w:val="Znakapoznpodarou"/>
          <w:rFonts w:asciiTheme="minorHAnsi" w:eastAsiaTheme="minorEastAsia" w:hAnsiTheme="minorHAnsi" w:cstheme="minorBidi"/>
          <w:b w:val="0"/>
          <w:sz w:val="20"/>
          <w:szCs w:val="20"/>
        </w:rPr>
        <w:footnoteReference w:id="4"/>
      </w:r>
      <w:r w:rsidRPr="3EE66962">
        <w:rPr>
          <w:rFonts w:asciiTheme="minorHAnsi" w:eastAsiaTheme="minorEastAsia" w:hAnsiTheme="minorHAnsi" w:cstheme="minorBidi"/>
          <w:b w:val="0"/>
          <w:sz w:val="20"/>
          <w:szCs w:val="20"/>
        </w:rPr>
        <w:t xml:space="preserve">. </w:t>
      </w:r>
      <w:r w:rsidR="35264A64" w:rsidRPr="3EE66962">
        <w:rPr>
          <w:rFonts w:asciiTheme="minorHAnsi" w:eastAsiaTheme="minorEastAsia" w:hAnsiTheme="minorHAnsi" w:cstheme="minorBidi"/>
          <w:b w:val="0"/>
          <w:sz w:val="20"/>
          <w:szCs w:val="20"/>
        </w:rPr>
        <w:t xml:space="preserve">Podobný průzkum, který provedla agentura </w:t>
      </w:r>
      <w:proofErr w:type="spellStart"/>
      <w:r w:rsidR="35264A64" w:rsidRPr="3EE66962">
        <w:rPr>
          <w:rFonts w:asciiTheme="minorHAnsi" w:eastAsiaTheme="minorEastAsia" w:hAnsiTheme="minorHAnsi" w:cstheme="minorBidi"/>
          <w:b w:val="0"/>
          <w:sz w:val="20"/>
          <w:szCs w:val="20"/>
        </w:rPr>
        <w:t>CzechInvest</w:t>
      </w:r>
      <w:proofErr w:type="spellEnd"/>
      <w:r w:rsidR="35264A64" w:rsidRPr="3EE66962">
        <w:rPr>
          <w:rFonts w:asciiTheme="minorHAnsi" w:eastAsiaTheme="minorEastAsia" w:hAnsiTheme="minorHAnsi" w:cstheme="minorBidi"/>
          <w:b w:val="0"/>
          <w:sz w:val="20"/>
          <w:szCs w:val="20"/>
        </w:rPr>
        <w:t xml:space="preserve"> na přelomu roku 2020 a 2021, potvrdil, že 83 % oslovených obcí plánuje </w:t>
      </w:r>
      <w:r w:rsidR="63C05590" w:rsidRPr="3EE66962">
        <w:rPr>
          <w:rFonts w:asciiTheme="minorHAnsi" w:eastAsiaTheme="minorEastAsia" w:hAnsiTheme="minorHAnsi" w:cstheme="minorBidi"/>
          <w:b w:val="0"/>
          <w:sz w:val="20"/>
          <w:szCs w:val="20"/>
        </w:rPr>
        <w:t xml:space="preserve">v nejbližším období </w:t>
      </w:r>
      <w:r w:rsidR="35264A64" w:rsidRPr="3EE66962">
        <w:rPr>
          <w:rFonts w:asciiTheme="minorHAnsi" w:eastAsiaTheme="minorEastAsia" w:hAnsiTheme="minorHAnsi" w:cstheme="minorBidi"/>
          <w:b w:val="0"/>
          <w:sz w:val="20"/>
          <w:szCs w:val="20"/>
        </w:rPr>
        <w:t xml:space="preserve">omezit své investiční aktivity. </w:t>
      </w:r>
    </w:p>
    <w:p w14:paraId="29F40266" w14:textId="6BAB04B8" w:rsidR="002B1A4E" w:rsidRDefault="1FB01C1E"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V rámci </w:t>
      </w:r>
      <w:r w:rsidR="4116CD5C" w:rsidRPr="3EE66962">
        <w:rPr>
          <w:rFonts w:asciiTheme="minorHAnsi" w:eastAsiaTheme="minorEastAsia" w:hAnsiTheme="minorHAnsi" w:cstheme="minorBidi"/>
          <w:b w:val="0"/>
          <w:color w:val="auto"/>
          <w:sz w:val="20"/>
          <w:szCs w:val="20"/>
        </w:rPr>
        <w:t xml:space="preserve">problematiky regenerace </w:t>
      </w:r>
      <w:proofErr w:type="spellStart"/>
      <w:r w:rsidR="4116CD5C" w:rsidRPr="3EE66962">
        <w:rPr>
          <w:rFonts w:asciiTheme="minorHAnsi" w:eastAsiaTheme="minorEastAsia" w:hAnsiTheme="minorHAnsi" w:cstheme="minorBidi"/>
          <w:b w:val="0"/>
          <w:color w:val="auto"/>
          <w:sz w:val="20"/>
          <w:szCs w:val="20"/>
        </w:rPr>
        <w:t>brownfieldů</w:t>
      </w:r>
      <w:proofErr w:type="spellEnd"/>
      <w:r w:rsidR="4116CD5C" w:rsidRPr="3EE66962">
        <w:rPr>
          <w:rFonts w:asciiTheme="minorHAnsi" w:eastAsiaTheme="minorEastAsia" w:hAnsiTheme="minorHAnsi" w:cstheme="minorBidi"/>
          <w:b w:val="0"/>
          <w:color w:val="auto"/>
          <w:sz w:val="20"/>
          <w:szCs w:val="20"/>
        </w:rPr>
        <w:t xml:space="preserve"> a přípravy dotačních titul</w:t>
      </w:r>
      <w:r w:rsidR="306CD0CF" w:rsidRPr="3EE66962">
        <w:rPr>
          <w:rFonts w:asciiTheme="minorHAnsi" w:eastAsiaTheme="minorEastAsia" w:hAnsiTheme="minorHAnsi" w:cstheme="minorBidi"/>
          <w:b w:val="0"/>
          <w:color w:val="auto"/>
          <w:sz w:val="20"/>
          <w:szCs w:val="20"/>
        </w:rPr>
        <w:t xml:space="preserve">ů bylo provedeno několik analýz, které blíže specifikují, na jaký typ </w:t>
      </w:r>
      <w:proofErr w:type="spellStart"/>
      <w:r w:rsidR="306CD0CF" w:rsidRPr="3EE66962">
        <w:rPr>
          <w:rFonts w:asciiTheme="minorHAnsi" w:eastAsiaTheme="minorEastAsia" w:hAnsiTheme="minorHAnsi" w:cstheme="minorBidi"/>
          <w:b w:val="0"/>
          <w:color w:val="auto"/>
          <w:sz w:val="20"/>
          <w:szCs w:val="20"/>
        </w:rPr>
        <w:t>brownfieldů</w:t>
      </w:r>
      <w:proofErr w:type="spellEnd"/>
      <w:r w:rsidR="306CD0CF" w:rsidRPr="3EE66962">
        <w:rPr>
          <w:rFonts w:asciiTheme="minorHAnsi" w:eastAsiaTheme="minorEastAsia" w:hAnsiTheme="minorHAnsi" w:cstheme="minorBidi"/>
          <w:b w:val="0"/>
          <w:color w:val="auto"/>
          <w:sz w:val="20"/>
          <w:szCs w:val="20"/>
        </w:rPr>
        <w:t xml:space="preserve"> by se měla podpora především zaměřit</w:t>
      </w:r>
      <w:r w:rsidR="00A12D7A" w:rsidRPr="3EE66962">
        <w:rPr>
          <w:rFonts w:asciiTheme="minorHAnsi" w:eastAsiaTheme="minorEastAsia" w:hAnsiTheme="minorHAnsi" w:cstheme="minorBidi"/>
          <w:b w:val="0"/>
          <w:color w:val="auto"/>
          <w:sz w:val="20"/>
          <w:szCs w:val="20"/>
        </w:rPr>
        <w:t>,</w:t>
      </w:r>
      <w:r w:rsidR="306CD0CF" w:rsidRPr="3EE66962">
        <w:rPr>
          <w:rFonts w:asciiTheme="minorHAnsi" w:eastAsiaTheme="minorEastAsia" w:hAnsiTheme="minorHAnsi" w:cstheme="minorBidi"/>
          <w:b w:val="0"/>
          <w:color w:val="auto"/>
          <w:sz w:val="20"/>
          <w:szCs w:val="20"/>
        </w:rPr>
        <w:t xml:space="preserve"> a zároveň dokládají připravenost investičních projektů v území.</w:t>
      </w:r>
      <w:r w:rsidR="612C091A" w:rsidRPr="3EE66962">
        <w:rPr>
          <w:rFonts w:asciiTheme="minorHAnsi" w:eastAsiaTheme="minorEastAsia" w:hAnsiTheme="minorHAnsi" w:cstheme="minorBidi"/>
          <w:b w:val="0"/>
          <w:color w:val="auto"/>
          <w:sz w:val="20"/>
          <w:szCs w:val="20"/>
        </w:rPr>
        <w:t xml:space="preserve"> </w:t>
      </w:r>
    </w:p>
    <w:p w14:paraId="4B8B1718" w14:textId="64309304" w:rsidR="002B1A4E" w:rsidRDefault="043EAD35" w:rsidP="3EE66962">
      <w:pPr>
        <w:pStyle w:val="K-Nadpis3"/>
        <w:numPr>
          <w:ilvl w:val="0"/>
          <w:numId w:val="38"/>
        </w:numPr>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V roce 2019 byla provedena analýza společnosti KPMG, která byla podkladem pro možnou realizaci dotačních titulů na podporu vzniku průmyslových zón na lokalitách </w:t>
      </w:r>
      <w:proofErr w:type="spellStart"/>
      <w:r w:rsidRPr="3EE66962">
        <w:rPr>
          <w:rFonts w:asciiTheme="minorHAnsi" w:eastAsiaTheme="minorEastAsia" w:hAnsiTheme="minorHAnsi" w:cstheme="minorBidi"/>
          <w:b w:val="0"/>
          <w:color w:val="auto"/>
          <w:sz w:val="20"/>
          <w:szCs w:val="20"/>
        </w:rPr>
        <w:t>brownfields</w:t>
      </w:r>
      <w:proofErr w:type="spellEnd"/>
      <w:r w:rsidRPr="3EE66962">
        <w:rPr>
          <w:rFonts w:asciiTheme="minorHAnsi" w:eastAsiaTheme="minorEastAsia" w:hAnsiTheme="minorHAnsi" w:cstheme="minorBidi"/>
          <w:b w:val="0"/>
          <w:color w:val="auto"/>
          <w:sz w:val="20"/>
          <w:szCs w:val="20"/>
        </w:rPr>
        <w:t>, na zelené louce a na podporu nových technologických a environmentálních opatření pro stávající průmyslové zóny. Z dotazníkového šetření společnosti KPMG, kterým byli osloven</w:t>
      </w:r>
      <w:r w:rsidR="63C05590" w:rsidRPr="3EE66962">
        <w:rPr>
          <w:rFonts w:asciiTheme="minorHAnsi" w:eastAsiaTheme="minorEastAsia" w:hAnsiTheme="minorHAnsi" w:cstheme="minorBidi"/>
          <w:b w:val="0"/>
          <w:color w:val="auto"/>
          <w:sz w:val="20"/>
          <w:szCs w:val="20"/>
        </w:rPr>
        <w:t>i</w:t>
      </w:r>
      <w:r w:rsidRPr="3EE66962">
        <w:rPr>
          <w:rFonts w:asciiTheme="minorHAnsi" w:eastAsiaTheme="minorEastAsia" w:hAnsiTheme="minorHAnsi" w:cstheme="minorBidi"/>
          <w:b w:val="0"/>
          <w:color w:val="auto"/>
          <w:sz w:val="20"/>
          <w:szCs w:val="20"/>
        </w:rPr>
        <w:t xml:space="preserve"> zástupci municipalit</w:t>
      </w:r>
      <w:r w:rsidR="42EBA3E2" w:rsidRPr="3EE66962">
        <w:rPr>
          <w:rFonts w:asciiTheme="minorHAnsi" w:eastAsiaTheme="minorEastAsia" w:hAnsiTheme="minorHAnsi" w:cstheme="minorBidi"/>
          <w:b w:val="0"/>
          <w:color w:val="auto"/>
          <w:sz w:val="20"/>
          <w:szCs w:val="20"/>
        </w:rPr>
        <w:t>,</w:t>
      </w:r>
      <w:r w:rsidRPr="3EE66962">
        <w:rPr>
          <w:rFonts w:asciiTheme="minorHAnsi" w:eastAsiaTheme="minorEastAsia" w:hAnsiTheme="minorHAnsi" w:cstheme="minorBidi"/>
          <w:b w:val="0"/>
          <w:color w:val="auto"/>
          <w:sz w:val="20"/>
          <w:szCs w:val="20"/>
        </w:rPr>
        <w:t xml:space="preserve"> </w:t>
      </w:r>
      <w:r w:rsidR="13BAAED7" w:rsidRPr="3EE66962">
        <w:rPr>
          <w:rFonts w:asciiTheme="minorHAnsi" w:eastAsiaTheme="minorEastAsia" w:hAnsiTheme="minorHAnsi" w:cstheme="minorBidi"/>
          <w:b w:val="0"/>
          <w:color w:val="auto"/>
          <w:sz w:val="20"/>
          <w:szCs w:val="20"/>
        </w:rPr>
        <w:t>jednoznačně</w:t>
      </w:r>
      <w:r w:rsidRPr="3EE66962">
        <w:rPr>
          <w:rFonts w:asciiTheme="minorHAnsi" w:eastAsiaTheme="minorEastAsia" w:hAnsiTheme="minorHAnsi" w:cstheme="minorBidi"/>
          <w:b w:val="0"/>
          <w:color w:val="auto"/>
          <w:sz w:val="20"/>
          <w:szCs w:val="20"/>
        </w:rPr>
        <w:t xml:space="preserve"> vyplývá, že z 602 projektů je 35</w:t>
      </w:r>
      <w:r w:rsidR="63C05590" w:rsidRPr="3EE66962">
        <w:rPr>
          <w:rFonts w:asciiTheme="minorHAnsi" w:eastAsiaTheme="minorEastAsia" w:hAnsiTheme="minorHAnsi" w:cstheme="minorBidi"/>
          <w:b w:val="0"/>
          <w:color w:val="auto"/>
          <w:sz w:val="20"/>
          <w:szCs w:val="20"/>
        </w:rPr>
        <w:t xml:space="preserve"> </w:t>
      </w:r>
      <w:r w:rsidRPr="3EE66962">
        <w:rPr>
          <w:rFonts w:asciiTheme="minorHAnsi" w:eastAsiaTheme="minorEastAsia" w:hAnsiTheme="minorHAnsi" w:cstheme="minorBidi"/>
          <w:b w:val="0"/>
          <w:color w:val="auto"/>
          <w:sz w:val="20"/>
          <w:szCs w:val="20"/>
        </w:rPr>
        <w:t xml:space="preserve">% lokalit typu </w:t>
      </w:r>
      <w:proofErr w:type="spellStart"/>
      <w:r w:rsidRPr="3EE66962">
        <w:rPr>
          <w:rFonts w:asciiTheme="minorHAnsi" w:eastAsiaTheme="minorEastAsia" w:hAnsiTheme="minorHAnsi" w:cstheme="minorBidi"/>
          <w:b w:val="0"/>
          <w:color w:val="auto"/>
          <w:sz w:val="20"/>
          <w:szCs w:val="20"/>
        </w:rPr>
        <w:t>brownfie</w:t>
      </w:r>
      <w:r w:rsidR="25770BF8" w:rsidRPr="3EE66962">
        <w:rPr>
          <w:rFonts w:asciiTheme="minorHAnsi" w:eastAsiaTheme="minorEastAsia" w:hAnsiTheme="minorHAnsi" w:cstheme="minorBidi"/>
          <w:b w:val="0"/>
          <w:color w:val="auto"/>
          <w:sz w:val="20"/>
          <w:szCs w:val="20"/>
        </w:rPr>
        <w:t>l</w:t>
      </w:r>
      <w:r w:rsidRPr="3EE66962">
        <w:rPr>
          <w:rFonts w:asciiTheme="minorHAnsi" w:eastAsiaTheme="minorEastAsia" w:hAnsiTheme="minorHAnsi" w:cstheme="minorBidi"/>
          <w:b w:val="0"/>
          <w:color w:val="auto"/>
          <w:sz w:val="20"/>
          <w:szCs w:val="20"/>
        </w:rPr>
        <w:t>ds</w:t>
      </w:r>
      <w:proofErr w:type="spellEnd"/>
      <w:r w:rsidRPr="3EE66962">
        <w:rPr>
          <w:rFonts w:asciiTheme="minorHAnsi" w:eastAsiaTheme="minorEastAsia" w:hAnsiTheme="minorHAnsi" w:cstheme="minorBidi"/>
          <w:b w:val="0"/>
          <w:color w:val="auto"/>
          <w:sz w:val="20"/>
          <w:szCs w:val="20"/>
        </w:rPr>
        <w:t xml:space="preserve">. Jedná se tedy o cca 210 lokalit typu </w:t>
      </w:r>
      <w:proofErr w:type="spellStart"/>
      <w:r w:rsidRPr="3EE66962">
        <w:rPr>
          <w:rFonts w:asciiTheme="minorHAnsi" w:eastAsiaTheme="minorEastAsia" w:hAnsiTheme="minorHAnsi" w:cstheme="minorBidi"/>
          <w:b w:val="0"/>
          <w:color w:val="auto"/>
          <w:sz w:val="20"/>
          <w:szCs w:val="20"/>
        </w:rPr>
        <w:t>brownfield</w:t>
      </w:r>
      <w:proofErr w:type="spellEnd"/>
      <w:r w:rsidRPr="3EE66962">
        <w:rPr>
          <w:rFonts w:asciiTheme="minorHAnsi" w:eastAsiaTheme="minorEastAsia" w:hAnsiTheme="minorHAnsi" w:cstheme="minorBidi"/>
          <w:b w:val="0"/>
          <w:color w:val="auto"/>
          <w:sz w:val="20"/>
          <w:szCs w:val="20"/>
        </w:rPr>
        <w:t xml:space="preserve"> vhodných pro</w:t>
      </w:r>
      <w:r w:rsidR="612C091A" w:rsidRPr="3EE66962">
        <w:rPr>
          <w:rFonts w:asciiTheme="minorHAnsi" w:eastAsiaTheme="minorEastAsia" w:hAnsiTheme="minorHAnsi" w:cstheme="minorBidi"/>
          <w:b w:val="0"/>
          <w:color w:val="auto"/>
          <w:sz w:val="20"/>
          <w:szCs w:val="20"/>
        </w:rPr>
        <w:t xml:space="preserve"> </w:t>
      </w:r>
      <w:r w:rsidRPr="3EE66962">
        <w:rPr>
          <w:rFonts w:asciiTheme="minorHAnsi" w:eastAsiaTheme="minorEastAsia" w:hAnsiTheme="minorHAnsi" w:cstheme="minorBidi"/>
          <w:b w:val="0"/>
          <w:color w:val="auto"/>
          <w:sz w:val="20"/>
          <w:szCs w:val="20"/>
        </w:rPr>
        <w:t>regeneraci, kde by příjemcem dotace byla obec.</w:t>
      </w:r>
    </w:p>
    <w:p w14:paraId="2CE2B309" w14:textId="18717F7C" w:rsidR="00051C61" w:rsidRDefault="63C5C877" w:rsidP="3EE66962">
      <w:pPr>
        <w:pStyle w:val="K-Nadpis3"/>
        <w:numPr>
          <w:ilvl w:val="0"/>
          <w:numId w:val="38"/>
        </w:numPr>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Dále byla vytvořena a</w:t>
      </w:r>
      <w:r w:rsidR="7AD8BC8A" w:rsidRPr="3EE66962">
        <w:rPr>
          <w:rFonts w:asciiTheme="minorHAnsi" w:eastAsiaTheme="minorEastAsia" w:hAnsiTheme="minorHAnsi" w:cstheme="minorBidi"/>
          <w:b w:val="0"/>
          <w:color w:val="auto"/>
          <w:sz w:val="20"/>
          <w:szCs w:val="20"/>
        </w:rPr>
        <w:t>nalýz</w:t>
      </w:r>
      <w:r w:rsidR="321D3C96" w:rsidRPr="3EE66962">
        <w:rPr>
          <w:rFonts w:asciiTheme="minorHAnsi" w:eastAsiaTheme="minorEastAsia" w:hAnsiTheme="minorHAnsi" w:cstheme="minorBidi"/>
          <w:b w:val="0"/>
          <w:color w:val="auto"/>
          <w:sz w:val="20"/>
          <w:szCs w:val="20"/>
        </w:rPr>
        <w:t>a</w:t>
      </w:r>
      <w:r w:rsidR="7AD8BC8A" w:rsidRPr="3EE66962">
        <w:rPr>
          <w:rFonts w:asciiTheme="minorHAnsi" w:eastAsiaTheme="minorEastAsia" w:hAnsiTheme="minorHAnsi" w:cstheme="minorBidi"/>
          <w:b w:val="0"/>
          <w:color w:val="auto"/>
          <w:sz w:val="20"/>
          <w:szCs w:val="20"/>
        </w:rPr>
        <w:t xml:space="preserve"> spo</w:t>
      </w:r>
      <w:r w:rsidR="12EC8957" w:rsidRPr="3EE66962">
        <w:rPr>
          <w:rFonts w:asciiTheme="minorHAnsi" w:eastAsiaTheme="minorEastAsia" w:hAnsiTheme="minorHAnsi" w:cstheme="minorBidi"/>
          <w:b w:val="0"/>
          <w:color w:val="auto"/>
          <w:sz w:val="20"/>
          <w:szCs w:val="20"/>
        </w:rPr>
        <w:t xml:space="preserve">lečnosti </w:t>
      </w:r>
      <w:proofErr w:type="spellStart"/>
      <w:r w:rsidR="12EC8957" w:rsidRPr="3EE66962">
        <w:rPr>
          <w:rFonts w:asciiTheme="minorHAnsi" w:eastAsiaTheme="minorEastAsia" w:hAnsiTheme="minorHAnsi" w:cstheme="minorBidi"/>
          <w:b w:val="0"/>
          <w:color w:val="auto"/>
          <w:sz w:val="20"/>
          <w:szCs w:val="20"/>
        </w:rPr>
        <w:t>Deloitte</w:t>
      </w:r>
      <w:proofErr w:type="spellEnd"/>
      <w:r w:rsidR="7AD8BC8A" w:rsidRPr="3EE66962">
        <w:rPr>
          <w:rFonts w:asciiTheme="minorHAnsi" w:eastAsiaTheme="minorEastAsia" w:hAnsiTheme="minorHAnsi" w:cstheme="minorBidi"/>
          <w:b w:val="0"/>
          <w:color w:val="auto"/>
          <w:sz w:val="20"/>
          <w:szCs w:val="20"/>
        </w:rPr>
        <w:t>, která v roce 2019 zpracovala Závěrečnou zprávu Aktualizace předběžného posouzení finančních nástrojů OP PIK 2014</w:t>
      </w:r>
      <w:r w:rsidR="69440B6D" w:rsidRPr="3EE66962">
        <w:rPr>
          <w:rFonts w:asciiTheme="minorHAnsi" w:eastAsiaTheme="minorEastAsia" w:hAnsiTheme="minorHAnsi" w:cstheme="minorBidi"/>
          <w:b w:val="0"/>
          <w:color w:val="auto"/>
          <w:sz w:val="20"/>
          <w:szCs w:val="20"/>
        </w:rPr>
        <w:t>–</w:t>
      </w:r>
      <w:r w:rsidR="7AD8BC8A" w:rsidRPr="3EE66962">
        <w:rPr>
          <w:rFonts w:asciiTheme="minorHAnsi" w:eastAsiaTheme="minorEastAsia" w:hAnsiTheme="minorHAnsi" w:cstheme="minorBidi"/>
          <w:b w:val="0"/>
          <w:color w:val="auto"/>
          <w:sz w:val="20"/>
          <w:szCs w:val="20"/>
        </w:rPr>
        <w:t>2020</w:t>
      </w:r>
      <w:r w:rsidR="00FA2D92" w:rsidRPr="3EE66962">
        <w:rPr>
          <w:rStyle w:val="Znakapoznpodarou"/>
          <w:rFonts w:asciiTheme="minorHAnsi" w:eastAsiaTheme="minorEastAsia" w:hAnsiTheme="minorHAnsi" w:cstheme="minorBidi"/>
          <w:b w:val="0"/>
          <w:color w:val="auto"/>
          <w:sz w:val="20"/>
          <w:szCs w:val="20"/>
        </w:rPr>
        <w:footnoteReference w:id="5"/>
      </w:r>
      <w:r w:rsidR="306C8470" w:rsidRPr="3EE66962">
        <w:rPr>
          <w:rFonts w:asciiTheme="minorHAnsi" w:eastAsiaTheme="minorEastAsia" w:hAnsiTheme="minorHAnsi" w:cstheme="minorBidi"/>
          <w:b w:val="0"/>
          <w:color w:val="auto"/>
          <w:sz w:val="20"/>
          <w:szCs w:val="20"/>
        </w:rPr>
        <w:t xml:space="preserve">. V předběžných závěrech z roku 2017 </w:t>
      </w:r>
      <w:r w:rsidR="7AD8BC8A" w:rsidRPr="3EE66962">
        <w:rPr>
          <w:rFonts w:asciiTheme="minorHAnsi" w:eastAsiaTheme="minorEastAsia" w:hAnsiTheme="minorHAnsi" w:cstheme="minorBidi"/>
          <w:b w:val="0"/>
          <w:color w:val="auto"/>
          <w:sz w:val="20"/>
          <w:szCs w:val="20"/>
        </w:rPr>
        <w:t xml:space="preserve">bylo v rámci hodnocení programu Nemovitosti </w:t>
      </w:r>
      <w:r w:rsidR="306C8470" w:rsidRPr="3EE66962">
        <w:rPr>
          <w:rFonts w:asciiTheme="minorHAnsi" w:eastAsiaTheme="minorEastAsia" w:hAnsiTheme="minorHAnsi" w:cstheme="minorBidi"/>
          <w:b w:val="0"/>
          <w:color w:val="auto"/>
          <w:sz w:val="20"/>
          <w:szCs w:val="20"/>
        </w:rPr>
        <w:t>identifkováno</w:t>
      </w:r>
      <w:r w:rsidR="7AD8BC8A" w:rsidRPr="3EE66962">
        <w:rPr>
          <w:rFonts w:asciiTheme="minorHAnsi" w:eastAsiaTheme="minorEastAsia" w:hAnsiTheme="minorHAnsi" w:cstheme="minorBidi"/>
          <w:b w:val="0"/>
          <w:color w:val="auto"/>
          <w:sz w:val="20"/>
          <w:szCs w:val="20"/>
        </w:rPr>
        <w:t xml:space="preserve"> tržní selhání v oblasti regenerace zejména velkých ploch </w:t>
      </w:r>
      <w:proofErr w:type="spellStart"/>
      <w:r w:rsidR="7AD8BC8A" w:rsidRPr="3EE66962">
        <w:rPr>
          <w:rFonts w:asciiTheme="minorHAnsi" w:eastAsiaTheme="minorEastAsia" w:hAnsiTheme="minorHAnsi" w:cstheme="minorBidi"/>
          <w:b w:val="0"/>
          <w:color w:val="auto"/>
          <w:sz w:val="20"/>
          <w:szCs w:val="20"/>
        </w:rPr>
        <w:t>brownfieldů</w:t>
      </w:r>
      <w:proofErr w:type="spellEnd"/>
      <w:r w:rsidR="7AD8BC8A" w:rsidRPr="3EE66962">
        <w:rPr>
          <w:rFonts w:asciiTheme="minorHAnsi" w:eastAsiaTheme="minorEastAsia" w:hAnsiTheme="minorHAnsi" w:cstheme="minorBidi"/>
          <w:b w:val="0"/>
          <w:color w:val="auto"/>
          <w:sz w:val="20"/>
          <w:szCs w:val="20"/>
        </w:rPr>
        <w:t xml:space="preserve"> ve srovnání s investicemi na zelené louce, neoptimální investiční situace je též u rekonstrukcí zastaralých podnikatelských objektů a přístupu </w:t>
      </w:r>
      <w:r w:rsidR="2B601ACC" w:rsidRPr="3EE66962">
        <w:rPr>
          <w:rFonts w:asciiTheme="minorHAnsi" w:eastAsiaTheme="minorEastAsia" w:hAnsiTheme="minorHAnsi" w:cstheme="minorBidi"/>
          <w:b w:val="0"/>
          <w:color w:val="auto"/>
          <w:sz w:val="20"/>
          <w:szCs w:val="20"/>
        </w:rPr>
        <w:t>malých a středních pod</w:t>
      </w:r>
      <w:r w:rsidR="74F8976F" w:rsidRPr="3EE66962">
        <w:rPr>
          <w:rFonts w:asciiTheme="minorHAnsi" w:eastAsiaTheme="minorEastAsia" w:hAnsiTheme="minorHAnsi" w:cstheme="minorBidi"/>
          <w:b w:val="0"/>
          <w:color w:val="auto"/>
          <w:sz w:val="20"/>
          <w:szCs w:val="20"/>
        </w:rPr>
        <w:t>n</w:t>
      </w:r>
      <w:r w:rsidR="2B601ACC" w:rsidRPr="3EE66962">
        <w:rPr>
          <w:rFonts w:asciiTheme="minorHAnsi" w:eastAsiaTheme="minorEastAsia" w:hAnsiTheme="minorHAnsi" w:cstheme="minorBidi"/>
          <w:b w:val="0"/>
          <w:color w:val="auto"/>
          <w:sz w:val="20"/>
          <w:szCs w:val="20"/>
        </w:rPr>
        <w:t>iků</w:t>
      </w:r>
      <w:r w:rsidR="7AD8BC8A" w:rsidRPr="3EE66962">
        <w:rPr>
          <w:rFonts w:asciiTheme="minorHAnsi" w:eastAsiaTheme="minorEastAsia" w:hAnsiTheme="minorHAnsi" w:cstheme="minorBidi"/>
          <w:b w:val="0"/>
          <w:color w:val="auto"/>
          <w:sz w:val="20"/>
          <w:szCs w:val="20"/>
        </w:rPr>
        <w:t xml:space="preserve"> k moderní podnikatelské infrastruktuře. </w:t>
      </w:r>
      <w:r w:rsidR="306C8470" w:rsidRPr="3EE66962">
        <w:rPr>
          <w:rFonts w:asciiTheme="minorHAnsi" w:eastAsiaTheme="minorEastAsia" w:hAnsiTheme="minorHAnsi" w:cstheme="minorBidi"/>
          <w:b w:val="0"/>
          <w:color w:val="auto"/>
          <w:sz w:val="20"/>
          <w:szCs w:val="20"/>
        </w:rPr>
        <w:t xml:space="preserve">Oslovení developeři projevili zájem o revitalizaci větších </w:t>
      </w:r>
      <w:proofErr w:type="spellStart"/>
      <w:r w:rsidR="306C8470" w:rsidRPr="3EE66962">
        <w:rPr>
          <w:rFonts w:asciiTheme="minorHAnsi" w:eastAsiaTheme="minorEastAsia" w:hAnsiTheme="minorHAnsi" w:cstheme="minorBidi"/>
          <w:b w:val="0"/>
          <w:color w:val="auto"/>
          <w:sz w:val="20"/>
          <w:szCs w:val="20"/>
        </w:rPr>
        <w:t>brownfieldů</w:t>
      </w:r>
      <w:proofErr w:type="spellEnd"/>
      <w:r w:rsidR="306C8470" w:rsidRPr="3EE66962">
        <w:rPr>
          <w:rFonts w:asciiTheme="minorHAnsi" w:eastAsiaTheme="minorEastAsia" w:hAnsiTheme="minorHAnsi" w:cstheme="minorBidi"/>
          <w:b w:val="0"/>
          <w:color w:val="auto"/>
          <w:sz w:val="20"/>
          <w:szCs w:val="20"/>
        </w:rPr>
        <w:t xml:space="preserve">, bez státní podpory pro ně však není investice dostatečně výnosná. Poptávka po podnikatelské infrastruktuře je zároveň stále velká. </w:t>
      </w:r>
    </w:p>
    <w:p w14:paraId="6CCD37ED" w14:textId="3A3A5B8C" w:rsidR="0084170F" w:rsidRDefault="4A50A6F0" w:rsidP="3D1952B0">
      <w:pPr>
        <w:pStyle w:val="K-Nadpis3"/>
        <w:numPr>
          <w:ilvl w:val="0"/>
          <w:numId w:val="38"/>
        </w:numPr>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b w:val="0"/>
          <w:color w:val="auto"/>
          <w:sz w:val="20"/>
          <w:szCs w:val="20"/>
        </w:rPr>
        <w:t xml:space="preserve">V rámci prvotního sběru projektů pro Národní investiční plán bylo v roce 2018 sesbíráno zhruba </w:t>
      </w:r>
      <w:r w:rsidR="32215840" w:rsidRPr="3D1952B0">
        <w:rPr>
          <w:rFonts w:asciiTheme="minorHAnsi" w:eastAsiaTheme="minorEastAsia" w:hAnsiTheme="minorHAnsi" w:cstheme="minorBidi"/>
          <w:b w:val="0"/>
          <w:color w:val="auto"/>
          <w:sz w:val="20"/>
          <w:szCs w:val="20"/>
        </w:rPr>
        <w:t xml:space="preserve">230 projektů </w:t>
      </w:r>
      <w:r w:rsidR="5D93462D" w:rsidRPr="3D1952B0">
        <w:rPr>
          <w:rFonts w:asciiTheme="minorHAnsi" w:eastAsiaTheme="minorEastAsia" w:hAnsiTheme="minorHAnsi" w:cstheme="minorBidi"/>
          <w:b w:val="0"/>
          <w:color w:val="auto"/>
          <w:sz w:val="20"/>
          <w:szCs w:val="20"/>
        </w:rPr>
        <w:t xml:space="preserve">revitalizace </w:t>
      </w:r>
      <w:proofErr w:type="spellStart"/>
      <w:r w:rsidR="32215840" w:rsidRPr="3D1952B0">
        <w:rPr>
          <w:rFonts w:asciiTheme="minorHAnsi" w:eastAsiaTheme="minorEastAsia" w:hAnsiTheme="minorHAnsi" w:cstheme="minorBidi"/>
          <w:b w:val="0"/>
          <w:color w:val="auto"/>
          <w:sz w:val="20"/>
          <w:szCs w:val="20"/>
        </w:rPr>
        <w:t>brownfieldů</w:t>
      </w:r>
      <w:proofErr w:type="spellEnd"/>
      <w:r w:rsidR="32215840" w:rsidRPr="3D1952B0">
        <w:rPr>
          <w:rFonts w:asciiTheme="minorHAnsi" w:eastAsiaTheme="minorEastAsia" w:hAnsiTheme="minorHAnsi" w:cstheme="minorBidi"/>
          <w:b w:val="0"/>
          <w:color w:val="auto"/>
          <w:sz w:val="20"/>
          <w:szCs w:val="20"/>
        </w:rPr>
        <w:t xml:space="preserve"> za 18,8 mld</w:t>
      </w:r>
      <w:r w:rsidRPr="3D1952B0">
        <w:rPr>
          <w:rFonts w:asciiTheme="minorHAnsi" w:eastAsiaTheme="minorEastAsia" w:hAnsiTheme="minorHAnsi" w:cstheme="minorBidi"/>
          <w:b w:val="0"/>
          <w:color w:val="auto"/>
          <w:sz w:val="20"/>
          <w:szCs w:val="20"/>
        </w:rPr>
        <w:t xml:space="preserve">. Kč. </w:t>
      </w:r>
    </w:p>
    <w:p w14:paraId="5E7031E0" w14:textId="21AD125C" w:rsidR="00E372E3" w:rsidRPr="00B13519" w:rsidRDefault="59B0CEB3" w:rsidP="3EE66962">
      <w:pPr>
        <w:pStyle w:val="K-Nadpis3"/>
        <w:numPr>
          <w:ilvl w:val="0"/>
          <w:numId w:val="38"/>
        </w:numPr>
        <w:rPr>
          <w:rFonts w:asciiTheme="minorHAnsi" w:eastAsiaTheme="minorEastAsia" w:hAnsiTheme="minorHAnsi" w:cstheme="minorBidi"/>
          <w:color w:val="auto"/>
          <w:sz w:val="20"/>
          <w:szCs w:val="20"/>
        </w:rPr>
      </w:pPr>
      <w:r w:rsidRPr="3EE66962">
        <w:rPr>
          <w:rFonts w:asciiTheme="minorHAnsi" w:eastAsiaTheme="minorEastAsia" w:hAnsiTheme="minorHAnsi" w:cstheme="minorBidi"/>
          <w:b w:val="0"/>
          <w:color w:val="auto"/>
          <w:sz w:val="20"/>
          <w:szCs w:val="20"/>
        </w:rPr>
        <w:t>Mapování</w:t>
      </w:r>
      <w:r w:rsidR="612C091A" w:rsidRPr="3EE66962">
        <w:rPr>
          <w:rFonts w:asciiTheme="minorHAnsi" w:eastAsiaTheme="minorEastAsia" w:hAnsiTheme="minorHAnsi" w:cstheme="minorBidi"/>
          <w:b w:val="0"/>
          <w:color w:val="auto"/>
          <w:sz w:val="20"/>
          <w:szCs w:val="20"/>
        </w:rPr>
        <w:t xml:space="preserve"> </w:t>
      </w:r>
      <w:r w:rsidR="3663472F" w:rsidRPr="3EE66962">
        <w:rPr>
          <w:rFonts w:asciiTheme="minorHAnsi" w:eastAsiaTheme="minorEastAsia" w:hAnsiTheme="minorHAnsi" w:cstheme="minorBidi"/>
          <w:b w:val="0"/>
          <w:color w:val="auto"/>
          <w:sz w:val="20"/>
          <w:szCs w:val="20"/>
        </w:rPr>
        <w:t xml:space="preserve">MMR, ze kterého vyšlo, že je v obcích připraveno </w:t>
      </w:r>
      <w:r w:rsidR="4B34B133" w:rsidRPr="3EE66962">
        <w:rPr>
          <w:rFonts w:asciiTheme="minorHAnsi" w:eastAsiaTheme="minorEastAsia" w:hAnsiTheme="minorHAnsi" w:cstheme="minorBidi"/>
          <w:b w:val="0"/>
          <w:color w:val="auto"/>
          <w:sz w:val="20"/>
          <w:szCs w:val="20"/>
        </w:rPr>
        <w:t>cca 1730</w:t>
      </w:r>
      <w:r w:rsidR="3663472F" w:rsidRPr="3EE66962">
        <w:rPr>
          <w:rFonts w:asciiTheme="minorHAnsi" w:eastAsiaTheme="minorEastAsia" w:hAnsiTheme="minorHAnsi" w:cstheme="minorBidi"/>
          <w:b w:val="0"/>
          <w:color w:val="auto"/>
          <w:sz w:val="20"/>
          <w:szCs w:val="20"/>
        </w:rPr>
        <w:t xml:space="preserve"> projektů v hodnotě </w:t>
      </w:r>
      <w:r w:rsidR="4B34B133" w:rsidRPr="3EE66962">
        <w:rPr>
          <w:rFonts w:asciiTheme="minorHAnsi" w:eastAsiaTheme="minorEastAsia" w:hAnsiTheme="minorHAnsi" w:cstheme="minorBidi"/>
          <w:b w:val="0"/>
          <w:color w:val="auto"/>
          <w:sz w:val="20"/>
          <w:szCs w:val="20"/>
        </w:rPr>
        <w:t>23 mld. Kč</w:t>
      </w:r>
      <w:r w:rsidR="3663472F" w:rsidRPr="3EE66962">
        <w:rPr>
          <w:rFonts w:asciiTheme="minorHAnsi" w:eastAsiaTheme="minorEastAsia" w:hAnsiTheme="minorHAnsi" w:cstheme="minorBidi"/>
          <w:b w:val="0"/>
          <w:color w:val="auto"/>
          <w:sz w:val="20"/>
          <w:szCs w:val="20"/>
        </w:rPr>
        <w:t xml:space="preserve">. </w:t>
      </w:r>
      <w:r w:rsidR="2BB2323A" w:rsidRPr="3EE66962">
        <w:rPr>
          <w:rFonts w:asciiTheme="minorHAnsi" w:eastAsiaTheme="minorEastAsia" w:hAnsiTheme="minorHAnsi" w:cstheme="minorBidi"/>
          <w:b w:val="0"/>
          <w:color w:val="auto"/>
          <w:sz w:val="20"/>
          <w:szCs w:val="20"/>
        </w:rPr>
        <w:t>Toto m</w:t>
      </w:r>
      <w:r w:rsidR="3663472F" w:rsidRPr="3EE66962">
        <w:rPr>
          <w:rFonts w:asciiTheme="minorHAnsi" w:eastAsiaTheme="minorEastAsia" w:hAnsiTheme="minorHAnsi" w:cstheme="minorBidi"/>
          <w:b w:val="0"/>
          <w:color w:val="auto"/>
          <w:sz w:val="20"/>
          <w:szCs w:val="20"/>
        </w:rPr>
        <w:t>apování na jaře 2020 probíhalo v souvislosti s nástupem první vlny COVID-19 a cílem bylo identifikovat projekty na mu</w:t>
      </w:r>
      <w:r w:rsidR="2B601ACC" w:rsidRPr="3EE66962">
        <w:rPr>
          <w:rFonts w:asciiTheme="minorHAnsi" w:eastAsiaTheme="minorEastAsia" w:hAnsiTheme="minorHAnsi" w:cstheme="minorBidi"/>
          <w:b w:val="0"/>
          <w:color w:val="auto"/>
          <w:sz w:val="20"/>
          <w:szCs w:val="20"/>
        </w:rPr>
        <w:t>nicipální úrovni, které by mohly</w:t>
      </w:r>
      <w:r w:rsidR="3663472F" w:rsidRPr="3EE66962">
        <w:rPr>
          <w:rFonts w:asciiTheme="minorHAnsi" w:eastAsiaTheme="minorEastAsia" w:hAnsiTheme="minorHAnsi" w:cstheme="minorBidi"/>
          <w:b w:val="0"/>
          <w:color w:val="auto"/>
          <w:sz w:val="20"/>
          <w:szCs w:val="20"/>
        </w:rPr>
        <w:t xml:space="preserve"> pomoci s nastartováním ekonomiky. </w:t>
      </w:r>
      <w:r w:rsidR="4B34B133" w:rsidRPr="3EE66962">
        <w:rPr>
          <w:rFonts w:asciiTheme="minorHAnsi" w:eastAsiaTheme="minorEastAsia" w:hAnsiTheme="minorHAnsi" w:cstheme="minorBidi"/>
          <w:b w:val="0"/>
          <w:color w:val="auto"/>
          <w:sz w:val="20"/>
          <w:szCs w:val="20"/>
        </w:rPr>
        <w:t xml:space="preserve">Ve stejném období mapovalo připravenost investičních projektů také Sdružení místních samospráv. Na základě tohoto mapování se ukázalo, že je </w:t>
      </w:r>
      <w:r w:rsidR="7D66B8E2" w:rsidRPr="3EE66962">
        <w:rPr>
          <w:rFonts w:asciiTheme="minorHAnsi" w:eastAsiaTheme="minorEastAsia" w:hAnsiTheme="minorHAnsi" w:cstheme="minorBidi"/>
          <w:b w:val="0"/>
          <w:color w:val="auto"/>
          <w:sz w:val="20"/>
          <w:szCs w:val="20"/>
        </w:rPr>
        <w:t>v</w:t>
      </w:r>
      <w:r w:rsidR="4B34B133" w:rsidRPr="3EE66962">
        <w:rPr>
          <w:rFonts w:asciiTheme="minorHAnsi" w:eastAsiaTheme="minorEastAsia" w:hAnsiTheme="minorHAnsi" w:cstheme="minorBidi"/>
          <w:b w:val="0"/>
          <w:color w:val="auto"/>
          <w:sz w:val="20"/>
          <w:szCs w:val="20"/>
        </w:rPr>
        <w:t xml:space="preserve"> území připravených cca 1000 projektů zaměřených na objekty občanské vybavenosti v hodnotě 13,9 mld. Kč. </w:t>
      </w:r>
    </w:p>
    <w:p w14:paraId="385DAE44" w14:textId="632968FB" w:rsidR="00E372E3" w:rsidRPr="00623F15" w:rsidRDefault="63C05590"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Další mapování absorpční kapacity a připravenosti projektů proběhlo v souvislosti s přípravou jednolitých investic této komponenty dle typů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pro něž je podpora plánována. </w:t>
      </w:r>
    </w:p>
    <w:p w14:paraId="73C2D9AE" w14:textId="2D44393F" w:rsidR="00B326D2" w:rsidRPr="00FA2D92" w:rsidRDefault="7D37B541" w:rsidP="3D1952B0">
      <w:pPr>
        <w:pStyle w:val="K-Nadpis3"/>
        <w:numPr>
          <w:ilvl w:val="0"/>
          <w:numId w:val="60"/>
        </w:numPr>
        <w:rPr>
          <w:rFonts w:asciiTheme="minorHAnsi" w:eastAsiaTheme="minorEastAsia" w:hAnsiTheme="minorHAnsi" w:cstheme="minorBidi"/>
          <w:color w:val="auto"/>
          <w:sz w:val="20"/>
          <w:szCs w:val="20"/>
        </w:rPr>
      </w:pPr>
      <w:r w:rsidRPr="3D1952B0">
        <w:rPr>
          <w:rFonts w:asciiTheme="minorHAnsi" w:eastAsiaTheme="minorEastAsia" w:hAnsiTheme="minorHAnsi" w:cstheme="minorBidi"/>
          <w:color w:val="auto"/>
          <w:sz w:val="20"/>
          <w:szCs w:val="20"/>
        </w:rPr>
        <w:t xml:space="preserve">Příprava a investiční podpora </w:t>
      </w:r>
      <w:r w:rsidR="51E33280" w:rsidRPr="3D1952B0">
        <w:rPr>
          <w:rFonts w:asciiTheme="minorHAnsi" w:eastAsiaTheme="minorEastAsia" w:hAnsiTheme="minorHAnsi" w:cstheme="minorBidi"/>
          <w:color w:val="auto"/>
          <w:sz w:val="20"/>
          <w:szCs w:val="20"/>
        </w:rPr>
        <w:t>revitalizace specifick</w:t>
      </w:r>
      <w:r w:rsidR="7FB916A6" w:rsidRPr="3D1952B0">
        <w:rPr>
          <w:rFonts w:asciiTheme="minorHAnsi" w:eastAsiaTheme="minorEastAsia" w:hAnsiTheme="minorHAnsi" w:cstheme="minorBidi"/>
          <w:color w:val="auto"/>
          <w:sz w:val="20"/>
          <w:szCs w:val="20"/>
        </w:rPr>
        <w:t xml:space="preserve">ých </w:t>
      </w:r>
      <w:proofErr w:type="spellStart"/>
      <w:r w:rsidR="7FB916A6" w:rsidRPr="3D1952B0">
        <w:rPr>
          <w:rFonts w:asciiTheme="minorHAnsi" w:eastAsiaTheme="minorEastAsia" w:hAnsiTheme="minorHAnsi" w:cstheme="minorBidi"/>
          <w:color w:val="auto"/>
          <w:sz w:val="20"/>
          <w:szCs w:val="20"/>
        </w:rPr>
        <w:t>brownfieldů</w:t>
      </w:r>
      <w:proofErr w:type="spellEnd"/>
      <w:r w:rsidR="0F553E81" w:rsidRPr="3D1952B0">
        <w:rPr>
          <w:rFonts w:asciiTheme="minorHAnsi" w:eastAsiaTheme="minorEastAsia" w:hAnsiTheme="minorHAnsi" w:cstheme="minorBidi"/>
          <w:color w:val="auto"/>
          <w:sz w:val="20"/>
          <w:szCs w:val="20"/>
        </w:rPr>
        <w:t xml:space="preserve"> </w:t>
      </w:r>
      <w:r w:rsidR="467B0078" w:rsidRPr="3D1952B0">
        <w:rPr>
          <w:rFonts w:asciiTheme="minorHAnsi" w:eastAsiaTheme="minorEastAsia" w:hAnsiTheme="minorHAnsi" w:cstheme="minorBidi"/>
          <w:color w:val="auto"/>
          <w:sz w:val="20"/>
          <w:szCs w:val="20"/>
        </w:rPr>
        <w:t xml:space="preserve">– </w:t>
      </w:r>
      <w:r w:rsidR="467B0078" w:rsidRPr="3D1952B0">
        <w:rPr>
          <w:rFonts w:asciiTheme="minorHAnsi" w:eastAsiaTheme="minorEastAsia" w:hAnsiTheme="minorHAnsi" w:cstheme="minorBidi"/>
          <w:b w:val="0"/>
          <w:color w:val="auto"/>
          <w:sz w:val="20"/>
          <w:szCs w:val="20"/>
        </w:rPr>
        <w:t xml:space="preserve">MMR ve spolupráci s agenturou </w:t>
      </w:r>
      <w:proofErr w:type="spellStart"/>
      <w:r w:rsidR="467B0078" w:rsidRPr="3D1952B0">
        <w:rPr>
          <w:rFonts w:asciiTheme="minorHAnsi" w:eastAsiaTheme="minorEastAsia" w:hAnsiTheme="minorHAnsi" w:cstheme="minorBidi"/>
          <w:b w:val="0"/>
          <w:color w:val="auto"/>
          <w:sz w:val="20"/>
          <w:szCs w:val="20"/>
        </w:rPr>
        <w:t>CzechInvest</w:t>
      </w:r>
      <w:proofErr w:type="spellEnd"/>
      <w:r w:rsidR="467B0078" w:rsidRPr="3D1952B0">
        <w:rPr>
          <w:rFonts w:asciiTheme="minorHAnsi" w:eastAsiaTheme="minorEastAsia" w:hAnsiTheme="minorHAnsi" w:cstheme="minorBidi"/>
          <w:b w:val="0"/>
          <w:color w:val="auto"/>
          <w:sz w:val="20"/>
          <w:szCs w:val="20"/>
        </w:rPr>
        <w:t xml:space="preserve"> vytipovalo na základě Národní databáze </w:t>
      </w:r>
      <w:proofErr w:type="spellStart"/>
      <w:r w:rsidR="467B0078" w:rsidRPr="3D1952B0">
        <w:rPr>
          <w:rFonts w:asciiTheme="minorHAnsi" w:eastAsiaTheme="minorEastAsia" w:hAnsiTheme="minorHAnsi" w:cstheme="minorBidi"/>
          <w:b w:val="0"/>
          <w:color w:val="auto"/>
          <w:sz w:val="20"/>
          <w:szCs w:val="20"/>
        </w:rPr>
        <w:t>brownfieldů</w:t>
      </w:r>
      <w:proofErr w:type="spellEnd"/>
      <w:r w:rsidR="467B0078" w:rsidRPr="3D1952B0">
        <w:rPr>
          <w:rFonts w:asciiTheme="minorHAnsi" w:eastAsiaTheme="minorEastAsia" w:hAnsiTheme="minorHAnsi" w:cstheme="minorBidi"/>
          <w:b w:val="0"/>
          <w:color w:val="auto"/>
          <w:sz w:val="20"/>
          <w:szCs w:val="20"/>
        </w:rPr>
        <w:t xml:space="preserve"> a vlastního terénního šetření v území vhodné </w:t>
      </w:r>
      <w:r w:rsidR="6321C197" w:rsidRPr="3D1952B0">
        <w:rPr>
          <w:rFonts w:asciiTheme="minorHAnsi" w:eastAsiaTheme="minorEastAsia" w:hAnsiTheme="minorHAnsi" w:cstheme="minorBidi"/>
          <w:b w:val="0"/>
          <w:color w:val="auto"/>
          <w:sz w:val="20"/>
          <w:szCs w:val="20"/>
        </w:rPr>
        <w:t>objekty</w:t>
      </w:r>
      <w:r w:rsidR="467B0078" w:rsidRPr="3D1952B0">
        <w:rPr>
          <w:rFonts w:asciiTheme="minorHAnsi" w:eastAsiaTheme="minorEastAsia" w:hAnsiTheme="minorHAnsi" w:cstheme="minorBidi"/>
          <w:b w:val="0"/>
          <w:color w:val="auto"/>
          <w:sz w:val="20"/>
          <w:szCs w:val="20"/>
        </w:rPr>
        <w:t>, které by bylo možné v rámci prostředků Národního plánu obnovy transformovat</w:t>
      </w:r>
      <w:r w:rsidR="4BD5F434" w:rsidRPr="3D1952B0">
        <w:rPr>
          <w:rFonts w:asciiTheme="minorHAnsi" w:eastAsiaTheme="minorEastAsia" w:hAnsiTheme="minorHAnsi" w:cstheme="minorBidi"/>
          <w:b w:val="0"/>
          <w:color w:val="auto"/>
          <w:sz w:val="20"/>
          <w:szCs w:val="20"/>
        </w:rPr>
        <w:t xml:space="preserve"> v rámci investice 2.8.1</w:t>
      </w:r>
      <w:r w:rsidR="467B0078" w:rsidRPr="3D1952B0">
        <w:rPr>
          <w:rFonts w:asciiTheme="minorHAnsi" w:eastAsiaTheme="minorEastAsia" w:hAnsiTheme="minorHAnsi" w:cstheme="minorBidi"/>
          <w:b w:val="0"/>
          <w:color w:val="auto"/>
          <w:sz w:val="20"/>
          <w:szCs w:val="20"/>
        </w:rPr>
        <w:t xml:space="preserve">. </w:t>
      </w:r>
      <w:r w:rsidR="6998D212" w:rsidRPr="3D1952B0">
        <w:rPr>
          <w:rFonts w:asciiTheme="minorHAnsi" w:eastAsiaTheme="minorEastAsia" w:hAnsiTheme="minorHAnsi" w:cstheme="minorBidi"/>
          <w:b w:val="0"/>
          <w:color w:val="auto"/>
          <w:sz w:val="20"/>
          <w:szCs w:val="20"/>
        </w:rPr>
        <w:t xml:space="preserve">Výběrovými kritérii byla velikost lokality, předpokládaná výše investice, budoucí záměr v souladu se zelenou </w:t>
      </w:r>
      <w:r w:rsidR="6998D212" w:rsidRPr="3D1952B0">
        <w:rPr>
          <w:rFonts w:asciiTheme="minorHAnsi" w:eastAsiaTheme="minorEastAsia" w:hAnsiTheme="minorHAnsi" w:cstheme="minorBidi"/>
          <w:b w:val="0"/>
          <w:color w:val="auto"/>
          <w:sz w:val="20"/>
          <w:szCs w:val="20"/>
        </w:rPr>
        <w:lastRenderedPageBreak/>
        <w:t xml:space="preserve">transformací Evropy. </w:t>
      </w:r>
      <w:r w:rsidR="467B0078" w:rsidRPr="3D1952B0">
        <w:rPr>
          <w:rFonts w:asciiTheme="minorHAnsi" w:eastAsiaTheme="minorEastAsia" w:hAnsiTheme="minorHAnsi" w:cstheme="minorBidi"/>
          <w:b w:val="0"/>
          <w:color w:val="auto"/>
          <w:sz w:val="20"/>
          <w:szCs w:val="20"/>
        </w:rPr>
        <w:t>Na základě mapování bylo identifikováno přes 70 lokalit, ne všechny jsou ale z důvodu stavu připravenosti vhodné pro financování z Národního plánu obnovy. Přesto bylo na základě prvotního mapování identifikováno 43 lokalit, které by v kombinaci s pomocí formou </w:t>
      </w:r>
      <w:proofErr w:type="spellStart"/>
      <w:r w:rsidR="467B0078" w:rsidRPr="3D1952B0">
        <w:rPr>
          <w:rFonts w:asciiTheme="minorHAnsi" w:eastAsiaTheme="minorEastAsia" w:hAnsiTheme="minorHAnsi" w:cstheme="minorBidi"/>
          <w:b w:val="0"/>
          <w:color w:val="auto"/>
          <w:sz w:val="20"/>
          <w:szCs w:val="20"/>
        </w:rPr>
        <w:t>developmentu</w:t>
      </w:r>
      <w:proofErr w:type="spellEnd"/>
      <w:r w:rsidR="467B0078" w:rsidRPr="3D1952B0">
        <w:rPr>
          <w:rFonts w:asciiTheme="minorHAnsi" w:eastAsiaTheme="minorEastAsia" w:hAnsiTheme="minorHAnsi" w:cstheme="minorBidi"/>
          <w:b w:val="0"/>
          <w:color w:val="auto"/>
          <w:sz w:val="20"/>
          <w:szCs w:val="20"/>
        </w:rPr>
        <w:t xml:space="preserve"> bylo vhodné podpořit. </w:t>
      </w:r>
    </w:p>
    <w:p w14:paraId="0317B630" w14:textId="2F148911" w:rsidR="00B326D2" w:rsidRPr="00FA2D92" w:rsidRDefault="7D37B541" w:rsidP="3D1952B0">
      <w:pPr>
        <w:pStyle w:val="K-Nadpis3"/>
        <w:numPr>
          <w:ilvl w:val="0"/>
          <w:numId w:val="60"/>
        </w:numPr>
        <w:rPr>
          <w:rFonts w:asciiTheme="minorHAnsi" w:eastAsiaTheme="minorEastAsia" w:hAnsiTheme="minorHAnsi" w:cstheme="minorBidi"/>
          <w:color w:val="auto"/>
          <w:sz w:val="20"/>
          <w:szCs w:val="20"/>
        </w:rPr>
      </w:pPr>
      <w:r w:rsidRPr="3D1952B0">
        <w:rPr>
          <w:rFonts w:asciiTheme="minorHAnsi" w:eastAsiaTheme="minorEastAsia" w:hAnsiTheme="minorHAnsi" w:cstheme="minorBidi"/>
          <w:color w:val="auto"/>
          <w:sz w:val="20"/>
          <w:szCs w:val="20"/>
        </w:rPr>
        <w:t>R</w:t>
      </w:r>
      <w:r w:rsidR="51E33280" w:rsidRPr="3D1952B0">
        <w:rPr>
          <w:rFonts w:asciiTheme="minorHAnsi" w:eastAsiaTheme="minorEastAsia" w:hAnsiTheme="minorHAnsi" w:cstheme="minorBidi"/>
          <w:color w:val="auto"/>
          <w:sz w:val="20"/>
          <w:szCs w:val="20"/>
        </w:rPr>
        <w:t>evitalizace území</w:t>
      </w:r>
      <w:r w:rsidRPr="3D1952B0">
        <w:rPr>
          <w:rFonts w:asciiTheme="minorHAnsi" w:eastAsiaTheme="minorEastAsia" w:hAnsiTheme="minorHAnsi" w:cstheme="minorBidi"/>
          <w:color w:val="auto"/>
          <w:sz w:val="20"/>
          <w:szCs w:val="20"/>
        </w:rPr>
        <w:t xml:space="preserve"> ve vlastnictví obcí a krajů pro </w:t>
      </w:r>
      <w:r w:rsidR="5721E9FA" w:rsidRPr="3D1952B0">
        <w:rPr>
          <w:rFonts w:asciiTheme="minorHAnsi" w:eastAsiaTheme="minorEastAsia" w:hAnsiTheme="minorHAnsi" w:cstheme="minorBidi"/>
          <w:color w:val="auto"/>
          <w:sz w:val="20"/>
          <w:szCs w:val="20"/>
        </w:rPr>
        <w:t xml:space="preserve">nepodnikatelské a </w:t>
      </w:r>
      <w:r w:rsidRPr="3D1952B0">
        <w:rPr>
          <w:rFonts w:asciiTheme="minorHAnsi" w:eastAsiaTheme="minorEastAsia" w:hAnsiTheme="minorHAnsi" w:cstheme="minorBidi"/>
          <w:color w:val="auto"/>
          <w:sz w:val="20"/>
          <w:szCs w:val="20"/>
        </w:rPr>
        <w:t xml:space="preserve">podnikatelské využití </w:t>
      </w:r>
      <w:r w:rsidR="52D98284" w:rsidRPr="3D1952B0">
        <w:rPr>
          <w:rFonts w:asciiTheme="minorHAnsi" w:eastAsiaTheme="minorEastAsia" w:hAnsiTheme="minorHAnsi" w:cstheme="minorBidi"/>
          <w:color w:val="auto"/>
          <w:sz w:val="20"/>
          <w:szCs w:val="20"/>
        </w:rPr>
        <w:t>–</w:t>
      </w:r>
      <w:r w:rsidR="0F553E81" w:rsidRPr="3D1952B0">
        <w:rPr>
          <w:rFonts w:asciiTheme="minorHAnsi" w:eastAsiaTheme="minorEastAsia" w:hAnsiTheme="minorHAnsi" w:cstheme="minorBidi"/>
          <w:color w:val="auto"/>
          <w:sz w:val="20"/>
          <w:szCs w:val="20"/>
        </w:rPr>
        <w:t xml:space="preserve"> </w:t>
      </w:r>
      <w:r w:rsidR="0F553E81" w:rsidRPr="3D1952B0">
        <w:rPr>
          <w:rFonts w:asciiTheme="minorHAnsi" w:eastAsiaTheme="minorEastAsia" w:hAnsiTheme="minorHAnsi" w:cstheme="minorBidi"/>
          <w:b w:val="0"/>
          <w:color w:val="auto"/>
          <w:sz w:val="20"/>
          <w:szCs w:val="20"/>
        </w:rPr>
        <w:t>a</w:t>
      </w:r>
      <w:r w:rsidR="733A295E" w:rsidRPr="3D1952B0">
        <w:rPr>
          <w:rFonts w:asciiTheme="minorHAnsi" w:eastAsiaTheme="minorEastAsia" w:hAnsiTheme="minorHAnsi" w:cstheme="minorBidi"/>
          <w:b w:val="0"/>
          <w:color w:val="auto"/>
          <w:sz w:val="20"/>
          <w:szCs w:val="20"/>
        </w:rPr>
        <w:t xml:space="preserve">gentura </w:t>
      </w:r>
      <w:proofErr w:type="spellStart"/>
      <w:r w:rsidR="26744B54" w:rsidRPr="3D1952B0">
        <w:rPr>
          <w:rFonts w:asciiTheme="minorHAnsi" w:eastAsiaTheme="minorEastAsia" w:hAnsiTheme="minorHAnsi" w:cstheme="minorBidi"/>
          <w:b w:val="0"/>
          <w:color w:val="auto"/>
          <w:sz w:val="20"/>
          <w:szCs w:val="20"/>
        </w:rPr>
        <w:t>C</w:t>
      </w:r>
      <w:r w:rsidRPr="3D1952B0">
        <w:rPr>
          <w:rFonts w:asciiTheme="minorHAnsi" w:eastAsiaTheme="minorEastAsia" w:hAnsiTheme="minorHAnsi" w:cstheme="minorBidi"/>
          <w:b w:val="0"/>
          <w:color w:val="auto"/>
          <w:sz w:val="20"/>
          <w:szCs w:val="20"/>
        </w:rPr>
        <w:t>z</w:t>
      </w:r>
      <w:r w:rsidR="26744B54" w:rsidRPr="3D1952B0">
        <w:rPr>
          <w:rFonts w:asciiTheme="minorHAnsi" w:eastAsiaTheme="minorEastAsia" w:hAnsiTheme="minorHAnsi" w:cstheme="minorBidi"/>
          <w:b w:val="0"/>
          <w:color w:val="auto"/>
          <w:sz w:val="20"/>
          <w:szCs w:val="20"/>
        </w:rPr>
        <w:t>ech</w:t>
      </w:r>
      <w:r w:rsidRPr="3D1952B0">
        <w:rPr>
          <w:rFonts w:asciiTheme="minorHAnsi" w:eastAsiaTheme="minorEastAsia" w:hAnsiTheme="minorHAnsi" w:cstheme="minorBidi"/>
          <w:b w:val="0"/>
          <w:color w:val="auto"/>
          <w:sz w:val="20"/>
          <w:szCs w:val="20"/>
        </w:rPr>
        <w:t>I</w:t>
      </w:r>
      <w:r w:rsidR="26744B54" w:rsidRPr="3D1952B0">
        <w:rPr>
          <w:rFonts w:asciiTheme="minorHAnsi" w:eastAsiaTheme="minorEastAsia" w:hAnsiTheme="minorHAnsi" w:cstheme="minorBidi"/>
          <w:b w:val="0"/>
          <w:color w:val="auto"/>
          <w:sz w:val="20"/>
          <w:szCs w:val="20"/>
        </w:rPr>
        <w:t>nvest</w:t>
      </w:r>
      <w:proofErr w:type="spellEnd"/>
      <w:r w:rsidR="26744B54" w:rsidRPr="3D1952B0">
        <w:rPr>
          <w:rFonts w:asciiTheme="minorHAnsi" w:eastAsiaTheme="minorEastAsia" w:hAnsiTheme="minorHAnsi" w:cstheme="minorBidi"/>
          <w:b w:val="0"/>
          <w:color w:val="auto"/>
          <w:sz w:val="20"/>
          <w:szCs w:val="20"/>
        </w:rPr>
        <w:t xml:space="preserve">, která je podřízenou organizací MPO, </w:t>
      </w:r>
      <w:r w:rsidR="4A54DA22" w:rsidRPr="3D1952B0">
        <w:rPr>
          <w:rFonts w:asciiTheme="minorHAnsi" w:eastAsiaTheme="minorEastAsia" w:hAnsiTheme="minorHAnsi" w:cstheme="minorBidi"/>
          <w:b w:val="0"/>
          <w:color w:val="auto"/>
          <w:sz w:val="20"/>
          <w:szCs w:val="20"/>
        </w:rPr>
        <w:t xml:space="preserve">provedla </w:t>
      </w:r>
      <w:r w:rsidR="7FDD04AB" w:rsidRPr="3D1952B0">
        <w:rPr>
          <w:rFonts w:asciiTheme="minorHAnsi" w:eastAsiaTheme="minorEastAsia" w:hAnsiTheme="minorHAnsi" w:cstheme="minorBidi"/>
          <w:b w:val="0"/>
          <w:color w:val="auto"/>
          <w:sz w:val="20"/>
          <w:szCs w:val="20"/>
        </w:rPr>
        <w:t xml:space="preserve">prostřednictví Národní databáze </w:t>
      </w:r>
      <w:proofErr w:type="spellStart"/>
      <w:r w:rsidR="7FDD04AB" w:rsidRPr="3D1952B0">
        <w:rPr>
          <w:rFonts w:asciiTheme="minorHAnsi" w:eastAsiaTheme="minorEastAsia" w:hAnsiTheme="minorHAnsi" w:cstheme="minorBidi"/>
          <w:b w:val="0"/>
          <w:color w:val="auto"/>
          <w:sz w:val="20"/>
          <w:szCs w:val="20"/>
        </w:rPr>
        <w:t>brownfieldů</w:t>
      </w:r>
      <w:proofErr w:type="spellEnd"/>
      <w:r w:rsidR="7FDD04AB" w:rsidRPr="3D1952B0">
        <w:rPr>
          <w:rFonts w:asciiTheme="minorHAnsi" w:eastAsiaTheme="minorEastAsia" w:hAnsiTheme="minorHAnsi" w:cstheme="minorBidi"/>
          <w:b w:val="0"/>
          <w:color w:val="auto"/>
          <w:sz w:val="20"/>
          <w:szCs w:val="20"/>
        </w:rPr>
        <w:t xml:space="preserve"> </w:t>
      </w:r>
      <w:r w:rsidR="4A54DA22" w:rsidRPr="3D1952B0">
        <w:rPr>
          <w:rFonts w:asciiTheme="minorHAnsi" w:eastAsiaTheme="minorEastAsia" w:hAnsiTheme="minorHAnsi" w:cstheme="minorBidi"/>
          <w:b w:val="0"/>
          <w:color w:val="auto"/>
          <w:sz w:val="20"/>
          <w:szCs w:val="20"/>
        </w:rPr>
        <w:t>analýzu absorpční kapacit</w:t>
      </w:r>
      <w:r w:rsidR="7FDD04AB" w:rsidRPr="3D1952B0">
        <w:rPr>
          <w:rFonts w:asciiTheme="minorHAnsi" w:eastAsiaTheme="minorEastAsia" w:hAnsiTheme="minorHAnsi" w:cstheme="minorBidi"/>
          <w:b w:val="0"/>
          <w:color w:val="auto"/>
          <w:sz w:val="20"/>
          <w:szCs w:val="20"/>
        </w:rPr>
        <w:t xml:space="preserve">y projektů ve veřejném vlastnictví vhodných pro financování v rámci </w:t>
      </w:r>
      <w:r w:rsidR="091A9839" w:rsidRPr="3D1952B0">
        <w:rPr>
          <w:rFonts w:asciiTheme="minorHAnsi" w:eastAsiaTheme="minorEastAsia" w:hAnsiTheme="minorHAnsi" w:cstheme="minorBidi"/>
          <w:b w:val="0"/>
          <w:color w:val="auto"/>
          <w:sz w:val="20"/>
          <w:szCs w:val="20"/>
        </w:rPr>
        <w:t>investic 2.8.</w:t>
      </w:r>
      <w:r w:rsidR="3A3B75AD" w:rsidRPr="3D1952B0">
        <w:rPr>
          <w:rFonts w:asciiTheme="minorHAnsi" w:eastAsiaTheme="minorEastAsia" w:hAnsiTheme="minorHAnsi" w:cstheme="minorBidi"/>
          <w:b w:val="0"/>
          <w:color w:val="auto"/>
          <w:sz w:val="20"/>
          <w:szCs w:val="20"/>
        </w:rPr>
        <w:t>2</w:t>
      </w:r>
      <w:r w:rsidR="678509B3" w:rsidRPr="3D1952B0">
        <w:rPr>
          <w:rFonts w:asciiTheme="minorHAnsi" w:eastAsiaTheme="minorEastAsia" w:hAnsiTheme="minorHAnsi" w:cstheme="minorBidi"/>
          <w:b w:val="0"/>
          <w:color w:val="auto"/>
          <w:sz w:val="20"/>
          <w:szCs w:val="20"/>
        </w:rPr>
        <w:t xml:space="preserve"> a 2.8.3</w:t>
      </w:r>
      <w:r w:rsidR="7FDD04AB" w:rsidRPr="3D1952B0">
        <w:rPr>
          <w:rFonts w:asciiTheme="minorHAnsi" w:eastAsiaTheme="minorEastAsia" w:hAnsiTheme="minorHAnsi" w:cstheme="minorBidi"/>
          <w:b w:val="0"/>
          <w:color w:val="auto"/>
          <w:sz w:val="20"/>
          <w:szCs w:val="20"/>
        </w:rPr>
        <w:t xml:space="preserve">. Kritéria pro výběr projektů byla následující: </w:t>
      </w:r>
    </w:p>
    <w:p w14:paraId="1A6FE469" w14:textId="77777777" w:rsidR="00B326D2" w:rsidRDefault="5CA775F2" w:rsidP="3EE66962">
      <w:pPr>
        <w:pStyle w:val="K-Nadpis3"/>
        <w:numPr>
          <w:ilvl w:val="0"/>
          <w:numId w:val="58"/>
        </w:numPr>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velikost lokality nad 500 m</w:t>
      </w:r>
      <w:r w:rsidRPr="3EE66962">
        <w:rPr>
          <w:rFonts w:asciiTheme="minorHAnsi" w:eastAsiaTheme="minorEastAsia" w:hAnsiTheme="minorHAnsi" w:cstheme="minorBidi"/>
          <w:b w:val="0"/>
          <w:color w:val="auto"/>
          <w:sz w:val="20"/>
          <w:szCs w:val="20"/>
          <w:vertAlign w:val="superscript"/>
        </w:rPr>
        <w:t>2</w:t>
      </w:r>
      <w:r w:rsidRPr="3EE66962">
        <w:rPr>
          <w:rFonts w:asciiTheme="minorHAnsi" w:eastAsiaTheme="minorEastAsia" w:hAnsiTheme="minorHAnsi" w:cstheme="minorBidi"/>
          <w:b w:val="0"/>
          <w:color w:val="auto"/>
          <w:sz w:val="20"/>
          <w:szCs w:val="20"/>
        </w:rPr>
        <w:t xml:space="preserve">, </w:t>
      </w:r>
    </w:p>
    <w:p w14:paraId="7D376BCC" w14:textId="6C664C92" w:rsidR="00B326D2" w:rsidRDefault="5CA775F2" w:rsidP="3EE66962">
      <w:pPr>
        <w:pStyle w:val="K-Nadpis3"/>
        <w:numPr>
          <w:ilvl w:val="0"/>
          <w:numId w:val="58"/>
        </w:numPr>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alespoň částečný soulad s územně-plánovací dokumentací, </w:t>
      </w:r>
    </w:p>
    <w:p w14:paraId="57CB1B41" w14:textId="6AE54720" w:rsidR="00B326D2" w:rsidRDefault="5CA775F2" w:rsidP="3EE66962">
      <w:pPr>
        <w:pStyle w:val="K-Nadpis3"/>
        <w:numPr>
          <w:ilvl w:val="0"/>
          <w:numId w:val="58"/>
        </w:numPr>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veřejné vlastnictví lokalit,</w:t>
      </w:r>
    </w:p>
    <w:p w14:paraId="78E69374" w14:textId="261E0F20" w:rsidR="00B326D2" w:rsidRDefault="5CA775F2" w:rsidP="3EE66962">
      <w:pPr>
        <w:pStyle w:val="K-Nadpis3"/>
        <w:numPr>
          <w:ilvl w:val="0"/>
          <w:numId w:val="58"/>
        </w:numPr>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projekty aktualizované vlastníkem v posledních dvou letech</w:t>
      </w:r>
      <w:r w:rsidR="7E1C27CC" w:rsidRPr="3EE66962">
        <w:rPr>
          <w:rFonts w:asciiTheme="minorHAnsi" w:eastAsiaTheme="minorEastAsia" w:hAnsiTheme="minorHAnsi" w:cstheme="minorBidi"/>
          <w:b w:val="0"/>
          <w:color w:val="auto"/>
          <w:sz w:val="20"/>
          <w:szCs w:val="20"/>
        </w:rPr>
        <w:t>.</w:t>
      </w:r>
    </w:p>
    <w:p w14:paraId="752F5D2C" w14:textId="5284CF3C" w:rsidR="00B326D2" w:rsidRDefault="5CA775F2" w:rsidP="3EE66962">
      <w:pPr>
        <w:pStyle w:val="K-Nadpis3"/>
        <w:ind w:left="360"/>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Na základě průzkumu je v databázi celkem 508 lokalit, dalších 500 připravených lokalit by přibylo, kdyby byl</w:t>
      </w:r>
      <w:r w:rsidR="13C49197" w:rsidRPr="3EE66962">
        <w:rPr>
          <w:rFonts w:asciiTheme="minorHAnsi" w:eastAsiaTheme="minorEastAsia" w:hAnsiTheme="minorHAnsi" w:cstheme="minorBidi"/>
          <w:b w:val="0"/>
          <w:color w:val="auto"/>
          <w:sz w:val="20"/>
          <w:szCs w:val="20"/>
        </w:rPr>
        <w:t>a připuštěna</w:t>
      </w:r>
      <w:r w:rsidRPr="3EE66962">
        <w:rPr>
          <w:rFonts w:asciiTheme="minorHAnsi" w:eastAsiaTheme="minorEastAsia" w:hAnsiTheme="minorHAnsi" w:cstheme="minorBidi"/>
          <w:b w:val="0"/>
          <w:color w:val="auto"/>
          <w:sz w:val="20"/>
          <w:szCs w:val="20"/>
        </w:rPr>
        <w:t xml:space="preserve"> alespoň částečná sanace ekologických zátěží. </w:t>
      </w:r>
      <w:r w:rsidR="13C49197" w:rsidRPr="3EE66962">
        <w:rPr>
          <w:rFonts w:asciiTheme="minorHAnsi" w:eastAsiaTheme="minorEastAsia" w:hAnsiTheme="minorHAnsi" w:cstheme="minorBidi"/>
          <w:b w:val="0"/>
          <w:color w:val="auto"/>
          <w:sz w:val="20"/>
          <w:szCs w:val="20"/>
        </w:rPr>
        <w:t xml:space="preserve">Programy jsou plánovány tak, aby byl umožněn také výkup těchto lokalit, čímž absorpční kapacita ještě naroste (graf č. </w:t>
      </w:r>
      <w:r w:rsidR="6AC3311D" w:rsidRPr="3EE66962">
        <w:rPr>
          <w:rFonts w:asciiTheme="minorHAnsi" w:eastAsiaTheme="minorEastAsia" w:hAnsiTheme="minorHAnsi" w:cstheme="minorBidi"/>
          <w:b w:val="0"/>
          <w:color w:val="auto"/>
          <w:sz w:val="20"/>
          <w:szCs w:val="20"/>
        </w:rPr>
        <w:t>3</w:t>
      </w:r>
      <w:r w:rsidR="13C49197" w:rsidRPr="3EE66962">
        <w:rPr>
          <w:rFonts w:asciiTheme="minorHAnsi" w:eastAsiaTheme="minorEastAsia" w:hAnsiTheme="minorHAnsi" w:cstheme="minorBidi"/>
          <w:b w:val="0"/>
          <w:color w:val="auto"/>
          <w:sz w:val="20"/>
          <w:szCs w:val="20"/>
        </w:rPr>
        <w:t xml:space="preserve"> ukazuje strukturu vlastnictví </w:t>
      </w:r>
      <w:proofErr w:type="spellStart"/>
      <w:r w:rsidR="13C49197" w:rsidRPr="3EE66962">
        <w:rPr>
          <w:rFonts w:asciiTheme="minorHAnsi" w:eastAsiaTheme="minorEastAsia" w:hAnsiTheme="minorHAnsi" w:cstheme="minorBidi"/>
          <w:b w:val="0"/>
          <w:color w:val="auto"/>
          <w:sz w:val="20"/>
          <w:szCs w:val="20"/>
        </w:rPr>
        <w:t>brownfieldů</w:t>
      </w:r>
      <w:proofErr w:type="spellEnd"/>
      <w:r w:rsidR="13C49197" w:rsidRPr="3EE66962">
        <w:rPr>
          <w:rFonts w:asciiTheme="minorHAnsi" w:eastAsiaTheme="minorEastAsia" w:hAnsiTheme="minorHAnsi" w:cstheme="minorBidi"/>
          <w:b w:val="0"/>
          <w:color w:val="auto"/>
          <w:sz w:val="20"/>
          <w:szCs w:val="20"/>
        </w:rPr>
        <w:t xml:space="preserve"> registrovaných v Národní databázi </w:t>
      </w:r>
      <w:proofErr w:type="spellStart"/>
      <w:r w:rsidR="13C49197" w:rsidRPr="3EE66962">
        <w:rPr>
          <w:rFonts w:asciiTheme="minorHAnsi" w:eastAsiaTheme="minorEastAsia" w:hAnsiTheme="minorHAnsi" w:cstheme="minorBidi"/>
          <w:b w:val="0"/>
          <w:color w:val="auto"/>
          <w:sz w:val="20"/>
          <w:szCs w:val="20"/>
        </w:rPr>
        <w:t>brownfieldů</w:t>
      </w:r>
      <w:proofErr w:type="spellEnd"/>
      <w:r w:rsidR="13C49197" w:rsidRPr="3EE66962">
        <w:rPr>
          <w:rFonts w:asciiTheme="minorHAnsi" w:eastAsiaTheme="minorEastAsia" w:hAnsiTheme="minorHAnsi" w:cstheme="minorBidi"/>
          <w:b w:val="0"/>
          <w:color w:val="auto"/>
          <w:sz w:val="20"/>
          <w:szCs w:val="20"/>
        </w:rPr>
        <w:t xml:space="preserve">). Výkup nemovitosti je totiž pro obec často jedinou možností, jak vyřešit problémovou lokalitu, která roky chátrá bez zájmu majitele. </w:t>
      </w:r>
    </w:p>
    <w:p w14:paraId="44CC0186" w14:textId="56BB0454" w:rsidR="00E30B3C" w:rsidRDefault="001222FF" w:rsidP="3EE66962">
      <w:pPr>
        <w:pStyle w:val="K-Nadpis3"/>
        <w:rPr>
          <w:rFonts w:asciiTheme="minorHAnsi" w:eastAsiaTheme="minorEastAsia" w:hAnsiTheme="minorHAnsi" w:cstheme="minorBidi"/>
          <w:b w:val="0"/>
          <w:color w:val="auto"/>
          <w:sz w:val="20"/>
          <w:szCs w:val="20"/>
        </w:rPr>
      </w:pPr>
      <w:r>
        <w:rPr>
          <w:b w:val="0"/>
          <w:noProof/>
          <w:lang w:eastAsia="cs-CZ"/>
        </w:rPr>
        <w:drawing>
          <wp:inline distT="0" distB="0" distL="0" distR="0" wp14:anchorId="5FA20014" wp14:editId="6ECA4F81">
            <wp:extent cx="5995035" cy="2691442"/>
            <wp:effectExtent l="0" t="0" r="5715" b="13970"/>
            <wp:docPr id="3" name="Graf 3">
              <a:extLst xmlns:a="http://schemas.openxmlformats.org/drawingml/2006/main">
                <a:ext uri="{FF2B5EF4-FFF2-40B4-BE49-F238E27FC236}">
                  <a16:creationId xmlns:a16="http://schemas.microsoft.com/office/drawing/2014/main" id="{55BF9640-E46F-4799-ACA7-9A98CEC4A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CDDFAE" w14:textId="25BC20DA" w:rsidR="0084170F" w:rsidRDefault="0084170F" w:rsidP="3EE66962">
      <w:pPr>
        <w:pStyle w:val="K-Nadpis3"/>
        <w:rPr>
          <w:rFonts w:asciiTheme="minorHAnsi" w:eastAsiaTheme="minorEastAsia" w:hAnsiTheme="minorHAnsi" w:cstheme="minorBidi"/>
          <w:b w:val="0"/>
          <w:color w:val="auto"/>
          <w:sz w:val="20"/>
          <w:szCs w:val="20"/>
        </w:rPr>
      </w:pPr>
    </w:p>
    <w:p w14:paraId="75616F84" w14:textId="5C373B71" w:rsidR="002C20CF" w:rsidRPr="00ED337B" w:rsidRDefault="1339DDA4" w:rsidP="3EE66962">
      <w:pPr>
        <w:pStyle w:val="K-Nadpis3"/>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 xml:space="preserve">b) </w:t>
      </w:r>
      <w:r w:rsidR="0746F60A" w:rsidRPr="3EE66962">
        <w:rPr>
          <w:rFonts w:asciiTheme="minorHAnsi" w:eastAsiaTheme="minorEastAsia" w:hAnsiTheme="minorHAnsi" w:cstheme="minorBidi"/>
          <w:sz w:val="20"/>
          <w:szCs w:val="20"/>
        </w:rPr>
        <w:t>Cíle</w:t>
      </w:r>
      <w:r w:rsidRPr="3EE66962">
        <w:rPr>
          <w:rFonts w:asciiTheme="minorHAnsi" w:eastAsiaTheme="minorEastAsia" w:hAnsiTheme="minorHAnsi" w:cstheme="minorBidi"/>
          <w:sz w:val="20"/>
          <w:szCs w:val="20"/>
        </w:rPr>
        <w:t xml:space="preserve"> </w:t>
      </w:r>
    </w:p>
    <w:p w14:paraId="25A6F3C9" w14:textId="0A13737F" w:rsidR="00886CC8" w:rsidRPr="00886CC8" w:rsidRDefault="52229FCA"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Cílem komponenty je vytvořit podmínky pro regeneraci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které povedou k efektivnímu využití v současnosti degradovaného a nedostatečně využívaného území</w:t>
      </w:r>
      <w:r w:rsidR="0CDE3B55" w:rsidRPr="3EE66962">
        <w:rPr>
          <w:rFonts w:asciiTheme="minorHAnsi" w:eastAsiaTheme="minorEastAsia" w:hAnsiTheme="minorHAnsi" w:cstheme="minorBidi"/>
          <w:b w:val="0"/>
          <w:color w:val="auto"/>
          <w:sz w:val="20"/>
          <w:szCs w:val="20"/>
        </w:rPr>
        <w:t xml:space="preserve"> a výrazně tak přispějí k </w:t>
      </w:r>
      <w:r w:rsidRPr="3EE66962">
        <w:rPr>
          <w:rFonts w:asciiTheme="minorHAnsi" w:eastAsiaTheme="minorEastAsia" w:hAnsiTheme="minorHAnsi" w:cstheme="minorBidi"/>
          <w:b w:val="0"/>
          <w:color w:val="auto"/>
          <w:sz w:val="20"/>
          <w:szCs w:val="20"/>
        </w:rPr>
        <w:t xml:space="preserve">efektivnímu a environmentálně šetrnějšímu využití zdrojů. </w:t>
      </w:r>
    </w:p>
    <w:p w14:paraId="5168E060" w14:textId="273DA30F" w:rsidR="00886CC8" w:rsidRPr="00886CC8" w:rsidRDefault="52229FCA"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Re</w:t>
      </w:r>
      <w:r w:rsidR="02A20A27" w:rsidRPr="3EE66962">
        <w:rPr>
          <w:rFonts w:asciiTheme="minorHAnsi" w:eastAsiaTheme="minorEastAsia" w:hAnsiTheme="minorHAnsi" w:cstheme="minorBidi"/>
          <w:b w:val="0"/>
          <w:color w:val="auto"/>
          <w:sz w:val="20"/>
          <w:szCs w:val="20"/>
        </w:rPr>
        <w:t xml:space="preserve">vitalizace území </w:t>
      </w:r>
      <w:r w:rsidRPr="3EE66962">
        <w:rPr>
          <w:rFonts w:asciiTheme="minorHAnsi" w:eastAsiaTheme="minorEastAsia" w:hAnsiTheme="minorHAnsi" w:cstheme="minorBidi"/>
          <w:b w:val="0"/>
          <w:color w:val="auto"/>
          <w:sz w:val="20"/>
          <w:szCs w:val="20"/>
        </w:rPr>
        <w:t xml:space="preserve">přispěje k zahušťování zastavěného prostředí měst a obcí a tím k efektivnějšímu využívání technické a dopravní infrastruktury, snížení nákladů na jejich provoz, snížení spotřeby energií a zvýšení energetické účinnosti. Vytvoření podmínek pro rozvoj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pomůže </w:t>
      </w:r>
      <w:r w:rsidR="51F5F804" w:rsidRPr="3EE66962">
        <w:rPr>
          <w:rFonts w:asciiTheme="minorHAnsi" w:eastAsiaTheme="minorEastAsia" w:hAnsiTheme="minorHAnsi" w:cstheme="minorBidi"/>
          <w:b w:val="0"/>
          <w:color w:val="auto"/>
          <w:sz w:val="20"/>
          <w:szCs w:val="20"/>
        </w:rPr>
        <w:t>snížit zábor</w:t>
      </w:r>
      <w:r w:rsidRPr="3EE66962">
        <w:rPr>
          <w:rFonts w:asciiTheme="minorHAnsi" w:eastAsiaTheme="minorEastAsia" w:hAnsiTheme="minorHAnsi" w:cstheme="minorBidi"/>
          <w:b w:val="0"/>
          <w:color w:val="auto"/>
          <w:sz w:val="20"/>
          <w:szCs w:val="20"/>
        </w:rPr>
        <w:t xml:space="preserve"> zemědělské půdy </w:t>
      </w:r>
      <w:r w:rsidR="51F5F804" w:rsidRPr="3EE66962">
        <w:rPr>
          <w:rFonts w:asciiTheme="minorHAnsi" w:eastAsiaTheme="minorEastAsia" w:hAnsiTheme="minorHAnsi" w:cstheme="minorBidi"/>
          <w:b w:val="0"/>
          <w:color w:val="auto"/>
          <w:sz w:val="20"/>
          <w:szCs w:val="20"/>
        </w:rPr>
        <w:t>a bude mít</w:t>
      </w:r>
      <w:r w:rsidRPr="3EE66962">
        <w:rPr>
          <w:rFonts w:asciiTheme="minorHAnsi" w:eastAsiaTheme="minorEastAsia" w:hAnsiTheme="minorHAnsi" w:cstheme="minorBidi"/>
          <w:b w:val="0"/>
          <w:color w:val="auto"/>
          <w:sz w:val="20"/>
          <w:szCs w:val="20"/>
        </w:rPr>
        <w:t xml:space="preserve"> pozitivními důsledky </w:t>
      </w:r>
      <w:r w:rsidR="0CDE3B55" w:rsidRPr="3EE66962">
        <w:rPr>
          <w:rFonts w:asciiTheme="minorHAnsi" w:eastAsiaTheme="minorEastAsia" w:hAnsiTheme="minorHAnsi" w:cstheme="minorBidi"/>
          <w:b w:val="0"/>
          <w:color w:val="auto"/>
          <w:sz w:val="20"/>
          <w:szCs w:val="20"/>
        </w:rPr>
        <w:t>na</w:t>
      </w:r>
      <w:r w:rsidRPr="3EE66962">
        <w:rPr>
          <w:rFonts w:asciiTheme="minorHAnsi" w:eastAsiaTheme="minorEastAsia" w:hAnsiTheme="minorHAnsi" w:cstheme="minorBidi"/>
          <w:b w:val="0"/>
          <w:color w:val="auto"/>
          <w:sz w:val="20"/>
          <w:szCs w:val="20"/>
        </w:rPr>
        <w:t xml:space="preserve"> globální změny klimatu a vyváření lepších místních podmínek pro adaptaci na klimatické změny. </w:t>
      </w:r>
    </w:p>
    <w:p w14:paraId="428A24DF" w14:textId="4565CC7B" w:rsidR="0B8AEEB9" w:rsidRDefault="779723E1" w:rsidP="3D1952B0">
      <w:pPr>
        <w:pStyle w:val="K-Nadpis3"/>
        <w:rPr>
          <w:rFonts w:asciiTheme="minorHAnsi" w:eastAsiaTheme="minorEastAsia" w:hAnsiTheme="minorHAnsi" w:cstheme="minorBidi"/>
          <w:color w:val="000000" w:themeColor="text1"/>
          <w:sz w:val="20"/>
          <w:szCs w:val="20"/>
        </w:rPr>
      </w:pPr>
      <w:r w:rsidRPr="3D1952B0">
        <w:rPr>
          <w:rFonts w:asciiTheme="minorHAnsi" w:eastAsiaTheme="minorEastAsia" w:hAnsiTheme="minorHAnsi" w:cstheme="minorBidi"/>
          <w:b w:val="0"/>
          <w:color w:val="auto"/>
          <w:sz w:val="20"/>
          <w:szCs w:val="20"/>
        </w:rPr>
        <w:t xml:space="preserve">Spolu s vybudováním přírodního úložiště uhlíku </w:t>
      </w:r>
      <w:r w:rsidR="639FA9D3" w:rsidRPr="3D1952B0">
        <w:rPr>
          <w:rFonts w:asciiTheme="minorHAnsi" w:eastAsiaTheme="minorEastAsia" w:hAnsiTheme="minorHAnsi" w:cstheme="minorBidi"/>
          <w:b w:val="0"/>
          <w:color w:val="auto"/>
          <w:sz w:val="20"/>
          <w:szCs w:val="20"/>
        </w:rPr>
        <w:t>a energeticky účinnou renovací budov</w:t>
      </w:r>
      <w:r w:rsidR="5B8469DD" w:rsidRPr="3D1952B0">
        <w:rPr>
          <w:rFonts w:asciiTheme="minorHAnsi" w:eastAsiaTheme="minorEastAsia" w:hAnsiTheme="minorHAnsi" w:cstheme="minorBidi"/>
          <w:b w:val="0"/>
          <w:color w:val="auto"/>
          <w:sz w:val="20"/>
          <w:szCs w:val="20"/>
        </w:rPr>
        <w:t>, příp. budování energeticky účinných budov</w:t>
      </w:r>
      <w:r w:rsidR="4D9E4A3D" w:rsidRPr="3D1952B0">
        <w:rPr>
          <w:rFonts w:asciiTheme="minorHAnsi" w:eastAsiaTheme="minorEastAsia" w:hAnsiTheme="minorHAnsi" w:cstheme="minorBidi"/>
          <w:b w:val="0"/>
          <w:color w:val="auto"/>
          <w:sz w:val="20"/>
          <w:szCs w:val="20"/>
        </w:rPr>
        <w:t>,</w:t>
      </w:r>
      <w:r w:rsidR="639FA9D3" w:rsidRPr="3D1952B0">
        <w:rPr>
          <w:rFonts w:asciiTheme="minorHAnsi" w:eastAsiaTheme="minorEastAsia" w:hAnsiTheme="minorHAnsi" w:cstheme="minorBidi"/>
          <w:b w:val="0"/>
          <w:color w:val="auto"/>
          <w:sz w:val="20"/>
          <w:szCs w:val="20"/>
        </w:rPr>
        <w:t xml:space="preserve"> </w:t>
      </w:r>
      <w:r w:rsidRPr="3D1952B0">
        <w:rPr>
          <w:rFonts w:asciiTheme="minorHAnsi" w:eastAsiaTheme="minorEastAsia" w:hAnsiTheme="minorHAnsi" w:cstheme="minorBidi"/>
          <w:b w:val="0"/>
          <w:color w:val="auto"/>
          <w:sz w:val="20"/>
          <w:szCs w:val="20"/>
        </w:rPr>
        <w:t>se jedná o reformu s velmi pozitivním dopadem na životní prostředí.</w:t>
      </w:r>
    </w:p>
    <w:p w14:paraId="571B66E8" w14:textId="3C90EBDD" w:rsidR="00886CC8" w:rsidRDefault="49D4FE5E"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Re</w:t>
      </w:r>
      <w:r w:rsidR="02A20A27" w:rsidRPr="3EE66962">
        <w:rPr>
          <w:rFonts w:asciiTheme="minorHAnsi" w:eastAsiaTheme="minorEastAsia" w:hAnsiTheme="minorHAnsi" w:cstheme="minorBidi"/>
          <w:b w:val="0"/>
          <w:color w:val="auto"/>
          <w:sz w:val="20"/>
          <w:szCs w:val="20"/>
        </w:rPr>
        <w:t xml:space="preserve">vitalizace území </w:t>
      </w:r>
      <w:r w:rsidRPr="3EE66962">
        <w:rPr>
          <w:rFonts w:asciiTheme="minorHAnsi" w:eastAsiaTheme="minorEastAsia" w:hAnsiTheme="minorHAnsi" w:cstheme="minorBidi"/>
          <w:b w:val="0"/>
          <w:color w:val="auto"/>
          <w:sz w:val="20"/>
          <w:szCs w:val="20"/>
        </w:rPr>
        <w:t xml:space="preserve">změní negativní vnímání lokalit, zvýší </w:t>
      </w:r>
      <w:r w:rsidR="78BDA7C8" w:rsidRPr="3EE66962">
        <w:rPr>
          <w:rFonts w:asciiTheme="minorHAnsi" w:eastAsiaTheme="minorEastAsia" w:hAnsiTheme="minorHAnsi" w:cstheme="minorBidi"/>
          <w:b w:val="0"/>
          <w:color w:val="auto"/>
          <w:sz w:val="20"/>
          <w:szCs w:val="20"/>
        </w:rPr>
        <w:t xml:space="preserve">jejich </w:t>
      </w:r>
      <w:r w:rsidRPr="3EE66962">
        <w:rPr>
          <w:rFonts w:asciiTheme="minorHAnsi" w:eastAsiaTheme="minorEastAsia" w:hAnsiTheme="minorHAnsi" w:cstheme="minorBidi"/>
          <w:b w:val="0"/>
          <w:color w:val="auto"/>
          <w:sz w:val="20"/>
          <w:szCs w:val="20"/>
        </w:rPr>
        <w:t>atraktivitu pro investory a přinese pozitivní multiplikační efekty</w:t>
      </w:r>
      <w:r w:rsidR="34851CEA" w:rsidRPr="3EE66962">
        <w:rPr>
          <w:rFonts w:asciiTheme="minorHAnsi" w:eastAsiaTheme="minorEastAsia" w:hAnsiTheme="minorHAnsi" w:cstheme="minorBidi"/>
          <w:b w:val="0"/>
          <w:color w:val="auto"/>
          <w:sz w:val="20"/>
          <w:szCs w:val="20"/>
        </w:rPr>
        <w:t xml:space="preserve"> a velmi vysoké přínosy pro kvalitu života obyvatel</w:t>
      </w:r>
      <w:r w:rsidRPr="3EE66962">
        <w:rPr>
          <w:rFonts w:asciiTheme="minorHAnsi" w:eastAsiaTheme="minorEastAsia" w:hAnsiTheme="minorHAnsi" w:cstheme="minorBidi"/>
          <w:b w:val="0"/>
          <w:color w:val="auto"/>
          <w:sz w:val="20"/>
          <w:szCs w:val="20"/>
        </w:rPr>
        <w:t xml:space="preserve">. Regenerované plochy budou využity pro podporu ekonomického rozvoje a podnikání a rovněž pro nabídku nekomerčních služeb. Úspěšně dokončená </w:t>
      </w:r>
      <w:r w:rsidR="76615F08" w:rsidRPr="3EE66962">
        <w:rPr>
          <w:rFonts w:asciiTheme="minorHAnsi" w:eastAsiaTheme="minorEastAsia" w:hAnsiTheme="minorHAnsi" w:cstheme="minorBidi"/>
          <w:b w:val="0"/>
          <w:color w:val="auto"/>
          <w:sz w:val="20"/>
          <w:szCs w:val="20"/>
        </w:rPr>
        <w:t>revitalizace území</w:t>
      </w:r>
      <w:r w:rsidRPr="3EE66962">
        <w:rPr>
          <w:rFonts w:asciiTheme="minorHAnsi" w:eastAsiaTheme="minorEastAsia" w:hAnsiTheme="minorHAnsi" w:cstheme="minorBidi"/>
          <w:b w:val="0"/>
          <w:color w:val="auto"/>
          <w:sz w:val="20"/>
          <w:szCs w:val="20"/>
        </w:rPr>
        <w:t xml:space="preserve"> zvýší kvalitu života obyvatel, což bude mít příznivé důsledky pro migraci obyvatel a sociální a kulturní prostředí. </w:t>
      </w:r>
    </w:p>
    <w:p w14:paraId="2E9E5C39" w14:textId="444ECB65" w:rsidR="00E8172C" w:rsidRPr="008A4209" w:rsidRDefault="7E1DD39A" w:rsidP="3D1952B0">
      <w:pPr>
        <w:pStyle w:val="K-Nadpis3"/>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color w:val="auto"/>
          <w:sz w:val="20"/>
          <w:szCs w:val="20"/>
        </w:rPr>
        <w:lastRenderedPageBreak/>
        <w:t>Cílem komponenty</w:t>
      </w:r>
      <w:r w:rsidR="35308BFD" w:rsidRPr="3D1952B0">
        <w:rPr>
          <w:rFonts w:asciiTheme="minorHAnsi" w:eastAsiaTheme="minorEastAsia" w:hAnsiTheme="minorHAnsi" w:cstheme="minorBidi"/>
          <w:color w:val="auto"/>
          <w:sz w:val="20"/>
          <w:szCs w:val="20"/>
        </w:rPr>
        <w:t xml:space="preserve"> (investice 2.8.1)</w:t>
      </w:r>
      <w:r w:rsidRPr="3D1952B0">
        <w:rPr>
          <w:rFonts w:asciiTheme="minorHAnsi" w:eastAsiaTheme="minorEastAsia" w:hAnsiTheme="minorHAnsi" w:cstheme="minorBidi"/>
          <w:color w:val="auto"/>
          <w:sz w:val="20"/>
          <w:szCs w:val="20"/>
        </w:rPr>
        <w:t xml:space="preserve"> je zaměřit se na velké strategické projekty </w:t>
      </w:r>
      <w:r w:rsidR="76F118C5" w:rsidRPr="3D1952B0">
        <w:rPr>
          <w:rFonts w:asciiTheme="minorHAnsi" w:eastAsiaTheme="minorEastAsia" w:hAnsiTheme="minorHAnsi" w:cstheme="minorBidi"/>
          <w:color w:val="auto"/>
          <w:sz w:val="20"/>
          <w:szCs w:val="20"/>
        </w:rPr>
        <w:t>revitalizace území</w:t>
      </w:r>
      <w:r w:rsidRPr="3D1952B0">
        <w:rPr>
          <w:rFonts w:asciiTheme="minorHAnsi" w:eastAsiaTheme="minorEastAsia" w:hAnsiTheme="minorHAnsi" w:cstheme="minorBidi"/>
          <w:b w:val="0"/>
          <w:color w:val="auto"/>
          <w:sz w:val="20"/>
          <w:szCs w:val="20"/>
        </w:rPr>
        <w:t xml:space="preserve">, které by bez impulsu </w:t>
      </w:r>
      <w:r w:rsidR="508971A7" w:rsidRPr="3D1952B0">
        <w:rPr>
          <w:rFonts w:asciiTheme="minorHAnsi" w:eastAsiaTheme="minorEastAsia" w:hAnsiTheme="minorHAnsi" w:cstheme="minorBidi"/>
          <w:b w:val="0"/>
          <w:color w:val="auto"/>
          <w:sz w:val="20"/>
          <w:szCs w:val="20"/>
        </w:rPr>
        <w:t xml:space="preserve">v podobě státní podpory </w:t>
      </w:r>
      <w:r w:rsidRPr="3D1952B0">
        <w:rPr>
          <w:rFonts w:asciiTheme="minorHAnsi" w:eastAsiaTheme="minorEastAsia" w:hAnsiTheme="minorHAnsi" w:cstheme="minorBidi"/>
          <w:b w:val="0"/>
          <w:color w:val="auto"/>
          <w:sz w:val="20"/>
          <w:szCs w:val="20"/>
        </w:rPr>
        <w:t xml:space="preserve">dále chátraly. </w:t>
      </w:r>
      <w:r w:rsidR="621EF032" w:rsidRPr="3D1952B0">
        <w:rPr>
          <w:rFonts w:asciiTheme="minorHAnsi" w:eastAsiaTheme="minorEastAsia" w:hAnsiTheme="minorHAnsi" w:cstheme="minorBidi"/>
          <w:b w:val="0"/>
          <w:color w:val="auto"/>
          <w:sz w:val="20"/>
          <w:szCs w:val="20"/>
        </w:rPr>
        <w:t>Jedná se o velké areály v</w:t>
      </w:r>
      <w:r w:rsidR="1FC1DA40" w:rsidRPr="3D1952B0">
        <w:rPr>
          <w:rFonts w:asciiTheme="minorHAnsi" w:eastAsiaTheme="minorEastAsia" w:hAnsiTheme="minorHAnsi" w:cstheme="minorBidi"/>
          <w:b w:val="0"/>
          <w:color w:val="auto"/>
          <w:sz w:val="20"/>
          <w:szCs w:val="20"/>
        </w:rPr>
        <w:t> </w:t>
      </w:r>
      <w:r w:rsidR="621EF032" w:rsidRPr="3D1952B0">
        <w:rPr>
          <w:rFonts w:asciiTheme="minorHAnsi" w:eastAsiaTheme="minorEastAsia" w:hAnsiTheme="minorHAnsi" w:cstheme="minorBidi"/>
          <w:b w:val="0"/>
          <w:color w:val="auto"/>
          <w:sz w:val="20"/>
          <w:szCs w:val="20"/>
        </w:rPr>
        <w:t>kombinovaném</w:t>
      </w:r>
      <w:r w:rsidR="1FC1DA40" w:rsidRPr="3D1952B0">
        <w:rPr>
          <w:rFonts w:asciiTheme="minorHAnsi" w:eastAsiaTheme="minorEastAsia" w:hAnsiTheme="minorHAnsi" w:cstheme="minorBidi"/>
          <w:b w:val="0"/>
          <w:color w:val="auto"/>
          <w:sz w:val="20"/>
          <w:szCs w:val="20"/>
        </w:rPr>
        <w:t xml:space="preserve"> </w:t>
      </w:r>
      <w:r w:rsidR="621EF032" w:rsidRPr="3D1952B0">
        <w:rPr>
          <w:rFonts w:asciiTheme="minorHAnsi" w:eastAsiaTheme="minorEastAsia" w:hAnsiTheme="minorHAnsi" w:cstheme="minorBidi"/>
          <w:b w:val="0"/>
          <w:color w:val="auto"/>
          <w:sz w:val="20"/>
          <w:szCs w:val="20"/>
        </w:rPr>
        <w:t>/</w:t>
      </w:r>
      <w:r w:rsidR="3F013177" w:rsidRPr="3D1952B0">
        <w:rPr>
          <w:rFonts w:asciiTheme="minorHAnsi" w:eastAsiaTheme="minorEastAsia" w:hAnsiTheme="minorHAnsi" w:cstheme="minorBidi"/>
          <w:b w:val="0"/>
          <w:color w:val="auto"/>
          <w:sz w:val="20"/>
          <w:szCs w:val="20"/>
        </w:rPr>
        <w:t xml:space="preserve"> </w:t>
      </w:r>
      <w:r w:rsidR="621EF032" w:rsidRPr="3D1952B0">
        <w:rPr>
          <w:rFonts w:asciiTheme="minorHAnsi" w:eastAsiaTheme="minorEastAsia" w:hAnsiTheme="minorHAnsi" w:cstheme="minorBidi"/>
          <w:b w:val="0"/>
          <w:color w:val="auto"/>
          <w:sz w:val="20"/>
          <w:szCs w:val="20"/>
        </w:rPr>
        <w:t>veřejném</w:t>
      </w:r>
      <w:r w:rsidR="1FC1DA40" w:rsidRPr="3D1952B0">
        <w:rPr>
          <w:rFonts w:asciiTheme="minorHAnsi" w:eastAsiaTheme="minorEastAsia" w:hAnsiTheme="minorHAnsi" w:cstheme="minorBidi"/>
          <w:b w:val="0"/>
          <w:color w:val="auto"/>
          <w:sz w:val="20"/>
          <w:szCs w:val="20"/>
        </w:rPr>
        <w:t xml:space="preserve"> </w:t>
      </w:r>
      <w:r w:rsidR="621EF032" w:rsidRPr="3D1952B0">
        <w:rPr>
          <w:rFonts w:asciiTheme="minorHAnsi" w:eastAsiaTheme="minorEastAsia" w:hAnsiTheme="minorHAnsi" w:cstheme="minorBidi"/>
          <w:b w:val="0"/>
          <w:color w:val="auto"/>
          <w:sz w:val="20"/>
          <w:szCs w:val="20"/>
        </w:rPr>
        <w:t>/</w:t>
      </w:r>
      <w:r w:rsidR="3F013177" w:rsidRPr="3D1952B0">
        <w:rPr>
          <w:rFonts w:asciiTheme="minorHAnsi" w:eastAsiaTheme="minorEastAsia" w:hAnsiTheme="minorHAnsi" w:cstheme="minorBidi"/>
          <w:b w:val="0"/>
          <w:color w:val="auto"/>
          <w:sz w:val="20"/>
          <w:szCs w:val="20"/>
        </w:rPr>
        <w:t xml:space="preserve"> </w:t>
      </w:r>
      <w:r w:rsidR="621EF032" w:rsidRPr="3D1952B0">
        <w:rPr>
          <w:rFonts w:asciiTheme="minorHAnsi" w:eastAsiaTheme="minorEastAsia" w:hAnsiTheme="minorHAnsi" w:cstheme="minorBidi"/>
          <w:b w:val="0"/>
          <w:color w:val="auto"/>
          <w:sz w:val="20"/>
          <w:szCs w:val="20"/>
        </w:rPr>
        <w:t xml:space="preserve">soukromém vlastnictví. </w:t>
      </w:r>
      <w:r w:rsidR="46F21ACD" w:rsidRPr="3D1952B0">
        <w:rPr>
          <w:rFonts w:asciiTheme="minorHAnsi" w:eastAsiaTheme="minorEastAsia" w:hAnsiTheme="minorHAnsi" w:cstheme="minorBidi"/>
          <w:b w:val="0"/>
          <w:color w:val="auto"/>
          <w:sz w:val="20"/>
          <w:szCs w:val="20"/>
        </w:rPr>
        <w:t xml:space="preserve">Díky dohodě v území budou vybrány strategické lokality, jejichž regenerace </w:t>
      </w:r>
      <w:r w:rsidR="621EF032" w:rsidRPr="3D1952B0">
        <w:rPr>
          <w:rFonts w:asciiTheme="minorHAnsi" w:eastAsiaTheme="minorEastAsia" w:hAnsiTheme="minorHAnsi" w:cstheme="minorBidi"/>
          <w:b w:val="0"/>
          <w:color w:val="auto"/>
          <w:sz w:val="20"/>
          <w:szCs w:val="20"/>
        </w:rPr>
        <w:t xml:space="preserve">pro podnikatelské i nepodnikatelské využití </w:t>
      </w:r>
      <w:r w:rsidR="46F21ACD" w:rsidRPr="3D1952B0">
        <w:rPr>
          <w:rFonts w:asciiTheme="minorHAnsi" w:eastAsiaTheme="minorEastAsia" w:hAnsiTheme="minorHAnsi" w:cstheme="minorBidi"/>
          <w:b w:val="0"/>
          <w:color w:val="auto"/>
          <w:sz w:val="20"/>
          <w:szCs w:val="20"/>
        </w:rPr>
        <w:t xml:space="preserve">výrazně přispěje k dalšímu rozvoji regionu. </w:t>
      </w:r>
    </w:p>
    <w:p w14:paraId="4E39A2F0" w14:textId="64547ADB" w:rsidR="6F44322C" w:rsidRDefault="6F44322C" w:rsidP="3D1952B0">
      <w:pPr>
        <w:pStyle w:val="K-Nadpis3"/>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b w:val="0"/>
          <w:color w:val="auto"/>
          <w:sz w:val="20"/>
          <w:szCs w:val="20"/>
        </w:rPr>
        <w:t xml:space="preserve">Cílem je realizovat do roku 2025 celkem 14 projektů revitalizace strategických </w:t>
      </w:r>
      <w:proofErr w:type="spellStart"/>
      <w:r w:rsidRPr="3D1952B0">
        <w:rPr>
          <w:rFonts w:asciiTheme="minorHAnsi" w:eastAsiaTheme="minorEastAsia" w:hAnsiTheme="minorHAnsi" w:cstheme="minorBidi"/>
          <w:b w:val="0"/>
          <w:color w:val="auto"/>
          <w:sz w:val="20"/>
          <w:szCs w:val="20"/>
        </w:rPr>
        <w:t>brownfieldů</w:t>
      </w:r>
      <w:proofErr w:type="spellEnd"/>
      <w:r w:rsidRPr="3D1952B0">
        <w:rPr>
          <w:rFonts w:asciiTheme="minorHAnsi" w:eastAsiaTheme="minorEastAsia" w:hAnsiTheme="minorHAnsi" w:cstheme="minorBidi"/>
          <w:b w:val="0"/>
          <w:color w:val="auto"/>
          <w:sz w:val="20"/>
          <w:szCs w:val="20"/>
        </w:rPr>
        <w:t>.</w:t>
      </w:r>
    </w:p>
    <w:p w14:paraId="50E4B50E" w14:textId="1EE83D44" w:rsidR="00954A51" w:rsidRDefault="362A1805" w:rsidP="3D1952B0">
      <w:pPr>
        <w:pStyle w:val="K-Nadpis3"/>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color w:val="auto"/>
          <w:sz w:val="20"/>
          <w:szCs w:val="20"/>
        </w:rPr>
        <w:t xml:space="preserve">Cílem komponenty </w:t>
      </w:r>
      <w:r w:rsidR="471F3052" w:rsidRPr="3D1952B0">
        <w:rPr>
          <w:rFonts w:asciiTheme="minorHAnsi" w:eastAsiaTheme="minorEastAsia" w:hAnsiTheme="minorHAnsi" w:cstheme="minorBidi"/>
          <w:color w:val="auto"/>
          <w:sz w:val="20"/>
          <w:szCs w:val="20"/>
        </w:rPr>
        <w:t xml:space="preserve">(investice 2.8.2 a 2.8.3) </w:t>
      </w:r>
      <w:r w:rsidRPr="3D1952B0">
        <w:rPr>
          <w:rFonts w:asciiTheme="minorHAnsi" w:eastAsiaTheme="minorEastAsia" w:hAnsiTheme="minorHAnsi" w:cstheme="minorBidi"/>
          <w:color w:val="auto"/>
          <w:sz w:val="20"/>
          <w:szCs w:val="20"/>
        </w:rPr>
        <w:t xml:space="preserve">je podpořit investice obcí a krajů v oblasti </w:t>
      </w:r>
      <w:r w:rsidR="76F118C5" w:rsidRPr="3D1952B0">
        <w:rPr>
          <w:rFonts w:asciiTheme="minorHAnsi" w:eastAsiaTheme="minorEastAsia" w:hAnsiTheme="minorHAnsi" w:cstheme="minorBidi"/>
          <w:color w:val="auto"/>
          <w:sz w:val="20"/>
          <w:szCs w:val="20"/>
        </w:rPr>
        <w:t>revitalizace území</w:t>
      </w:r>
      <w:r w:rsidRPr="3D1952B0">
        <w:rPr>
          <w:rFonts w:asciiTheme="minorHAnsi" w:eastAsiaTheme="minorEastAsia" w:hAnsiTheme="minorHAnsi" w:cstheme="minorBidi"/>
          <w:b w:val="0"/>
          <w:color w:val="auto"/>
          <w:sz w:val="20"/>
          <w:szCs w:val="20"/>
        </w:rPr>
        <w:t xml:space="preserve">. </w:t>
      </w:r>
      <w:r w:rsidR="78048E77" w:rsidRPr="3D1952B0">
        <w:rPr>
          <w:rFonts w:asciiTheme="minorHAnsi" w:eastAsiaTheme="minorEastAsia" w:hAnsiTheme="minorHAnsi" w:cstheme="minorBidi"/>
          <w:b w:val="0"/>
          <w:color w:val="auto"/>
          <w:sz w:val="20"/>
          <w:szCs w:val="20"/>
        </w:rPr>
        <w:t xml:space="preserve">Díky těmto investicím se po útlumu způsobeném poklesem investiční činnosti obcí v důsledku pandemie COVID-19 opět nastartuje lokální rozvoj a zároveň budou investice směřovány do transformace zanedbaných lokality </w:t>
      </w:r>
      <w:proofErr w:type="spellStart"/>
      <w:r w:rsidR="78048E77" w:rsidRPr="3D1952B0">
        <w:rPr>
          <w:rFonts w:asciiTheme="minorHAnsi" w:eastAsiaTheme="minorEastAsia" w:hAnsiTheme="minorHAnsi" w:cstheme="minorBidi"/>
          <w:b w:val="0"/>
          <w:color w:val="auto"/>
          <w:sz w:val="20"/>
          <w:szCs w:val="20"/>
        </w:rPr>
        <w:t>brownfieldů</w:t>
      </w:r>
      <w:proofErr w:type="spellEnd"/>
      <w:r w:rsidR="78048E77" w:rsidRPr="3D1952B0">
        <w:rPr>
          <w:rFonts w:asciiTheme="minorHAnsi" w:eastAsiaTheme="minorEastAsia" w:hAnsiTheme="minorHAnsi" w:cstheme="minorBidi"/>
          <w:b w:val="0"/>
          <w:color w:val="auto"/>
          <w:sz w:val="20"/>
          <w:szCs w:val="20"/>
        </w:rPr>
        <w:t xml:space="preserve"> </w:t>
      </w:r>
      <w:r w:rsidR="70F0B2B8" w:rsidRPr="3D1952B0">
        <w:rPr>
          <w:rFonts w:asciiTheme="minorHAnsi" w:eastAsiaTheme="minorEastAsia" w:hAnsiTheme="minorHAnsi" w:cstheme="minorBidi"/>
          <w:b w:val="0"/>
          <w:color w:val="auto"/>
          <w:sz w:val="20"/>
          <w:szCs w:val="20"/>
        </w:rPr>
        <w:t>provedenou skrze realizaci</w:t>
      </w:r>
      <w:r w:rsidR="78048E77" w:rsidRPr="3D1952B0">
        <w:rPr>
          <w:rFonts w:asciiTheme="minorHAnsi" w:eastAsiaTheme="minorEastAsia" w:hAnsiTheme="minorHAnsi" w:cstheme="minorBidi"/>
          <w:b w:val="0"/>
          <w:color w:val="auto"/>
          <w:sz w:val="20"/>
          <w:szCs w:val="20"/>
        </w:rPr>
        <w:t xml:space="preserve"> udržitelných projektů. </w:t>
      </w:r>
      <w:r w:rsidR="665EDA1B" w:rsidRPr="3D1952B0">
        <w:rPr>
          <w:rFonts w:asciiTheme="minorHAnsi" w:eastAsiaTheme="minorEastAsia" w:hAnsiTheme="minorHAnsi" w:cstheme="minorBidi"/>
          <w:b w:val="0"/>
          <w:color w:val="auto"/>
          <w:sz w:val="20"/>
          <w:szCs w:val="20"/>
        </w:rPr>
        <w:t>Bude se jednat o malé objekty, které jsou ve vlastnictví územních samosprávných celků.</w:t>
      </w:r>
      <w:r w:rsidR="748CE473" w:rsidRPr="3D1952B0">
        <w:rPr>
          <w:rFonts w:asciiTheme="minorHAnsi" w:eastAsiaTheme="minorEastAsia" w:hAnsiTheme="minorHAnsi" w:cstheme="minorBidi"/>
          <w:b w:val="0"/>
          <w:color w:val="auto"/>
          <w:sz w:val="20"/>
          <w:szCs w:val="20"/>
        </w:rPr>
        <w:t xml:space="preserve"> </w:t>
      </w:r>
    </w:p>
    <w:p w14:paraId="664DF306" w14:textId="3EFAACEA" w:rsidR="00954A51" w:rsidRDefault="362A1805" w:rsidP="3D1952B0">
      <w:pPr>
        <w:pStyle w:val="K-Nadpis3"/>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b w:val="0"/>
          <w:color w:val="auto"/>
          <w:sz w:val="20"/>
          <w:szCs w:val="20"/>
        </w:rPr>
        <w:t xml:space="preserve">Cílem je </w:t>
      </w:r>
      <w:r w:rsidR="42CB2DAE" w:rsidRPr="3D1952B0">
        <w:rPr>
          <w:rFonts w:asciiTheme="minorHAnsi" w:eastAsiaTheme="minorEastAsia" w:hAnsiTheme="minorHAnsi" w:cstheme="minorBidi"/>
          <w:b w:val="0"/>
          <w:color w:val="auto"/>
          <w:sz w:val="20"/>
          <w:szCs w:val="20"/>
        </w:rPr>
        <w:t xml:space="preserve">realizovat do roku 2025 celkem </w:t>
      </w:r>
      <w:r w:rsidR="2E1125F0" w:rsidRPr="3D1952B0">
        <w:rPr>
          <w:rFonts w:asciiTheme="minorHAnsi" w:eastAsiaTheme="minorEastAsia" w:hAnsiTheme="minorHAnsi" w:cstheme="minorBidi"/>
          <w:b w:val="0"/>
          <w:color w:val="auto"/>
          <w:sz w:val="20"/>
          <w:szCs w:val="20"/>
        </w:rPr>
        <w:t xml:space="preserve">45 projektů </w:t>
      </w:r>
      <w:r w:rsidR="51E33280" w:rsidRPr="3D1952B0">
        <w:rPr>
          <w:rFonts w:asciiTheme="minorHAnsi" w:eastAsiaTheme="minorEastAsia" w:hAnsiTheme="minorHAnsi" w:cstheme="minorBidi"/>
          <w:b w:val="0"/>
          <w:color w:val="auto"/>
          <w:sz w:val="20"/>
          <w:szCs w:val="20"/>
        </w:rPr>
        <w:t>revitalizace území</w:t>
      </w:r>
      <w:r w:rsidR="2E1125F0" w:rsidRPr="3D1952B0">
        <w:rPr>
          <w:rFonts w:asciiTheme="minorHAnsi" w:eastAsiaTheme="minorEastAsia" w:hAnsiTheme="minorHAnsi" w:cstheme="minorBidi"/>
          <w:b w:val="0"/>
          <w:color w:val="auto"/>
          <w:sz w:val="20"/>
          <w:szCs w:val="20"/>
        </w:rPr>
        <w:t xml:space="preserve"> pro nepodnikatelské využití </w:t>
      </w:r>
      <w:r w:rsidR="1DB2C3C8" w:rsidRPr="3D1952B0">
        <w:rPr>
          <w:rFonts w:asciiTheme="minorHAnsi" w:eastAsiaTheme="minorEastAsia" w:hAnsiTheme="minorHAnsi" w:cstheme="minorBidi"/>
          <w:b w:val="0"/>
          <w:color w:val="auto"/>
          <w:sz w:val="20"/>
          <w:szCs w:val="20"/>
        </w:rPr>
        <w:t xml:space="preserve">(dojde k regeneraci </w:t>
      </w:r>
      <w:r w:rsidR="29731C14" w:rsidRPr="3D1952B0">
        <w:rPr>
          <w:rFonts w:asciiTheme="minorHAnsi" w:eastAsiaTheme="minorEastAsia" w:hAnsiTheme="minorHAnsi" w:cstheme="minorBidi"/>
          <w:b w:val="0"/>
          <w:color w:val="auto"/>
          <w:sz w:val="20"/>
          <w:szCs w:val="20"/>
        </w:rPr>
        <w:t>94</w:t>
      </w:r>
      <w:r w:rsidR="00654847">
        <w:rPr>
          <w:rFonts w:asciiTheme="minorHAnsi" w:eastAsiaTheme="minorEastAsia" w:hAnsiTheme="minorHAnsi" w:cstheme="minorBidi"/>
          <w:b w:val="0"/>
          <w:color w:val="auto"/>
          <w:sz w:val="20"/>
          <w:szCs w:val="20"/>
        </w:rPr>
        <w:t> </w:t>
      </w:r>
      <w:r w:rsidR="1DB2C3C8" w:rsidRPr="3D1952B0">
        <w:rPr>
          <w:rFonts w:asciiTheme="minorHAnsi" w:eastAsiaTheme="minorEastAsia" w:hAnsiTheme="minorHAnsi" w:cstheme="minorBidi"/>
          <w:b w:val="0"/>
          <w:color w:val="auto"/>
          <w:sz w:val="20"/>
          <w:szCs w:val="20"/>
        </w:rPr>
        <w:t>000 m</w:t>
      </w:r>
      <w:r w:rsidR="1DB2C3C8" w:rsidRPr="00654847">
        <w:rPr>
          <w:rFonts w:asciiTheme="minorHAnsi" w:eastAsiaTheme="minorEastAsia" w:hAnsiTheme="minorHAnsi" w:cstheme="minorBidi"/>
          <w:b w:val="0"/>
          <w:color w:val="auto"/>
          <w:sz w:val="20"/>
          <w:szCs w:val="20"/>
          <w:vertAlign w:val="superscript"/>
        </w:rPr>
        <w:t>2</w:t>
      </w:r>
      <w:r w:rsidR="1DB2C3C8" w:rsidRPr="3D1952B0">
        <w:rPr>
          <w:rFonts w:asciiTheme="minorHAnsi" w:eastAsiaTheme="minorEastAsia" w:hAnsiTheme="minorHAnsi" w:cstheme="minorBidi"/>
          <w:b w:val="0"/>
          <w:color w:val="auto"/>
          <w:sz w:val="20"/>
          <w:szCs w:val="20"/>
        </w:rPr>
        <w:t xml:space="preserve"> zastavěné plochy) </w:t>
      </w:r>
      <w:r w:rsidR="2E1125F0" w:rsidRPr="3D1952B0">
        <w:rPr>
          <w:rFonts w:asciiTheme="minorHAnsi" w:eastAsiaTheme="minorEastAsia" w:hAnsiTheme="minorHAnsi" w:cstheme="minorBidi"/>
          <w:b w:val="0"/>
          <w:color w:val="auto"/>
          <w:sz w:val="20"/>
          <w:szCs w:val="20"/>
        </w:rPr>
        <w:t xml:space="preserve">a </w:t>
      </w:r>
      <w:r w:rsidR="10580741" w:rsidRPr="3D1952B0">
        <w:rPr>
          <w:rFonts w:asciiTheme="minorHAnsi" w:eastAsiaTheme="minorEastAsia" w:hAnsiTheme="minorHAnsi" w:cstheme="minorBidi"/>
          <w:b w:val="0"/>
          <w:color w:val="auto"/>
          <w:sz w:val="20"/>
          <w:szCs w:val="20"/>
        </w:rPr>
        <w:t>20</w:t>
      </w:r>
      <w:r w:rsidRPr="3D1952B0">
        <w:rPr>
          <w:rFonts w:asciiTheme="minorHAnsi" w:eastAsiaTheme="minorEastAsia" w:hAnsiTheme="minorHAnsi" w:cstheme="minorBidi"/>
          <w:b w:val="0"/>
          <w:color w:val="auto"/>
          <w:sz w:val="20"/>
          <w:szCs w:val="20"/>
        </w:rPr>
        <w:t xml:space="preserve"> projektů v oblasti </w:t>
      </w:r>
      <w:r w:rsidR="51E33280" w:rsidRPr="3D1952B0">
        <w:rPr>
          <w:rFonts w:asciiTheme="minorHAnsi" w:eastAsiaTheme="minorEastAsia" w:hAnsiTheme="minorHAnsi" w:cstheme="minorBidi"/>
          <w:b w:val="0"/>
          <w:color w:val="auto"/>
          <w:sz w:val="20"/>
          <w:szCs w:val="20"/>
        </w:rPr>
        <w:t>revitalizace území</w:t>
      </w:r>
      <w:r w:rsidRPr="3D1952B0">
        <w:rPr>
          <w:rFonts w:asciiTheme="minorHAnsi" w:eastAsiaTheme="minorEastAsia" w:hAnsiTheme="minorHAnsi" w:cstheme="minorBidi"/>
          <w:b w:val="0"/>
          <w:color w:val="auto"/>
          <w:sz w:val="20"/>
          <w:szCs w:val="20"/>
        </w:rPr>
        <w:t xml:space="preserve"> pro podnikatelské využití</w:t>
      </w:r>
      <w:r w:rsidR="3DCAEFF9" w:rsidRPr="3D1952B0">
        <w:rPr>
          <w:rFonts w:asciiTheme="minorHAnsi" w:eastAsiaTheme="minorEastAsia" w:hAnsiTheme="minorHAnsi" w:cstheme="minorBidi"/>
          <w:b w:val="0"/>
          <w:color w:val="auto"/>
          <w:sz w:val="20"/>
          <w:szCs w:val="20"/>
        </w:rPr>
        <w:t xml:space="preserve"> (dojde k regeneraci 76</w:t>
      </w:r>
      <w:r w:rsidR="00654847">
        <w:rPr>
          <w:rFonts w:asciiTheme="minorHAnsi" w:eastAsiaTheme="minorEastAsia" w:hAnsiTheme="minorHAnsi" w:cstheme="minorBidi"/>
          <w:b w:val="0"/>
          <w:color w:val="auto"/>
          <w:sz w:val="20"/>
          <w:szCs w:val="20"/>
        </w:rPr>
        <w:t> </w:t>
      </w:r>
      <w:r w:rsidR="3DCAEFF9" w:rsidRPr="3D1952B0">
        <w:rPr>
          <w:rFonts w:asciiTheme="minorHAnsi" w:eastAsiaTheme="minorEastAsia" w:hAnsiTheme="minorHAnsi" w:cstheme="minorBidi"/>
          <w:b w:val="0"/>
          <w:color w:val="auto"/>
          <w:sz w:val="20"/>
          <w:szCs w:val="20"/>
        </w:rPr>
        <w:t>000 m</w:t>
      </w:r>
      <w:r w:rsidR="3DCAEFF9" w:rsidRPr="00654847">
        <w:rPr>
          <w:rFonts w:asciiTheme="minorHAnsi" w:eastAsiaTheme="minorEastAsia" w:hAnsiTheme="minorHAnsi" w:cstheme="minorBidi"/>
          <w:b w:val="0"/>
          <w:color w:val="auto"/>
          <w:sz w:val="20"/>
          <w:szCs w:val="20"/>
          <w:vertAlign w:val="superscript"/>
        </w:rPr>
        <w:t>3</w:t>
      </w:r>
      <w:r w:rsidR="3DCAEFF9" w:rsidRPr="3D1952B0">
        <w:rPr>
          <w:rFonts w:asciiTheme="minorHAnsi" w:eastAsiaTheme="minorEastAsia" w:hAnsiTheme="minorHAnsi" w:cstheme="minorBidi"/>
          <w:b w:val="0"/>
          <w:color w:val="auto"/>
          <w:sz w:val="20"/>
          <w:szCs w:val="20"/>
        </w:rPr>
        <w:t>)</w:t>
      </w:r>
      <w:r w:rsidRPr="3D1952B0">
        <w:rPr>
          <w:rFonts w:asciiTheme="minorHAnsi" w:eastAsiaTheme="minorEastAsia" w:hAnsiTheme="minorHAnsi" w:cstheme="minorBidi"/>
          <w:b w:val="0"/>
          <w:color w:val="auto"/>
          <w:sz w:val="20"/>
          <w:szCs w:val="20"/>
        </w:rPr>
        <w:t xml:space="preserve">. </w:t>
      </w:r>
    </w:p>
    <w:p w14:paraId="58B0C0E3" w14:textId="77777777" w:rsidR="00886CC8" w:rsidRDefault="00886CC8" w:rsidP="3EE66962">
      <w:pPr>
        <w:pStyle w:val="K-TextInfo"/>
        <w:rPr>
          <w:rFonts w:asciiTheme="minorHAnsi" w:eastAsiaTheme="minorEastAsia" w:hAnsiTheme="minorHAnsi" w:cstheme="minorBidi"/>
          <w:sz w:val="20"/>
          <w:szCs w:val="20"/>
        </w:rPr>
      </w:pPr>
    </w:p>
    <w:p w14:paraId="6CD31FED" w14:textId="79635398" w:rsidR="007A2737" w:rsidRDefault="4D34661C" w:rsidP="3EE66962">
      <w:pPr>
        <w:pStyle w:val="K-Nadpis3"/>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 xml:space="preserve">c) </w:t>
      </w:r>
      <w:r w:rsidR="359298A0" w:rsidRPr="3EE66962">
        <w:rPr>
          <w:rFonts w:asciiTheme="minorHAnsi" w:eastAsiaTheme="minorEastAsia" w:hAnsiTheme="minorHAnsi" w:cstheme="minorBidi"/>
          <w:sz w:val="20"/>
          <w:szCs w:val="20"/>
        </w:rPr>
        <w:t>Národní strategický kontext</w:t>
      </w:r>
    </w:p>
    <w:p w14:paraId="29854B57" w14:textId="4F039981" w:rsidR="005B27E1" w:rsidRDefault="1B00B6C6" w:rsidP="3D1952B0">
      <w:pPr>
        <w:pStyle w:val="K-Nadpis3"/>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b w:val="0"/>
          <w:color w:val="auto"/>
          <w:sz w:val="20"/>
          <w:szCs w:val="20"/>
        </w:rPr>
        <w:t xml:space="preserve">Potřebu zaměřit se </w:t>
      </w:r>
      <w:r w:rsidR="4F1AC1D1" w:rsidRPr="3D1952B0">
        <w:rPr>
          <w:rFonts w:asciiTheme="minorHAnsi" w:eastAsiaTheme="minorEastAsia" w:hAnsiTheme="minorHAnsi" w:cstheme="minorBidi"/>
          <w:b w:val="0"/>
          <w:color w:val="auto"/>
          <w:sz w:val="20"/>
          <w:szCs w:val="20"/>
        </w:rPr>
        <w:t xml:space="preserve">využívání </w:t>
      </w:r>
      <w:r w:rsidR="140849AB" w:rsidRPr="3D1952B0">
        <w:rPr>
          <w:rFonts w:asciiTheme="minorHAnsi" w:eastAsiaTheme="minorEastAsia" w:hAnsiTheme="minorHAnsi" w:cstheme="minorBidi"/>
          <w:b w:val="0"/>
          <w:color w:val="auto"/>
          <w:sz w:val="20"/>
          <w:szCs w:val="20"/>
        </w:rPr>
        <w:t xml:space="preserve">lokalit </w:t>
      </w:r>
      <w:proofErr w:type="spellStart"/>
      <w:r w:rsidR="4F1AC1D1" w:rsidRPr="3D1952B0">
        <w:rPr>
          <w:rFonts w:asciiTheme="minorHAnsi" w:eastAsiaTheme="minorEastAsia" w:hAnsiTheme="minorHAnsi" w:cstheme="minorBidi"/>
          <w:b w:val="0"/>
          <w:color w:val="auto"/>
          <w:sz w:val="20"/>
          <w:szCs w:val="20"/>
        </w:rPr>
        <w:t>brownfieldů</w:t>
      </w:r>
      <w:proofErr w:type="spellEnd"/>
      <w:r w:rsidR="4F1AC1D1" w:rsidRPr="3D1952B0">
        <w:rPr>
          <w:rFonts w:asciiTheme="minorHAnsi" w:eastAsiaTheme="minorEastAsia" w:hAnsiTheme="minorHAnsi" w:cstheme="minorBidi"/>
          <w:b w:val="0"/>
          <w:color w:val="auto"/>
          <w:sz w:val="20"/>
          <w:szCs w:val="20"/>
        </w:rPr>
        <w:t xml:space="preserve"> pro budování </w:t>
      </w:r>
      <w:r w:rsidR="140849AB" w:rsidRPr="3D1952B0">
        <w:rPr>
          <w:rFonts w:asciiTheme="minorHAnsi" w:eastAsiaTheme="minorEastAsia" w:hAnsiTheme="minorHAnsi" w:cstheme="minorBidi"/>
          <w:b w:val="0"/>
          <w:color w:val="auto"/>
          <w:sz w:val="20"/>
          <w:szCs w:val="20"/>
        </w:rPr>
        <w:t xml:space="preserve">nové </w:t>
      </w:r>
      <w:r w:rsidR="4F1AC1D1" w:rsidRPr="3D1952B0">
        <w:rPr>
          <w:rFonts w:asciiTheme="minorHAnsi" w:eastAsiaTheme="minorEastAsia" w:hAnsiTheme="minorHAnsi" w:cstheme="minorBidi"/>
          <w:b w:val="0"/>
          <w:color w:val="auto"/>
          <w:sz w:val="20"/>
          <w:szCs w:val="20"/>
        </w:rPr>
        <w:t>infrastruktury stanovují významné české vládní strategie v oblasti klimatu, ochrany životního prostředí a územního rozvoje. Jedná se mj. o Zásady urbánní politiky, Národní akční plán adaptace na změnu klimatu, Strategický rámec Česko 2030 a Státní politik</w:t>
      </w:r>
      <w:r w:rsidR="140849AB" w:rsidRPr="3D1952B0">
        <w:rPr>
          <w:rFonts w:asciiTheme="minorHAnsi" w:eastAsiaTheme="minorEastAsia" w:hAnsiTheme="minorHAnsi" w:cstheme="minorBidi"/>
          <w:b w:val="0"/>
          <w:color w:val="auto"/>
          <w:sz w:val="20"/>
          <w:szCs w:val="20"/>
        </w:rPr>
        <w:t>u</w:t>
      </w:r>
      <w:r w:rsidR="4F1AC1D1" w:rsidRPr="3D1952B0">
        <w:rPr>
          <w:rFonts w:asciiTheme="minorHAnsi" w:eastAsiaTheme="minorEastAsia" w:hAnsiTheme="minorHAnsi" w:cstheme="minorBidi"/>
          <w:b w:val="0"/>
          <w:color w:val="auto"/>
          <w:sz w:val="20"/>
          <w:szCs w:val="20"/>
        </w:rPr>
        <w:t xml:space="preserve"> životního prostředí. Tyto strategie se shodují, že právě transformace </w:t>
      </w:r>
      <w:proofErr w:type="spellStart"/>
      <w:r w:rsidR="4F1AC1D1" w:rsidRPr="3D1952B0">
        <w:rPr>
          <w:rFonts w:asciiTheme="minorHAnsi" w:eastAsiaTheme="minorEastAsia" w:hAnsiTheme="minorHAnsi" w:cstheme="minorBidi"/>
          <w:b w:val="0"/>
          <w:color w:val="auto"/>
          <w:sz w:val="20"/>
          <w:szCs w:val="20"/>
        </w:rPr>
        <w:t>brownfieldů</w:t>
      </w:r>
      <w:proofErr w:type="spellEnd"/>
      <w:r w:rsidR="4F1AC1D1" w:rsidRPr="3D1952B0">
        <w:rPr>
          <w:rFonts w:asciiTheme="minorHAnsi" w:eastAsiaTheme="minorEastAsia" w:hAnsiTheme="minorHAnsi" w:cstheme="minorBidi"/>
          <w:b w:val="0"/>
          <w:color w:val="auto"/>
          <w:sz w:val="20"/>
          <w:szCs w:val="20"/>
        </w:rPr>
        <w:t xml:space="preserve"> přispěje ke koncepčnímu využívání území spojeného se zahušťováním zástavby a</w:t>
      </w:r>
      <w:r w:rsidR="140849AB" w:rsidRPr="3D1952B0">
        <w:rPr>
          <w:rFonts w:asciiTheme="minorHAnsi" w:eastAsiaTheme="minorEastAsia" w:hAnsiTheme="minorHAnsi" w:cstheme="minorBidi"/>
          <w:b w:val="0"/>
          <w:color w:val="auto"/>
          <w:sz w:val="20"/>
          <w:szCs w:val="20"/>
        </w:rPr>
        <w:t xml:space="preserve"> je považována za</w:t>
      </w:r>
      <w:r w:rsidR="4F1AC1D1" w:rsidRPr="3D1952B0">
        <w:rPr>
          <w:rFonts w:asciiTheme="minorHAnsi" w:eastAsiaTheme="minorEastAsia" w:hAnsiTheme="minorHAnsi" w:cstheme="minorBidi"/>
          <w:b w:val="0"/>
          <w:color w:val="auto"/>
          <w:sz w:val="20"/>
          <w:szCs w:val="20"/>
        </w:rPr>
        <w:t xml:space="preserve"> jeden z hlavních nástrojů pro omezení </w:t>
      </w:r>
      <w:proofErr w:type="spellStart"/>
      <w:r w:rsidR="4F1AC1D1" w:rsidRPr="3D1952B0">
        <w:rPr>
          <w:rFonts w:asciiTheme="minorHAnsi" w:eastAsiaTheme="minorEastAsia" w:hAnsiTheme="minorHAnsi" w:cstheme="minorBidi"/>
          <w:b w:val="0"/>
          <w:color w:val="auto"/>
          <w:sz w:val="20"/>
          <w:szCs w:val="20"/>
        </w:rPr>
        <w:t>suburbanizace</w:t>
      </w:r>
      <w:proofErr w:type="spellEnd"/>
      <w:r w:rsidR="140849AB" w:rsidRPr="3D1952B0">
        <w:rPr>
          <w:rFonts w:asciiTheme="minorHAnsi" w:eastAsiaTheme="minorEastAsia" w:hAnsiTheme="minorHAnsi" w:cstheme="minorBidi"/>
          <w:b w:val="0"/>
          <w:color w:val="auto"/>
          <w:sz w:val="20"/>
          <w:szCs w:val="20"/>
        </w:rPr>
        <w:t xml:space="preserve"> a rozrůstání měst</w:t>
      </w:r>
      <w:r w:rsidR="4F1AC1D1" w:rsidRPr="3D1952B0">
        <w:rPr>
          <w:rFonts w:asciiTheme="minorHAnsi" w:eastAsiaTheme="minorEastAsia" w:hAnsiTheme="minorHAnsi" w:cstheme="minorBidi"/>
          <w:b w:val="0"/>
          <w:color w:val="auto"/>
          <w:sz w:val="20"/>
          <w:szCs w:val="20"/>
        </w:rPr>
        <w:t>. Strategie biologické rozmanitosti ČR 2016</w:t>
      </w:r>
      <w:r w:rsidR="7CF4B154" w:rsidRPr="3D1952B0">
        <w:rPr>
          <w:rFonts w:asciiTheme="minorHAnsi" w:eastAsiaTheme="minorEastAsia" w:hAnsiTheme="minorHAnsi" w:cstheme="minorBidi"/>
          <w:b w:val="0"/>
          <w:color w:val="auto"/>
          <w:sz w:val="20"/>
          <w:szCs w:val="20"/>
        </w:rPr>
        <w:t>–</w:t>
      </w:r>
      <w:r w:rsidR="4F1AC1D1" w:rsidRPr="3D1952B0">
        <w:rPr>
          <w:rFonts w:asciiTheme="minorHAnsi" w:eastAsiaTheme="minorEastAsia" w:hAnsiTheme="minorHAnsi" w:cstheme="minorBidi"/>
          <w:b w:val="0"/>
          <w:color w:val="auto"/>
          <w:sz w:val="20"/>
          <w:szCs w:val="20"/>
        </w:rPr>
        <w:t xml:space="preserve">2025 </w:t>
      </w:r>
      <w:r w:rsidR="51E33280" w:rsidRPr="3D1952B0">
        <w:rPr>
          <w:rFonts w:asciiTheme="minorHAnsi" w:eastAsiaTheme="minorEastAsia" w:hAnsiTheme="minorHAnsi" w:cstheme="minorBidi"/>
          <w:b w:val="0"/>
          <w:color w:val="auto"/>
          <w:sz w:val="20"/>
          <w:szCs w:val="20"/>
        </w:rPr>
        <w:t>revitalizac</w:t>
      </w:r>
      <w:r w:rsidR="3884800D" w:rsidRPr="3D1952B0">
        <w:rPr>
          <w:rFonts w:asciiTheme="minorHAnsi" w:eastAsiaTheme="minorEastAsia" w:hAnsiTheme="minorHAnsi" w:cstheme="minorBidi"/>
          <w:b w:val="0"/>
          <w:color w:val="auto"/>
          <w:sz w:val="20"/>
          <w:szCs w:val="20"/>
        </w:rPr>
        <w:t>i</w:t>
      </w:r>
      <w:r w:rsidR="51E33280" w:rsidRPr="3D1952B0">
        <w:rPr>
          <w:rFonts w:asciiTheme="minorHAnsi" w:eastAsiaTheme="minorEastAsia" w:hAnsiTheme="minorHAnsi" w:cstheme="minorBidi"/>
          <w:b w:val="0"/>
          <w:color w:val="auto"/>
          <w:sz w:val="20"/>
          <w:szCs w:val="20"/>
        </w:rPr>
        <w:t xml:space="preserve"> </w:t>
      </w:r>
      <w:proofErr w:type="spellStart"/>
      <w:r w:rsidR="32445394" w:rsidRPr="3D1952B0">
        <w:rPr>
          <w:rFonts w:asciiTheme="minorHAnsi" w:eastAsiaTheme="minorEastAsia" w:hAnsiTheme="minorHAnsi" w:cstheme="minorBidi"/>
          <w:b w:val="0"/>
          <w:color w:val="auto"/>
          <w:sz w:val="20"/>
          <w:szCs w:val="20"/>
        </w:rPr>
        <w:t>brownfieldů</w:t>
      </w:r>
      <w:proofErr w:type="spellEnd"/>
      <w:r w:rsidR="32445394" w:rsidRPr="3D1952B0">
        <w:rPr>
          <w:rFonts w:asciiTheme="minorHAnsi" w:eastAsiaTheme="minorEastAsia" w:hAnsiTheme="minorHAnsi" w:cstheme="minorBidi"/>
          <w:b w:val="0"/>
          <w:color w:val="auto"/>
          <w:sz w:val="20"/>
          <w:szCs w:val="20"/>
        </w:rPr>
        <w:t xml:space="preserve"> </w:t>
      </w:r>
      <w:r w:rsidR="4F1AC1D1" w:rsidRPr="3D1952B0">
        <w:rPr>
          <w:rFonts w:asciiTheme="minorHAnsi" w:eastAsiaTheme="minorEastAsia" w:hAnsiTheme="minorHAnsi" w:cstheme="minorBidi"/>
          <w:b w:val="0"/>
          <w:color w:val="auto"/>
          <w:sz w:val="20"/>
          <w:szCs w:val="20"/>
        </w:rPr>
        <w:t xml:space="preserve">považuje za jedno ze tří hlavních opatření pro zlepšení kvality prostředí v sídlech. </w:t>
      </w:r>
      <w:r w:rsidR="6DAF5D14" w:rsidRPr="3D1952B0">
        <w:rPr>
          <w:rFonts w:asciiTheme="minorHAnsi" w:eastAsiaTheme="minorEastAsia" w:hAnsiTheme="minorHAnsi" w:cstheme="minorBidi"/>
          <w:b w:val="0"/>
          <w:color w:val="auto"/>
          <w:sz w:val="20"/>
          <w:szCs w:val="20"/>
        </w:rPr>
        <w:t xml:space="preserve">Strategický rámec Česko 2030 zdůrazňuje potřebu </w:t>
      </w:r>
      <w:r w:rsidR="33954179" w:rsidRPr="3D1952B0">
        <w:rPr>
          <w:rFonts w:asciiTheme="minorHAnsi" w:eastAsiaTheme="minorEastAsia" w:hAnsiTheme="minorHAnsi" w:cstheme="minorBidi"/>
          <w:b w:val="0"/>
          <w:color w:val="auto"/>
          <w:sz w:val="20"/>
          <w:szCs w:val="20"/>
        </w:rPr>
        <w:t>p</w:t>
      </w:r>
      <w:r w:rsidR="6DAF5D14" w:rsidRPr="3D1952B0">
        <w:rPr>
          <w:rFonts w:asciiTheme="minorHAnsi" w:eastAsiaTheme="minorEastAsia" w:hAnsiTheme="minorHAnsi" w:cstheme="minorBidi"/>
          <w:b w:val="0"/>
          <w:color w:val="auto"/>
          <w:sz w:val="20"/>
          <w:szCs w:val="20"/>
        </w:rPr>
        <w:t xml:space="preserve">osílit stávající ekonomické nástroje pro revitalizaci </w:t>
      </w:r>
      <w:proofErr w:type="spellStart"/>
      <w:r w:rsidR="6DAF5D14" w:rsidRPr="3D1952B0">
        <w:rPr>
          <w:rFonts w:asciiTheme="minorHAnsi" w:eastAsiaTheme="minorEastAsia" w:hAnsiTheme="minorHAnsi" w:cstheme="minorBidi"/>
          <w:b w:val="0"/>
          <w:color w:val="auto"/>
          <w:sz w:val="20"/>
          <w:szCs w:val="20"/>
        </w:rPr>
        <w:t>brownfieldů</w:t>
      </w:r>
      <w:proofErr w:type="spellEnd"/>
      <w:r w:rsidR="140849AB" w:rsidRPr="3D1952B0">
        <w:rPr>
          <w:rFonts w:asciiTheme="minorHAnsi" w:eastAsiaTheme="minorEastAsia" w:hAnsiTheme="minorHAnsi" w:cstheme="minorBidi"/>
          <w:b w:val="0"/>
          <w:color w:val="auto"/>
          <w:sz w:val="20"/>
          <w:szCs w:val="20"/>
        </w:rPr>
        <w:t xml:space="preserve"> a</w:t>
      </w:r>
      <w:r w:rsidR="6DAF5D14" w:rsidRPr="3D1952B0">
        <w:rPr>
          <w:rFonts w:asciiTheme="minorHAnsi" w:eastAsiaTheme="minorEastAsia" w:hAnsiTheme="minorHAnsi" w:cstheme="minorBidi"/>
          <w:b w:val="0"/>
          <w:color w:val="auto"/>
          <w:sz w:val="20"/>
          <w:szCs w:val="20"/>
        </w:rPr>
        <w:t xml:space="preserve"> prověřit možnosti spolupráce se soukromým sektorem na revitalizaci </w:t>
      </w:r>
      <w:proofErr w:type="spellStart"/>
      <w:r w:rsidR="6DAF5D14" w:rsidRPr="3D1952B0">
        <w:rPr>
          <w:rFonts w:asciiTheme="minorHAnsi" w:eastAsiaTheme="minorEastAsia" w:hAnsiTheme="minorHAnsi" w:cstheme="minorBidi"/>
          <w:b w:val="0"/>
          <w:color w:val="auto"/>
          <w:sz w:val="20"/>
          <w:szCs w:val="20"/>
        </w:rPr>
        <w:t>brownfieldů</w:t>
      </w:r>
      <w:proofErr w:type="spellEnd"/>
      <w:r w:rsidR="33954179" w:rsidRPr="3D1952B0">
        <w:rPr>
          <w:rFonts w:asciiTheme="minorHAnsi" w:eastAsiaTheme="minorEastAsia" w:hAnsiTheme="minorHAnsi" w:cstheme="minorBidi"/>
          <w:b w:val="0"/>
          <w:color w:val="auto"/>
          <w:sz w:val="20"/>
          <w:szCs w:val="20"/>
        </w:rPr>
        <w:t xml:space="preserve"> a </w:t>
      </w:r>
      <w:r w:rsidR="140849AB" w:rsidRPr="3D1952B0">
        <w:rPr>
          <w:rFonts w:asciiTheme="minorHAnsi" w:eastAsiaTheme="minorEastAsia" w:hAnsiTheme="minorHAnsi" w:cstheme="minorBidi"/>
          <w:b w:val="0"/>
          <w:color w:val="auto"/>
          <w:sz w:val="20"/>
          <w:szCs w:val="20"/>
        </w:rPr>
        <w:t xml:space="preserve">zároveň </w:t>
      </w:r>
      <w:r w:rsidR="33954179" w:rsidRPr="3D1952B0">
        <w:rPr>
          <w:rFonts w:asciiTheme="minorHAnsi" w:eastAsiaTheme="minorEastAsia" w:hAnsiTheme="minorHAnsi" w:cstheme="minorBidi"/>
          <w:b w:val="0"/>
          <w:color w:val="auto"/>
          <w:sz w:val="20"/>
          <w:szCs w:val="20"/>
        </w:rPr>
        <w:t xml:space="preserve">doporučuje v </w:t>
      </w:r>
      <w:r w:rsidR="6DAF5D14" w:rsidRPr="3D1952B0">
        <w:rPr>
          <w:rFonts w:asciiTheme="minorHAnsi" w:eastAsiaTheme="minorEastAsia" w:hAnsiTheme="minorHAnsi" w:cstheme="minorBidi"/>
          <w:b w:val="0"/>
          <w:color w:val="auto"/>
          <w:sz w:val="20"/>
          <w:szCs w:val="20"/>
        </w:rPr>
        <w:t>rámci podpory budování nových průmyslových zón nepodmiňovat jejich velikost určením jejich minimální rozlohy, ale vyhodnocením jejich potřebnosti se zohledněním místních podmínek a kapacity území.</w:t>
      </w:r>
    </w:p>
    <w:p w14:paraId="2EFC1079" w14:textId="580FA8F5" w:rsidR="00B82946" w:rsidRDefault="633577AC"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Důležitá je především vazba komponenty na </w:t>
      </w:r>
      <w:r w:rsidR="23F9B787" w:rsidRPr="3EE66962">
        <w:rPr>
          <w:rFonts w:asciiTheme="minorHAnsi" w:eastAsiaTheme="minorEastAsia" w:hAnsiTheme="minorHAnsi" w:cstheme="minorBidi"/>
          <w:b w:val="0"/>
          <w:color w:val="auto"/>
          <w:sz w:val="20"/>
          <w:szCs w:val="20"/>
        </w:rPr>
        <w:t>St</w:t>
      </w:r>
      <w:r w:rsidRPr="3EE66962">
        <w:rPr>
          <w:rFonts w:asciiTheme="minorHAnsi" w:eastAsiaTheme="minorEastAsia" w:hAnsiTheme="minorHAnsi" w:cstheme="minorBidi"/>
          <w:b w:val="0"/>
          <w:color w:val="auto"/>
          <w:sz w:val="20"/>
          <w:szCs w:val="20"/>
        </w:rPr>
        <w:t>á</w:t>
      </w:r>
      <w:r w:rsidR="23F9B787" w:rsidRPr="3EE66962">
        <w:rPr>
          <w:rFonts w:asciiTheme="minorHAnsi" w:eastAsiaTheme="minorEastAsia" w:hAnsiTheme="minorHAnsi" w:cstheme="minorBidi"/>
          <w:b w:val="0"/>
          <w:color w:val="auto"/>
          <w:sz w:val="20"/>
          <w:szCs w:val="20"/>
        </w:rPr>
        <w:t>tní</w:t>
      </w:r>
      <w:r w:rsidR="197B7C17" w:rsidRPr="3EE66962">
        <w:rPr>
          <w:rFonts w:asciiTheme="minorHAnsi" w:eastAsiaTheme="minorEastAsia" w:hAnsiTheme="minorHAnsi" w:cstheme="minorBidi"/>
          <w:b w:val="0"/>
          <w:color w:val="auto"/>
          <w:sz w:val="20"/>
          <w:szCs w:val="20"/>
        </w:rPr>
        <w:t xml:space="preserve"> </w:t>
      </w:r>
      <w:r w:rsidRPr="3EE66962">
        <w:rPr>
          <w:rFonts w:asciiTheme="minorHAnsi" w:eastAsiaTheme="minorEastAsia" w:hAnsiTheme="minorHAnsi" w:cstheme="minorBidi"/>
          <w:b w:val="0"/>
          <w:color w:val="auto"/>
          <w:sz w:val="20"/>
          <w:szCs w:val="20"/>
        </w:rPr>
        <w:t xml:space="preserve">politiku </w:t>
      </w:r>
      <w:r w:rsidR="197B7C17" w:rsidRPr="3EE66962">
        <w:rPr>
          <w:rFonts w:asciiTheme="minorHAnsi" w:eastAsiaTheme="minorEastAsia" w:hAnsiTheme="minorHAnsi" w:cstheme="minorBidi"/>
          <w:b w:val="0"/>
          <w:color w:val="auto"/>
          <w:sz w:val="20"/>
          <w:szCs w:val="20"/>
        </w:rPr>
        <w:t xml:space="preserve">životního </w:t>
      </w:r>
      <w:r w:rsidR="44CF7C15" w:rsidRPr="3EE66962">
        <w:rPr>
          <w:rFonts w:asciiTheme="minorHAnsi" w:eastAsiaTheme="minorEastAsia" w:hAnsiTheme="minorHAnsi" w:cstheme="minorBidi"/>
          <w:b w:val="0"/>
          <w:color w:val="auto"/>
          <w:sz w:val="20"/>
          <w:szCs w:val="20"/>
        </w:rPr>
        <w:t>pr</w:t>
      </w:r>
      <w:r w:rsidR="197B7C17" w:rsidRPr="3EE66962">
        <w:rPr>
          <w:rFonts w:asciiTheme="minorHAnsi" w:eastAsiaTheme="minorEastAsia" w:hAnsiTheme="minorHAnsi" w:cstheme="minorBidi"/>
          <w:b w:val="0"/>
          <w:color w:val="auto"/>
          <w:sz w:val="20"/>
          <w:szCs w:val="20"/>
        </w:rPr>
        <w:t>o</w:t>
      </w:r>
      <w:r w:rsidR="7FF61D3F" w:rsidRPr="3EE66962">
        <w:rPr>
          <w:rFonts w:asciiTheme="minorHAnsi" w:eastAsiaTheme="minorEastAsia" w:hAnsiTheme="minorHAnsi" w:cstheme="minorBidi"/>
          <w:b w:val="0"/>
          <w:color w:val="auto"/>
          <w:sz w:val="20"/>
          <w:szCs w:val="20"/>
        </w:rPr>
        <w:t>s</w:t>
      </w:r>
      <w:r w:rsidR="197B7C17" w:rsidRPr="3EE66962">
        <w:rPr>
          <w:rFonts w:asciiTheme="minorHAnsi" w:eastAsiaTheme="minorEastAsia" w:hAnsiTheme="minorHAnsi" w:cstheme="minorBidi"/>
          <w:b w:val="0"/>
          <w:color w:val="auto"/>
          <w:sz w:val="20"/>
          <w:szCs w:val="20"/>
        </w:rPr>
        <w:t>tředí</w:t>
      </w:r>
      <w:r w:rsidR="2D59CFFA" w:rsidRPr="3EE66962">
        <w:rPr>
          <w:rFonts w:asciiTheme="minorHAnsi" w:eastAsiaTheme="minorEastAsia" w:hAnsiTheme="minorHAnsi" w:cstheme="minorBidi"/>
          <w:b w:val="0"/>
          <w:color w:val="auto"/>
          <w:sz w:val="20"/>
          <w:szCs w:val="20"/>
        </w:rPr>
        <w:t xml:space="preserve"> 2012</w:t>
      </w:r>
      <w:r w:rsidR="11A328AD" w:rsidRPr="3EE66962">
        <w:rPr>
          <w:rFonts w:asciiTheme="minorHAnsi" w:eastAsiaTheme="minorEastAsia" w:hAnsiTheme="minorHAnsi" w:cstheme="minorBidi"/>
          <w:b w:val="0"/>
          <w:color w:val="auto"/>
          <w:sz w:val="20"/>
          <w:szCs w:val="20"/>
        </w:rPr>
        <w:t>–</w:t>
      </w:r>
      <w:r w:rsidR="2D59CFFA" w:rsidRPr="3EE66962">
        <w:rPr>
          <w:rFonts w:asciiTheme="minorHAnsi" w:eastAsiaTheme="minorEastAsia" w:hAnsiTheme="minorHAnsi" w:cstheme="minorBidi"/>
          <w:b w:val="0"/>
          <w:color w:val="auto"/>
          <w:sz w:val="20"/>
          <w:szCs w:val="20"/>
        </w:rPr>
        <w:t>2020</w:t>
      </w:r>
      <w:r w:rsidR="00F60E89" w:rsidRPr="3EE66962">
        <w:rPr>
          <w:rStyle w:val="Znakapoznpodarou"/>
          <w:rFonts w:asciiTheme="minorHAnsi" w:eastAsiaTheme="minorEastAsia" w:hAnsiTheme="minorHAnsi" w:cstheme="minorBidi"/>
          <w:b w:val="0"/>
          <w:color w:val="auto"/>
          <w:sz w:val="20"/>
          <w:szCs w:val="20"/>
        </w:rPr>
        <w:footnoteReference w:id="6"/>
      </w:r>
      <w:r w:rsidRPr="3EE66962">
        <w:rPr>
          <w:rFonts w:asciiTheme="minorHAnsi" w:eastAsiaTheme="minorEastAsia" w:hAnsiTheme="minorHAnsi" w:cstheme="minorBidi"/>
          <w:b w:val="0"/>
          <w:color w:val="auto"/>
          <w:sz w:val="20"/>
          <w:szCs w:val="20"/>
        </w:rPr>
        <w:t xml:space="preserve"> (</w:t>
      </w:r>
      <w:r w:rsidR="7836B263" w:rsidRPr="3EE66962">
        <w:rPr>
          <w:rFonts w:asciiTheme="minorHAnsi" w:eastAsiaTheme="minorEastAsia" w:hAnsiTheme="minorHAnsi" w:cstheme="minorBidi"/>
          <w:b w:val="0"/>
          <w:color w:val="auto"/>
          <w:sz w:val="20"/>
          <w:szCs w:val="20"/>
        </w:rPr>
        <w:t>schválena vládou dne 9. ledna 2013</w:t>
      </w:r>
      <w:r w:rsidRPr="3EE66962">
        <w:rPr>
          <w:rFonts w:asciiTheme="minorHAnsi" w:eastAsiaTheme="minorEastAsia" w:hAnsiTheme="minorHAnsi" w:cstheme="minorBidi"/>
          <w:b w:val="0"/>
          <w:color w:val="auto"/>
          <w:sz w:val="20"/>
          <w:szCs w:val="20"/>
        </w:rPr>
        <w:t>)</w:t>
      </w:r>
      <w:r w:rsidR="00B82016" w:rsidRPr="3EE66962">
        <w:rPr>
          <w:rStyle w:val="Znakapoznpodarou"/>
          <w:rFonts w:asciiTheme="minorHAnsi" w:eastAsiaTheme="minorEastAsia" w:hAnsiTheme="minorHAnsi" w:cstheme="minorBidi"/>
          <w:b w:val="0"/>
          <w:color w:val="auto"/>
          <w:sz w:val="20"/>
          <w:szCs w:val="20"/>
        </w:rPr>
        <w:footnoteReference w:id="7"/>
      </w:r>
      <w:r w:rsidR="60274491" w:rsidRPr="3EE66962">
        <w:rPr>
          <w:rFonts w:asciiTheme="minorHAnsi" w:eastAsiaTheme="minorEastAsia" w:hAnsiTheme="minorHAnsi" w:cstheme="minorBidi"/>
          <w:b w:val="0"/>
          <w:color w:val="auto"/>
          <w:sz w:val="20"/>
          <w:szCs w:val="20"/>
        </w:rPr>
        <w:t xml:space="preserve">, na </w:t>
      </w:r>
      <w:proofErr w:type="gramStart"/>
      <w:r w:rsidR="60274491" w:rsidRPr="3EE66962">
        <w:rPr>
          <w:rFonts w:asciiTheme="minorHAnsi" w:eastAsiaTheme="minorEastAsia" w:hAnsiTheme="minorHAnsi" w:cstheme="minorBidi"/>
          <w:b w:val="0"/>
          <w:color w:val="auto"/>
          <w:sz w:val="20"/>
          <w:szCs w:val="20"/>
        </w:rPr>
        <w:t>základě</w:t>
      </w:r>
      <w:proofErr w:type="gramEnd"/>
      <w:r w:rsidR="60274491" w:rsidRPr="3EE66962">
        <w:rPr>
          <w:rFonts w:asciiTheme="minorHAnsi" w:eastAsiaTheme="minorEastAsia" w:hAnsiTheme="minorHAnsi" w:cstheme="minorBidi"/>
          <w:b w:val="0"/>
          <w:color w:val="auto"/>
          <w:sz w:val="20"/>
          <w:szCs w:val="20"/>
        </w:rPr>
        <w:t xml:space="preserve"> níž byl</w:t>
      </w:r>
      <w:r w:rsidR="2EE0BB51" w:rsidRPr="3EE66962">
        <w:rPr>
          <w:rFonts w:asciiTheme="minorHAnsi" w:eastAsiaTheme="minorEastAsia" w:hAnsiTheme="minorHAnsi" w:cstheme="minorBidi"/>
          <w:b w:val="0"/>
          <w:color w:val="auto"/>
          <w:sz w:val="20"/>
          <w:szCs w:val="20"/>
        </w:rPr>
        <w:t xml:space="preserve"> zpracován dokument Národní strategie </w:t>
      </w:r>
      <w:r w:rsidRPr="3EE66962">
        <w:rPr>
          <w:rFonts w:asciiTheme="minorHAnsi" w:eastAsiaTheme="minorEastAsia" w:hAnsiTheme="minorHAnsi" w:cstheme="minorBidi"/>
          <w:b w:val="0"/>
          <w:color w:val="auto"/>
          <w:sz w:val="20"/>
          <w:szCs w:val="20"/>
        </w:rPr>
        <w:t xml:space="preserve">regenerace </w:t>
      </w:r>
      <w:proofErr w:type="spellStart"/>
      <w:r w:rsidR="2EE0BB51" w:rsidRPr="3EE66962">
        <w:rPr>
          <w:rFonts w:asciiTheme="minorHAnsi" w:eastAsiaTheme="minorEastAsia" w:hAnsiTheme="minorHAnsi" w:cstheme="minorBidi"/>
          <w:b w:val="0"/>
          <w:color w:val="auto"/>
          <w:sz w:val="20"/>
          <w:szCs w:val="20"/>
        </w:rPr>
        <w:t>brownfieldů</w:t>
      </w:r>
      <w:proofErr w:type="spellEnd"/>
      <w:r w:rsidR="2EE0BB51" w:rsidRPr="3EE66962">
        <w:rPr>
          <w:rFonts w:asciiTheme="minorHAnsi" w:eastAsiaTheme="minorEastAsia" w:hAnsiTheme="minorHAnsi" w:cstheme="minorBidi"/>
          <w:b w:val="0"/>
          <w:color w:val="auto"/>
          <w:sz w:val="20"/>
          <w:szCs w:val="20"/>
        </w:rPr>
        <w:t xml:space="preserve"> </w:t>
      </w:r>
      <w:r w:rsidRPr="3EE66962">
        <w:rPr>
          <w:rFonts w:asciiTheme="minorHAnsi" w:eastAsiaTheme="minorEastAsia" w:hAnsiTheme="minorHAnsi" w:cstheme="minorBidi"/>
          <w:b w:val="0"/>
          <w:color w:val="auto"/>
          <w:sz w:val="20"/>
          <w:szCs w:val="20"/>
        </w:rPr>
        <w:t xml:space="preserve">(dále „NSRB“), </w:t>
      </w:r>
      <w:r w:rsidR="2EE0BB51" w:rsidRPr="3EE66962">
        <w:rPr>
          <w:rFonts w:asciiTheme="minorHAnsi" w:eastAsiaTheme="minorEastAsia" w:hAnsiTheme="minorHAnsi" w:cstheme="minorBidi"/>
          <w:b w:val="0"/>
          <w:color w:val="auto"/>
          <w:sz w:val="20"/>
          <w:szCs w:val="20"/>
        </w:rPr>
        <w:t xml:space="preserve">a jeho </w:t>
      </w:r>
      <w:r w:rsidR="23F9B787" w:rsidRPr="3EE66962">
        <w:rPr>
          <w:rFonts w:asciiTheme="minorHAnsi" w:eastAsiaTheme="minorEastAsia" w:hAnsiTheme="minorHAnsi" w:cstheme="minorBidi"/>
          <w:b w:val="0"/>
          <w:color w:val="auto"/>
          <w:sz w:val="20"/>
          <w:szCs w:val="20"/>
        </w:rPr>
        <w:t>aktualizace</w:t>
      </w:r>
      <w:r w:rsidR="1AD5C0ED" w:rsidRPr="3EE66962">
        <w:rPr>
          <w:rFonts w:asciiTheme="minorHAnsi" w:eastAsiaTheme="minorEastAsia" w:hAnsiTheme="minorHAnsi" w:cstheme="minorBidi"/>
          <w:b w:val="0"/>
          <w:color w:val="auto"/>
          <w:sz w:val="20"/>
          <w:szCs w:val="20"/>
        </w:rPr>
        <w:t xml:space="preserve"> schválená vládou ČR</w:t>
      </w:r>
      <w:r w:rsidR="1CA7919B" w:rsidRPr="3EE66962">
        <w:rPr>
          <w:rFonts w:asciiTheme="minorHAnsi" w:eastAsiaTheme="minorEastAsia" w:hAnsiTheme="minorHAnsi" w:cstheme="minorBidi"/>
          <w:b w:val="0"/>
          <w:color w:val="auto"/>
          <w:sz w:val="20"/>
          <w:szCs w:val="20"/>
        </w:rPr>
        <w:t xml:space="preserve"> 8</w:t>
      </w:r>
      <w:r w:rsidR="2B239911" w:rsidRPr="3EE66962">
        <w:rPr>
          <w:rFonts w:asciiTheme="minorHAnsi" w:eastAsiaTheme="minorEastAsia" w:hAnsiTheme="minorHAnsi" w:cstheme="minorBidi"/>
          <w:b w:val="0"/>
          <w:color w:val="auto"/>
          <w:sz w:val="20"/>
          <w:szCs w:val="20"/>
        </w:rPr>
        <w:t>.</w:t>
      </w:r>
      <w:r w:rsidR="1CA7919B" w:rsidRPr="3EE66962">
        <w:rPr>
          <w:rFonts w:asciiTheme="minorHAnsi" w:eastAsiaTheme="minorEastAsia" w:hAnsiTheme="minorHAnsi" w:cstheme="minorBidi"/>
          <w:b w:val="0"/>
          <w:color w:val="auto"/>
          <w:sz w:val="20"/>
          <w:szCs w:val="20"/>
        </w:rPr>
        <w:t xml:space="preserve"> července 2019.</w:t>
      </w:r>
      <w:r w:rsidR="60F326EA" w:rsidRPr="3EE66962">
        <w:rPr>
          <w:rFonts w:asciiTheme="minorHAnsi" w:eastAsiaTheme="minorEastAsia" w:hAnsiTheme="minorHAnsi" w:cstheme="minorBidi"/>
          <w:b w:val="0"/>
          <w:color w:val="auto"/>
          <w:sz w:val="20"/>
          <w:szCs w:val="20"/>
        </w:rPr>
        <w:t xml:space="preserve"> Účelem </w:t>
      </w:r>
      <w:r w:rsidR="363B8FB7" w:rsidRPr="3EE66962">
        <w:rPr>
          <w:rFonts w:asciiTheme="minorHAnsi" w:eastAsiaTheme="minorEastAsia" w:hAnsiTheme="minorHAnsi" w:cstheme="minorBidi"/>
          <w:b w:val="0"/>
          <w:color w:val="auto"/>
          <w:sz w:val="20"/>
          <w:szCs w:val="20"/>
        </w:rPr>
        <w:t xml:space="preserve">NSRB </w:t>
      </w:r>
      <w:r w:rsidR="60F326EA" w:rsidRPr="3EE66962">
        <w:rPr>
          <w:rFonts w:asciiTheme="minorHAnsi" w:eastAsiaTheme="minorEastAsia" w:hAnsiTheme="minorHAnsi" w:cstheme="minorBidi"/>
          <w:b w:val="0"/>
          <w:color w:val="auto"/>
          <w:sz w:val="20"/>
          <w:szCs w:val="20"/>
        </w:rPr>
        <w:t xml:space="preserve">je koordinovaná podpora ze strany státní a veřejné správy zaměřená na regenerace </w:t>
      </w:r>
      <w:proofErr w:type="spellStart"/>
      <w:r w:rsidR="60F326EA" w:rsidRPr="3EE66962">
        <w:rPr>
          <w:rFonts w:asciiTheme="minorHAnsi" w:eastAsiaTheme="minorEastAsia" w:hAnsiTheme="minorHAnsi" w:cstheme="minorBidi"/>
          <w:b w:val="0"/>
          <w:color w:val="auto"/>
          <w:sz w:val="20"/>
          <w:szCs w:val="20"/>
        </w:rPr>
        <w:t>brownfieldů</w:t>
      </w:r>
      <w:proofErr w:type="spellEnd"/>
      <w:r w:rsidR="60F326EA" w:rsidRPr="3EE66962">
        <w:rPr>
          <w:rFonts w:asciiTheme="minorHAnsi" w:eastAsiaTheme="minorEastAsia" w:hAnsiTheme="minorHAnsi" w:cstheme="minorBidi"/>
          <w:b w:val="0"/>
          <w:color w:val="auto"/>
          <w:sz w:val="20"/>
          <w:szCs w:val="20"/>
        </w:rPr>
        <w:t xml:space="preserve"> na celém území ČR, která urychlí a usnadní najít nové ekonomické nebo veřejně prospěšné využití pro opuštěné a nedostatečně využívané nemovitosti – </w:t>
      </w:r>
      <w:proofErr w:type="spellStart"/>
      <w:r w:rsidR="60F326EA" w:rsidRPr="3EE66962">
        <w:rPr>
          <w:rFonts w:asciiTheme="minorHAnsi" w:eastAsiaTheme="minorEastAsia" w:hAnsiTheme="minorHAnsi" w:cstheme="minorBidi"/>
          <w:b w:val="0"/>
          <w:color w:val="auto"/>
          <w:sz w:val="20"/>
          <w:szCs w:val="20"/>
        </w:rPr>
        <w:t>brownfieldy</w:t>
      </w:r>
      <w:proofErr w:type="spellEnd"/>
      <w:r w:rsidR="60F326EA" w:rsidRPr="3EE66962">
        <w:rPr>
          <w:rFonts w:asciiTheme="minorHAnsi" w:eastAsiaTheme="minorEastAsia" w:hAnsiTheme="minorHAnsi" w:cstheme="minorBidi"/>
          <w:b w:val="0"/>
          <w:color w:val="auto"/>
          <w:sz w:val="20"/>
          <w:szCs w:val="20"/>
        </w:rPr>
        <w:t xml:space="preserve"> na území našich měst a obcí.</w:t>
      </w:r>
      <w:r w:rsidR="612C091A" w:rsidRPr="3EE66962">
        <w:rPr>
          <w:rFonts w:asciiTheme="minorHAnsi" w:eastAsiaTheme="minorEastAsia" w:hAnsiTheme="minorHAnsi" w:cstheme="minorBidi"/>
          <w:b w:val="0"/>
          <w:color w:val="auto"/>
          <w:sz w:val="20"/>
          <w:szCs w:val="20"/>
        </w:rPr>
        <w:t xml:space="preserve"> </w:t>
      </w:r>
    </w:p>
    <w:p w14:paraId="375BFAA1" w14:textId="30472DF0" w:rsidR="00B82946" w:rsidRDefault="60F326EA"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NSRB vymezuje oblasti, na které by se měla zaměřit dotační politika státu, jedná se především o následující oblasti, jejichž podpora je realizovaná </w:t>
      </w:r>
      <w:r w:rsidR="3FC39447" w:rsidRPr="3EE66962">
        <w:rPr>
          <w:rFonts w:asciiTheme="minorHAnsi" w:eastAsiaTheme="minorEastAsia" w:hAnsiTheme="minorHAnsi" w:cstheme="minorBidi"/>
          <w:b w:val="0"/>
          <w:color w:val="auto"/>
          <w:sz w:val="20"/>
          <w:szCs w:val="20"/>
        </w:rPr>
        <w:t>právě</w:t>
      </w:r>
      <w:r w:rsidRPr="3EE66962">
        <w:rPr>
          <w:rFonts w:asciiTheme="minorHAnsi" w:eastAsiaTheme="minorEastAsia" w:hAnsiTheme="minorHAnsi" w:cstheme="minorBidi"/>
          <w:b w:val="0"/>
          <w:color w:val="auto"/>
          <w:sz w:val="20"/>
          <w:szCs w:val="20"/>
        </w:rPr>
        <w:t xml:space="preserve"> v rámci této komponenty:</w:t>
      </w:r>
    </w:p>
    <w:p w14:paraId="6818A8F3" w14:textId="17C342AD" w:rsidR="54B804B4" w:rsidRPr="004C0CCB" w:rsidRDefault="16AF9449" w:rsidP="3EE66962">
      <w:pPr>
        <w:pStyle w:val="K-Nadpis3"/>
        <w:numPr>
          <w:ilvl w:val="0"/>
          <w:numId w:val="37"/>
        </w:numPr>
        <w:rPr>
          <w:rFonts w:asciiTheme="minorHAnsi" w:eastAsiaTheme="minorEastAsia" w:hAnsiTheme="minorHAnsi" w:cstheme="minorBidi"/>
          <w:b w:val="0"/>
          <w:color w:val="000000" w:themeColor="text1"/>
          <w:sz w:val="20"/>
          <w:szCs w:val="20"/>
        </w:rPr>
      </w:pPr>
      <w:r w:rsidRPr="3EE66962">
        <w:rPr>
          <w:rFonts w:asciiTheme="minorHAnsi" w:eastAsiaTheme="minorEastAsia" w:hAnsiTheme="minorHAnsi" w:cstheme="minorBidi"/>
          <w:color w:val="auto"/>
          <w:sz w:val="20"/>
          <w:szCs w:val="20"/>
        </w:rPr>
        <w:t xml:space="preserve">Opatření 2.1: </w:t>
      </w:r>
      <w:r w:rsidR="363B8FB7" w:rsidRPr="3EE66962">
        <w:rPr>
          <w:rFonts w:asciiTheme="minorHAnsi" w:eastAsiaTheme="minorEastAsia" w:hAnsiTheme="minorHAnsi" w:cstheme="minorBidi"/>
          <w:color w:val="auto"/>
          <w:sz w:val="20"/>
          <w:szCs w:val="20"/>
        </w:rPr>
        <w:t>„</w:t>
      </w:r>
      <w:r w:rsidRPr="3EE66962">
        <w:rPr>
          <w:rFonts w:asciiTheme="minorHAnsi" w:eastAsiaTheme="minorEastAsia" w:hAnsiTheme="minorHAnsi" w:cstheme="minorBidi"/>
          <w:color w:val="auto"/>
          <w:sz w:val="20"/>
          <w:szCs w:val="20"/>
        </w:rPr>
        <w:t xml:space="preserve">Nové podnikatelské nemovitosti směřovat na plochy </w:t>
      </w:r>
      <w:proofErr w:type="spellStart"/>
      <w:r w:rsidRPr="3EE66962">
        <w:rPr>
          <w:rFonts w:asciiTheme="minorHAnsi" w:eastAsiaTheme="minorEastAsia" w:hAnsiTheme="minorHAnsi" w:cstheme="minorBidi"/>
          <w:color w:val="auto"/>
          <w:sz w:val="20"/>
          <w:szCs w:val="20"/>
        </w:rPr>
        <w:t>brownfieldů</w:t>
      </w:r>
      <w:proofErr w:type="spellEnd"/>
      <w:r w:rsidR="363B8FB7" w:rsidRPr="3EE66962">
        <w:rPr>
          <w:rFonts w:asciiTheme="minorHAnsi" w:eastAsiaTheme="minorEastAsia" w:hAnsiTheme="minorHAnsi" w:cstheme="minorBidi"/>
          <w:color w:val="auto"/>
          <w:sz w:val="20"/>
          <w:szCs w:val="20"/>
        </w:rPr>
        <w:t xml:space="preserve">.“ </w:t>
      </w:r>
      <w:r w:rsidRPr="3EE66962">
        <w:rPr>
          <w:rFonts w:asciiTheme="minorHAnsi" w:eastAsiaTheme="minorEastAsia" w:hAnsiTheme="minorHAnsi" w:cstheme="minorBidi"/>
          <w:b w:val="0"/>
          <w:color w:val="auto"/>
          <w:sz w:val="20"/>
          <w:szCs w:val="20"/>
        </w:rPr>
        <w:t xml:space="preserve">Úkol: v programech posilovat zaměření na regenerace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Projekty regenerací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preferovat před výstavbou na zelené louce.</w:t>
      </w:r>
    </w:p>
    <w:p w14:paraId="2A2B79E7" w14:textId="0C1D7134" w:rsidR="009D771B" w:rsidRPr="004C0CCB" w:rsidRDefault="16AF9449" w:rsidP="3EE66962">
      <w:pPr>
        <w:pStyle w:val="K-Nadpis3"/>
        <w:numPr>
          <w:ilvl w:val="0"/>
          <w:numId w:val="37"/>
        </w:numPr>
        <w:rPr>
          <w:rFonts w:asciiTheme="minorHAnsi" w:eastAsiaTheme="minorEastAsia" w:hAnsiTheme="minorHAnsi" w:cstheme="minorBidi"/>
          <w:b w:val="0"/>
          <w:color w:val="000000" w:themeColor="text1"/>
          <w:sz w:val="20"/>
          <w:szCs w:val="20"/>
        </w:rPr>
      </w:pPr>
      <w:r w:rsidRPr="3EE66962">
        <w:rPr>
          <w:rFonts w:asciiTheme="minorHAnsi" w:eastAsiaTheme="minorEastAsia" w:hAnsiTheme="minorHAnsi" w:cstheme="minorBidi"/>
          <w:color w:val="auto"/>
          <w:sz w:val="20"/>
          <w:szCs w:val="20"/>
        </w:rPr>
        <w:t xml:space="preserve">Opatření 2.2: </w:t>
      </w:r>
      <w:r w:rsidR="363B8FB7" w:rsidRPr="3EE66962">
        <w:rPr>
          <w:rFonts w:asciiTheme="minorHAnsi" w:eastAsiaTheme="minorEastAsia" w:hAnsiTheme="minorHAnsi" w:cstheme="minorBidi"/>
          <w:color w:val="auto"/>
          <w:sz w:val="20"/>
          <w:szCs w:val="20"/>
        </w:rPr>
        <w:t>„</w:t>
      </w:r>
      <w:r w:rsidRPr="3EE66962">
        <w:rPr>
          <w:rFonts w:asciiTheme="minorHAnsi" w:eastAsiaTheme="minorEastAsia" w:hAnsiTheme="minorHAnsi" w:cstheme="minorBidi"/>
          <w:color w:val="auto"/>
          <w:sz w:val="20"/>
          <w:szCs w:val="20"/>
        </w:rPr>
        <w:t xml:space="preserve">V programech posilovat zaměření na regenerace </w:t>
      </w:r>
      <w:proofErr w:type="spellStart"/>
      <w:r w:rsidRPr="3EE66962">
        <w:rPr>
          <w:rFonts w:asciiTheme="minorHAnsi" w:eastAsiaTheme="minorEastAsia" w:hAnsiTheme="minorHAnsi" w:cstheme="minorBidi"/>
          <w:color w:val="auto"/>
          <w:sz w:val="20"/>
          <w:szCs w:val="20"/>
        </w:rPr>
        <w:t>brownfieldů</w:t>
      </w:r>
      <w:proofErr w:type="spellEnd"/>
      <w:r w:rsidRPr="3EE66962">
        <w:rPr>
          <w:rFonts w:asciiTheme="minorHAnsi" w:eastAsiaTheme="minorEastAsia" w:hAnsiTheme="minorHAnsi" w:cstheme="minorBidi"/>
          <w:color w:val="auto"/>
          <w:sz w:val="20"/>
          <w:szCs w:val="20"/>
        </w:rPr>
        <w:t xml:space="preserve">. Projekty regenerací </w:t>
      </w:r>
      <w:proofErr w:type="spellStart"/>
      <w:r w:rsidRPr="3EE66962">
        <w:rPr>
          <w:rFonts w:asciiTheme="minorHAnsi" w:eastAsiaTheme="minorEastAsia" w:hAnsiTheme="minorHAnsi" w:cstheme="minorBidi"/>
          <w:color w:val="auto"/>
          <w:sz w:val="20"/>
          <w:szCs w:val="20"/>
        </w:rPr>
        <w:t>brownfieldů</w:t>
      </w:r>
      <w:proofErr w:type="spellEnd"/>
      <w:r w:rsidRPr="3EE66962">
        <w:rPr>
          <w:rFonts w:asciiTheme="minorHAnsi" w:eastAsiaTheme="minorEastAsia" w:hAnsiTheme="minorHAnsi" w:cstheme="minorBidi"/>
          <w:color w:val="auto"/>
          <w:sz w:val="20"/>
          <w:szCs w:val="20"/>
        </w:rPr>
        <w:t xml:space="preserve"> preferovat před výstavbou na zelené louce</w:t>
      </w:r>
      <w:r w:rsidR="363B8FB7" w:rsidRPr="3EE66962">
        <w:rPr>
          <w:rFonts w:asciiTheme="minorHAnsi" w:eastAsiaTheme="minorEastAsia" w:hAnsiTheme="minorHAnsi" w:cstheme="minorBidi"/>
          <w:color w:val="auto"/>
          <w:sz w:val="20"/>
          <w:szCs w:val="20"/>
        </w:rPr>
        <w:t xml:space="preserve">.“ </w:t>
      </w:r>
      <w:r w:rsidR="11A328AD" w:rsidRPr="3EE66962">
        <w:rPr>
          <w:rFonts w:asciiTheme="minorHAnsi" w:eastAsiaTheme="minorEastAsia" w:hAnsiTheme="minorHAnsi" w:cstheme="minorBidi"/>
          <w:b w:val="0"/>
          <w:color w:val="auto"/>
          <w:sz w:val="20"/>
          <w:szCs w:val="20"/>
        </w:rPr>
        <w:t xml:space="preserve">Úkol: umožnit obcím čerpat prostředky na projekty regenerace pro funkce bydlení, veřejných prostranství, občanské vybavenosti a infrastruktury. </w:t>
      </w:r>
    </w:p>
    <w:p w14:paraId="4877BBC2" w14:textId="3C7A45FB" w:rsidR="009D771B" w:rsidRPr="004C0CCB" w:rsidRDefault="11A328AD" w:rsidP="3EE66962">
      <w:pPr>
        <w:pStyle w:val="K-Nadpis3"/>
        <w:numPr>
          <w:ilvl w:val="0"/>
          <w:numId w:val="37"/>
        </w:numPr>
        <w:rPr>
          <w:rFonts w:asciiTheme="minorHAnsi" w:eastAsiaTheme="minorEastAsia" w:hAnsiTheme="minorHAnsi" w:cstheme="minorBidi"/>
          <w:b w:val="0"/>
          <w:color w:val="000000" w:themeColor="text1"/>
          <w:sz w:val="20"/>
          <w:szCs w:val="20"/>
        </w:rPr>
      </w:pPr>
      <w:r w:rsidRPr="3EE66962">
        <w:rPr>
          <w:rFonts w:asciiTheme="minorHAnsi" w:eastAsiaTheme="minorEastAsia" w:hAnsiTheme="minorHAnsi" w:cstheme="minorBidi"/>
          <w:color w:val="auto"/>
          <w:sz w:val="20"/>
          <w:szCs w:val="20"/>
        </w:rPr>
        <w:t xml:space="preserve">Opatření 2.6: </w:t>
      </w:r>
      <w:r w:rsidR="363B8FB7" w:rsidRPr="3EE66962">
        <w:rPr>
          <w:rFonts w:asciiTheme="minorHAnsi" w:eastAsiaTheme="minorEastAsia" w:hAnsiTheme="minorHAnsi" w:cstheme="minorBidi"/>
          <w:color w:val="auto"/>
          <w:sz w:val="20"/>
          <w:szCs w:val="20"/>
        </w:rPr>
        <w:t>„</w:t>
      </w:r>
      <w:r w:rsidRPr="3EE66962">
        <w:rPr>
          <w:rFonts w:asciiTheme="minorHAnsi" w:eastAsiaTheme="minorEastAsia" w:hAnsiTheme="minorHAnsi" w:cstheme="minorBidi"/>
          <w:color w:val="auto"/>
          <w:sz w:val="20"/>
          <w:szCs w:val="20"/>
        </w:rPr>
        <w:t xml:space="preserve">Zjednodušení podpory regenerace specifických </w:t>
      </w:r>
      <w:proofErr w:type="spellStart"/>
      <w:r w:rsidRPr="3EE66962">
        <w:rPr>
          <w:rFonts w:asciiTheme="minorHAnsi" w:eastAsiaTheme="minorEastAsia" w:hAnsiTheme="minorHAnsi" w:cstheme="minorBidi"/>
          <w:color w:val="auto"/>
          <w:sz w:val="20"/>
          <w:szCs w:val="20"/>
        </w:rPr>
        <w:t>brownfieldů</w:t>
      </w:r>
      <w:proofErr w:type="spellEnd"/>
      <w:r w:rsidRPr="3EE66962">
        <w:rPr>
          <w:rFonts w:asciiTheme="minorHAnsi" w:eastAsiaTheme="minorEastAsia" w:hAnsiTheme="minorHAnsi" w:cstheme="minorBidi"/>
          <w:color w:val="auto"/>
          <w:sz w:val="20"/>
          <w:szCs w:val="20"/>
        </w:rPr>
        <w:t>.</w:t>
      </w:r>
      <w:r w:rsidR="363B8FB7" w:rsidRPr="3EE66962">
        <w:rPr>
          <w:rFonts w:asciiTheme="minorHAnsi" w:eastAsiaTheme="minorEastAsia" w:hAnsiTheme="minorHAnsi" w:cstheme="minorBidi"/>
          <w:color w:val="auto"/>
          <w:sz w:val="20"/>
          <w:szCs w:val="20"/>
        </w:rPr>
        <w:t>“</w:t>
      </w:r>
      <w:r w:rsidR="60F326EA" w:rsidRPr="3EE66962">
        <w:rPr>
          <w:rFonts w:asciiTheme="minorHAnsi" w:eastAsiaTheme="minorEastAsia" w:hAnsiTheme="minorHAnsi" w:cstheme="minorBidi"/>
          <w:color w:val="auto"/>
          <w:sz w:val="20"/>
          <w:szCs w:val="20"/>
        </w:rPr>
        <w:t xml:space="preserve"> </w:t>
      </w:r>
      <w:r w:rsidRPr="3EE66962">
        <w:rPr>
          <w:rFonts w:asciiTheme="minorHAnsi" w:eastAsiaTheme="minorEastAsia" w:hAnsiTheme="minorHAnsi" w:cstheme="minorBidi"/>
          <w:b w:val="0"/>
          <w:color w:val="auto"/>
          <w:sz w:val="20"/>
          <w:szCs w:val="20"/>
        </w:rPr>
        <w:t xml:space="preserve">Úkol: Navrhnout opatření, které by se týkalo zjednodušení podpory regenerace specifických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které vyžadují součinnost několika dotačních titulů (sanace, podnikatelské a nepodnikatelské využití) a které by vedlo k multifunkčnosti využití objektů.</w:t>
      </w:r>
    </w:p>
    <w:p w14:paraId="6EF74FC9" w14:textId="32EA9A4A" w:rsidR="004C0CCB" w:rsidRDefault="60F326EA"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NSRB </w:t>
      </w:r>
      <w:r w:rsidR="4EC4D654" w:rsidRPr="3EE66962">
        <w:rPr>
          <w:rFonts w:asciiTheme="minorHAnsi" w:eastAsiaTheme="minorEastAsia" w:hAnsiTheme="minorHAnsi" w:cstheme="minorBidi"/>
          <w:b w:val="0"/>
          <w:color w:val="auto"/>
          <w:sz w:val="20"/>
          <w:szCs w:val="20"/>
        </w:rPr>
        <w:t>stanovuje</w:t>
      </w:r>
      <w:r w:rsidRPr="3EE66962">
        <w:rPr>
          <w:rFonts w:asciiTheme="minorHAnsi" w:eastAsiaTheme="minorEastAsia" w:hAnsiTheme="minorHAnsi" w:cstheme="minorBidi"/>
          <w:b w:val="0"/>
          <w:color w:val="auto"/>
          <w:sz w:val="20"/>
          <w:szCs w:val="20"/>
        </w:rPr>
        <w:t xml:space="preserve"> další reformy v oblasti regenerace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kter</w:t>
      </w:r>
      <w:r w:rsidR="4EC4D654" w:rsidRPr="3EE66962">
        <w:rPr>
          <w:rFonts w:asciiTheme="minorHAnsi" w:eastAsiaTheme="minorEastAsia" w:hAnsiTheme="minorHAnsi" w:cstheme="minorBidi"/>
          <w:b w:val="0"/>
          <w:color w:val="auto"/>
          <w:sz w:val="20"/>
          <w:szCs w:val="20"/>
        </w:rPr>
        <w:t>é</w:t>
      </w:r>
      <w:r w:rsidRPr="3EE66962">
        <w:rPr>
          <w:rFonts w:asciiTheme="minorHAnsi" w:eastAsiaTheme="minorEastAsia" w:hAnsiTheme="minorHAnsi" w:cstheme="minorBidi"/>
          <w:b w:val="0"/>
          <w:color w:val="auto"/>
          <w:sz w:val="20"/>
          <w:szCs w:val="20"/>
        </w:rPr>
        <w:t xml:space="preserve"> budou mezi lety 2019</w:t>
      </w:r>
      <w:r w:rsidR="4EC4D654" w:rsidRPr="3EE66962">
        <w:rPr>
          <w:rFonts w:asciiTheme="minorHAnsi" w:eastAsiaTheme="minorEastAsia" w:hAnsiTheme="minorHAnsi" w:cstheme="minorBidi"/>
          <w:b w:val="0"/>
          <w:color w:val="auto"/>
          <w:sz w:val="20"/>
          <w:szCs w:val="20"/>
        </w:rPr>
        <w:t>–</w:t>
      </w:r>
      <w:r w:rsidRPr="3EE66962">
        <w:rPr>
          <w:rFonts w:asciiTheme="minorHAnsi" w:eastAsiaTheme="minorEastAsia" w:hAnsiTheme="minorHAnsi" w:cstheme="minorBidi"/>
          <w:b w:val="0"/>
          <w:color w:val="auto"/>
          <w:sz w:val="20"/>
          <w:szCs w:val="20"/>
        </w:rPr>
        <w:t xml:space="preserve">2024 realizovány na úrovni </w:t>
      </w:r>
      <w:r w:rsidR="4EC4D654" w:rsidRPr="3EE66962">
        <w:rPr>
          <w:rFonts w:asciiTheme="minorHAnsi" w:eastAsiaTheme="minorEastAsia" w:hAnsiTheme="minorHAnsi" w:cstheme="minorBidi"/>
          <w:b w:val="0"/>
          <w:color w:val="auto"/>
          <w:sz w:val="20"/>
          <w:szCs w:val="20"/>
        </w:rPr>
        <w:t xml:space="preserve">jednotlivých rezortů a u těchto reforem není </w:t>
      </w:r>
      <w:r w:rsidRPr="3EE66962">
        <w:rPr>
          <w:rFonts w:asciiTheme="minorHAnsi" w:eastAsiaTheme="minorEastAsia" w:hAnsiTheme="minorHAnsi" w:cstheme="minorBidi"/>
          <w:b w:val="0"/>
          <w:color w:val="auto"/>
          <w:sz w:val="20"/>
          <w:szCs w:val="20"/>
        </w:rPr>
        <w:t xml:space="preserve">vyžadováno financování z Národního plánu obnovy. Jedná se o </w:t>
      </w:r>
      <w:r w:rsidR="6101717E" w:rsidRPr="3EE66962">
        <w:rPr>
          <w:rFonts w:asciiTheme="minorHAnsi" w:eastAsiaTheme="minorEastAsia" w:hAnsiTheme="minorHAnsi" w:cstheme="minorBidi"/>
          <w:b w:val="0"/>
          <w:color w:val="auto"/>
          <w:sz w:val="20"/>
          <w:szCs w:val="20"/>
        </w:rPr>
        <w:t>následující</w:t>
      </w:r>
      <w:r w:rsidRPr="3EE66962">
        <w:rPr>
          <w:rFonts w:asciiTheme="minorHAnsi" w:eastAsiaTheme="minorEastAsia" w:hAnsiTheme="minorHAnsi" w:cstheme="minorBidi"/>
          <w:b w:val="0"/>
          <w:color w:val="auto"/>
          <w:sz w:val="20"/>
          <w:szCs w:val="20"/>
        </w:rPr>
        <w:t xml:space="preserve"> opatření: </w:t>
      </w:r>
    </w:p>
    <w:p w14:paraId="66376E48" w14:textId="24EBA0A8" w:rsidR="004C0CCB" w:rsidRPr="004C0CCB" w:rsidRDefault="60F326EA" w:rsidP="3EE66962">
      <w:pPr>
        <w:pStyle w:val="K-Nadpis3"/>
        <w:numPr>
          <w:ilvl w:val="0"/>
          <w:numId w:val="44"/>
        </w:numPr>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Opatření 3.2: Zajistit plošné monitorování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využitím územně analytických podkladů</w:t>
      </w:r>
      <w:r w:rsidR="1F4311A0" w:rsidRPr="3EE66962">
        <w:rPr>
          <w:rFonts w:asciiTheme="minorHAnsi" w:eastAsiaTheme="minorEastAsia" w:hAnsiTheme="minorHAnsi" w:cstheme="minorBidi"/>
          <w:b w:val="0"/>
          <w:color w:val="auto"/>
          <w:sz w:val="20"/>
          <w:szCs w:val="20"/>
        </w:rPr>
        <w:t xml:space="preserve">. </w:t>
      </w:r>
    </w:p>
    <w:p w14:paraId="41427E65" w14:textId="6D2DE9D6" w:rsidR="004C0CCB" w:rsidRPr="003F35DB" w:rsidRDefault="60F326EA" w:rsidP="3EE66962">
      <w:pPr>
        <w:pStyle w:val="K-Nadpis3"/>
        <w:numPr>
          <w:ilvl w:val="0"/>
          <w:numId w:val="44"/>
        </w:numPr>
        <w:rPr>
          <w:rFonts w:asciiTheme="minorHAnsi" w:eastAsiaTheme="minorEastAsia" w:hAnsiTheme="minorHAnsi" w:cstheme="minorBidi"/>
          <w:color w:val="auto"/>
          <w:sz w:val="20"/>
          <w:szCs w:val="20"/>
        </w:rPr>
      </w:pPr>
      <w:r w:rsidRPr="3EE66962">
        <w:rPr>
          <w:rFonts w:asciiTheme="minorHAnsi" w:eastAsiaTheme="minorEastAsia" w:hAnsiTheme="minorHAnsi" w:cstheme="minorBidi"/>
          <w:b w:val="0"/>
          <w:color w:val="auto"/>
          <w:sz w:val="20"/>
          <w:szCs w:val="20"/>
        </w:rPr>
        <w:lastRenderedPageBreak/>
        <w:t>Opatření 3.3: Rozvoj a aktualizace Národní databáz</w:t>
      </w:r>
      <w:r w:rsidR="363B8FB7" w:rsidRPr="3EE66962">
        <w:rPr>
          <w:rFonts w:asciiTheme="minorHAnsi" w:eastAsiaTheme="minorEastAsia" w:hAnsiTheme="minorHAnsi" w:cstheme="minorBidi"/>
          <w:b w:val="0"/>
          <w:color w:val="auto"/>
          <w:sz w:val="20"/>
          <w:szCs w:val="20"/>
        </w:rPr>
        <w:t>e</w:t>
      </w:r>
      <w:r w:rsidRPr="3EE66962">
        <w:rPr>
          <w:rFonts w:asciiTheme="minorHAnsi" w:eastAsiaTheme="minorEastAsia" w:hAnsiTheme="minorHAnsi" w:cstheme="minorBidi"/>
          <w:b w:val="0"/>
          <w:color w:val="auto"/>
          <w:sz w:val="20"/>
          <w:szCs w:val="20"/>
        </w:rPr>
        <w:t xml:space="preserve">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w:t>
      </w:r>
    </w:p>
    <w:p w14:paraId="5D751995" w14:textId="48A990C4" w:rsidR="004C0CCB" w:rsidRPr="00D42000" w:rsidRDefault="60F326EA" w:rsidP="3EE66962">
      <w:pPr>
        <w:pStyle w:val="K-Nadpis3"/>
        <w:numPr>
          <w:ilvl w:val="0"/>
          <w:numId w:val="44"/>
        </w:numPr>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Opatření 3.7: </w:t>
      </w:r>
      <w:r w:rsidR="6101717E" w:rsidRPr="3EE66962">
        <w:rPr>
          <w:rFonts w:asciiTheme="minorHAnsi" w:eastAsiaTheme="minorEastAsia" w:hAnsiTheme="minorHAnsi" w:cstheme="minorBidi"/>
          <w:b w:val="0"/>
          <w:color w:val="auto"/>
          <w:sz w:val="20"/>
          <w:szCs w:val="20"/>
        </w:rPr>
        <w:t>Zohlednění</w:t>
      </w:r>
      <w:r w:rsidRPr="3EE66962">
        <w:rPr>
          <w:rFonts w:asciiTheme="minorHAnsi" w:eastAsiaTheme="minorEastAsia" w:hAnsiTheme="minorHAnsi" w:cstheme="minorBidi"/>
          <w:b w:val="0"/>
          <w:color w:val="auto"/>
          <w:sz w:val="20"/>
          <w:szCs w:val="20"/>
        </w:rPr>
        <w:t xml:space="preserve"> plochy přestavby při vymezování nových ploch k zastavění.</w:t>
      </w:r>
    </w:p>
    <w:p w14:paraId="2B40B3BD" w14:textId="5824D622" w:rsidR="004C0CCB" w:rsidRDefault="3B05C71D" w:rsidP="3D1952B0">
      <w:pPr>
        <w:pStyle w:val="K-Nadpis3"/>
        <w:rPr>
          <w:rFonts w:asciiTheme="minorHAnsi" w:eastAsiaTheme="minorEastAsia" w:hAnsiTheme="minorHAnsi" w:cstheme="minorBidi"/>
          <w:b w:val="0"/>
          <w:color w:val="auto"/>
          <w:sz w:val="20"/>
          <w:szCs w:val="20"/>
        </w:rPr>
      </w:pPr>
      <w:r w:rsidRPr="3D1952B0">
        <w:rPr>
          <w:rFonts w:asciiTheme="minorHAnsi" w:eastAsiaTheme="minorEastAsia" w:hAnsiTheme="minorHAnsi" w:cstheme="minorBidi"/>
          <w:b w:val="0"/>
          <w:color w:val="auto"/>
          <w:sz w:val="20"/>
          <w:szCs w:val="20"/>
        </w:rPr>
        <w:t xml:space="preserve">Mimo to je potřeba směřovat rozvoj do </w:t>
      </w:r>
      <w:proofErr w:type="spellStart"/>
      <w:r w:rsidRPr="3D1952B0">
        <w:rPr>
          <w:rFonts w:asciiTheme="minorHAnsi" w:eastAsiaTheme="minorEastAsia" w:hAnsiTheme="minorHAnsi" w:cstheme="minorBidi"/>
          <w:b w:val="0"/>
          <w:color w:val="auto"/>
          <w:sz w:val="20"/>
          <w:szCs w:val="20"/>
        </w:rPr>
        <w:t>brownfieldů</w:t>
      </w:r>
      <w:proofErr w:type="spellEnd"/>
      <w:r w:rsidRPr="3D1952B0">
        <w:rPr>
          <w:rFonts w:asciiTheme="minorHAnsi" w:eastAsiaTheme="minorEastAsia" w:hAnsiTheme="minorHAnsi" w:cstheme="minorBidi"/>
          <w:b w:val="0"/>
          <w:color w:val="auto"/>
          <w:sz w:val="20"/>
          <w:szCs w:val="20"/>
        </w:rPr>
        <w:t xml:space="preserve"> namísto zelených ploch akcentována také v dalších vládních strategiích a dokumentech. </w:t>
      </w:r>
    </w:p>
    <w:p w14:paraId="49B9C143" w14:textId="2673FE2B" w:rsidR="004C0CCB" w:rsidRDefault="60F326EA" w:rsidP="3EE66962">
      <w:pPr>
        <w:pStyle w:val="K-Nadpis3"/>
        <w:numPr>
          <w:ilvl w:val="0"/>
          <w:numId w:val="45"/>
        </w:numPr>
        <w:rPr>
          <w:rFonts w:asciiTheme="minorHAnsi" w:eastAsiaTheme="minorEastAsia" w:hAnsiTheme="minorHAnsi" w:cstheme="minorBidi"/>
          <w:b w:val="0"/>
          <w:color w:val="auto"/>
          <w:sz w:val="20"/>
          <w:szCs w:val="20"/>
        </w:rPr>
      </w:pPr>
      <w:r w:rsidRPr="02FE81AC">
        <w:rPr>
          <w:rFonts w:asciiTheme="minorHAnsi" w:eastAsiaTheme="minorEastAsia" w:hAnsiTheme="minorHAnsi" w:cstheme="minorBidi"/>
          <w:i/>
          <w:iCs/>
          <w:color w:val="auto"/>
          <w:sz w:val="20"/>
          <w:szCs w:val="20"/>
        </w:rPr>
        <w:t>Strategický rámec strategie hospodářské restrukturalizace Ústeckého, Moravskoslezského a Karlovarského kraje (</w:t>
      </w:r>
      <w:proofErr w:type="spellStart"/>
      <w:proofErr w:type="gramStart"/>
      <w:r w:rsidRPr="02FE81AC">
        <w:rPr>
          <w:rFonts w:asciiTheme="minorHAnsi" w:eastAsiaTheme="minorEastAsia" w:hAnsiTheme="minorHAnsi" w:cstheme="minorBidi"/>
          <w:i/>
          <w:iCs/>
          <w:color w:val="auto"/>
          <w:sz w:val="20"/>
          <w:szCs w:val="20"/>
        </w:rPr>
        <w:t>Re:Start</w:t>
      </w:r>
      <w:proofErr w:type="spellEnd"/>
      <w:proofErr w:type="gramEnd"/>
      <w:r w:rsidRPr="02FE81AC">
        <w:rPr>
          <w:rFonts w:asciiTheme="minorHAnsi" w:eastAsiaTheme="minorEastAsia" w:hAnsiTheme="minorHAnsi" w:cstheme="minorBidi"/>
          <w:i/>
          <w:iCs/>
          <w:color w:val="auto"/>
          <w:sz w:val="20"/>
          <w:szCs w:val="20"/>
        </w:rPr>
        <w:t>).</w:t>
      </w:r>
      <w:r w:rsidRPr="02FE81AC">
        <w:rPr>
          <w:rFonts w:asciiTheme="minorHAnsi" w:eastAsiaTheme="minorEastAsia" w:hAnsiTheme="minorHAnsi" w:cstheme="minorBidi"/>
          <w:b w:val="0"/>
          <w:color w:val="auto"/>
          <w:sz w:val="20"/>
          <w:szCs w:val="20"/>
        </w:rPr>
        <w:t xml:space="preserve"> Jeho akční plány </w:t>
      </w:r>
      <w:r w:rsidR="37539E75" w:rsidRPr="02FE81AC">
        <w:rPr>
          <w:rFonts w:asciiTheme="minorHAnsi" w:eastAsiaTheme="minorEastAsia" w:hAnsiTheme="minorHAnsi" w:cstheme="minorBidi"/>
          <w:b w:val="0"/>
          <w:color w:val="auto"/>
          <w:sz w:val="20"/>
          <w:szCs w:val="20"/>
        </w:rPr>
        <w:t xml:space="preserve">MMR i MPO </w:t>
      </w:r>
      <w:r w:rsidR="1F4311A0" w:rsidRPr="02FE81AC">
        <w:rPr>
          <w:rFonts w:asciiTheme="minorHAnsi" w:eastAsiaTheme="minorEastAsia" w:hAnsiTheme="minorHAnsi" w:cstheme="minorBidi"/>
          <w:b w:val="0"/>
          <w:color w:val="auto"/>
          <w:sz w:val="20"/>
          <w:szCs w:val="20"/>
        </w:rPr>
        <w:t xml:space="preserve">stanovují </w:t>
      </w:r>
      <w:r w:rsidR="4AED247A" w:rsidRPr="02FE81AC">
        <w:rPr>
          <w:rFonts w:asciiTheme="minorHAnsi" w:eastAsiaTheme="minorEastAsia" w:hAnsiTheme="minorHAnsi" w:cstheme="minorBidi"/>
          <w:b w:val="0"/>
          <w:color w:val="auto"/>
          <w:sz w:val="20"/>
          <w:szCs w:val="20"/>
        </w:rPr>
        <w:t>ú</w:t>
      </w:r>
      <w:r w:rsidR="6FEEDBD4" w:rsidRPr="02FE81AC">
        <w:rPr>
          <w:rFonts w:asciiTheme="minorHAnsi" w:eastAsiaTheme="minorEastAsia" w:hAnsiTheme="minorHAnsi" w:cstheme="minorBidi"/>
          <w:b w:val="0"/>
          <w:color w:val="auto"/>
          <w:sz w:val="20"/>
          <w:szCs w:val="20"/>
        </w:rPr>
        <w:t>koly</w:t>
      </w:r>
      <w:r w:rsidR="37539E75" w:rsidRPr="02FE81AC">
        <w:rPr>
          <w:rFonts w:asciiTheme="minorHAnsi" w:eastAsiaTheme="minorEastAsia" w:hAnsiTheme="minorHAnsi" w:cstheme="minorBidi"/>
          <w:b w:val="0"/>
          <w:color w:val="auto"/>
          <w:sz w:val="20"/>
          <w:szCs w:val="20"/>
        </w:rPr>
        <w:t xml:space="preserve"> řešit </w:t>
      </w:r>
      <w:r w:rsidR="1F4311A0" w:rsidRPr="02FE81AC">
        <w:rPr>
          <w:rFonts w:asciiTheme="minorHAnsi" w:eastAsiaTheme="minorEastAsia" w:hAnsiTheme="minorHAnsi" w:cstheme="minorBidi"/>
          <w:b w:val="0"/>
          <w:color w:val="auto"/>
          <w:sz w:val="20"/>
          <w:szCs w:val="20"/>
        </w:rPr>
        <w:t xml:space="preserve">regeneraci </w:t>
      </w:r>
      <w:proofErr w:type="spellStart"/>
      <w:r w:rsidR="1F4311A0" w:rsidRPr="02FE81AC">
        <w:rPr>
          <w:rFonts w:asciiTheme="minorHAnsi" w:eastAsiaTheme="minorEastAsia" w:hAnsiTheme="minorHAnsi" w:cstheme="minorBidi"/>
          <w:b w:val="0"/>
          <w:color w:val="auto"/>
          <w:sz w:val="20"/>
          <w:szCs w:val="20"/>
        </w:rPr>
        <w:t>brownfieldů</w:t>
      </w:r>
      <w:proofErr w:type="spellEnd"/>
      <w:r w:rsidR="1F4311A0" w:rsidRPr="02FE81AC">
        <w:rPr>
          <w:rFonts w:asciiTheme="minorHAnsi" w:eastAsiaTheme="minorEastAsia" w:hAnsiTheme="minorHAnsi" w:cstheme="minorBidi"/>
          <w:b w:val="0"/>
          <w:color w:val="auto"/>
          <w:sz w:val="20"/>
          <w:szCs w:val="20"/>
        </w:rPr>
        <w:t xml:space="preserve"> pro </w:t>
      </w:r>
      <w:r w:rsidR="37539E75" w:rsidRPr="02FE81AC">
        <w:rPr>
          <w:rFonts w:asciiTheme="minorHAnsi" w:eastAsiaTheme="minorEastAsia" w:hAnsiTheme="minorHAnsi" w:cstheme="minorBidi"/>
          <w:b w:val="0"/>
          <w:color w:val="auto"/>
          <w:sz w:val="20"/>
          <w:szCs w:val="20"/>
        </w:rPr>
        <w:t>podnikatelské i nepodnikatelské využití ve vlastnictví územn</w:t>
      </w:r>
      <w:r w:rsidR="63DFB818" w:rsidRPr="02FE81AC">
        <w:rPr>
          <w:rFonts w:asciiTheme="minorHAnsi" w:eastAsiaTheme="minorEastAsia" w:hAnsiTheme="minorHAnsi" w:cstheme="minorBidi"/>
          <w:b w:val="0"/>
          <w:color w:val="auto"/>
          <w:sz w:val="20"/>
          <w:szCs w:val="20"/>
        </w:rPr>
        <w:t>ích</w:t>
      </w:r>
      <w:r w:rsidR="37539E75" w:rsidRPr="02FE81AC">
        <w:rPr>
          <w:rFonts w:asciiTheme="minorHAnsi" w:eastAsiaTheme="minorEastAsia" w:hAnsiTheme="minorHAnsi" w:cstheme="minorBidi"/>
          <w:b w:val="0"/>
          <w:color w:val="auto"/>
          <w:sz w:val="20"/>
          <w:szCs w:val="20"/>
        </w:rPr>
        <w:t xml:space="preserve"> samosprávných celků, potřebu řešit rozsáhlé specifické </w:t>
      </w:r>
      <w:proofErr w:type="spellStart"/>
      <w:r w:rsidR="37539E75" w:rsidRPr="02FE81AC">
        <w:rPr>
          <w:rFonts w:asciiTheme="minorHAnsi" w:eastAsiaTheme="minorEastAsia" w:hAnsiTheme="minorHAnsi" w:cstheme="minorBidi"/>
          <w:b w:val="0"/>
          <w:color w:val="auto"/>
          <w:sz w:val="20"/>
          <w:szCs w:val="20"/>
        </w:rPr>
        <w:t>brownfieldy</w:t>
      </w:r>
      <w:proofErr w:type="spellEnd"/>
      <w:r w:rsidR="37539E75" w:rsidRPr="02FE81AC">
        <w:rPr>
          <w:rFonts w:asciiTheme="minorHAnsi" w:eastAsiaTheme="minorEastAsia" w:hAnsiTheme="minorHAnsi" w:cstheme="minorBidi"/>
          <w:b w:val="0"/>
          <w:color w:val="auto"/>
          <w:sz w:val="20"/>
          <w:szCs w:val="20"/>
        </w:rPr>
        <w:t xml:space="preserve"> a podporovat vznik studií a analýz budoucího využití </w:t>
      </w:r>
      <w:proofErr w:type="spellStart"/>
      <w:r w:rsidR="37539E75" w:rsidRPr="02FE81AC">
        <w:rPr>
          <w:rFonts w:asciiTheme="minorHAnsi" w:eastAsiaTheme="minorEastAsia" w:hAnsiTheme="minorHAnsi" w:cstheme="minorBidi"/>
          <w:b w:val="0"/>
          <w:color w:val="auto"/>
          <w:sz w:val="20"/>
          <w:szCs w:val="20"/>
        </w:rPr>
        <w:t>brownfieldů</w:t>
      </w:r>
      <w:proofErr w:type="spellEnd"/>
      <w:r w:rsidR="37539E75" w:rsidRPr="02FE81AC">
        <w:rPr>
          <w:rFonts w:asciiTheme="minorHAnsi" w:eastAsiaTheme="minorEastAsia" w:hAnsiTheme="minorHAnsi" w:cstheme="minorBidi"/>
          <w:b w:val="0"/>
          <w:color w:val="auto"/>
          <w:sz w:val="20"/>
          <w:szCs w:val="20"/>
        </w:rPr>
        <w:t>.</w:t>
      </w:r>
      <w:r w:rsidR="612C091A" w:rsidRPr="02FE81AC">
        <w:rPr>
          <w:rFonts w:asciiTheme="minorHAnsi" w:eastAsiaTheme="minorEastAsia" w:hAnsiTheme="minorHAnsi" w:cstheme="minorBidi"/>
          <w:b w:val="0"/>
          <w:color w:val="auto"/>
          <w:sz w:val="20"/>
          <w:szCs w:val="20"/>
        </w:rPr>
        <w:t xml:space="preserve"> </w:t>
      </w:r>
    </w:p>
    <w:p w14:paraId="723B1853" w14:textId="457B7CB4" w:rsidR="00C92863" w:rsidRPr="00B50A5A" w:rsidRDefault="3E3DC85C" w:rsidP="3EE66962">
      <w:pPr>
        <w:pStyle w:val="K-Nadpis3"/>
        <w:numPr>
          <w:ilvl w:val="0"/>
          <w:numId w:val="45"/>
        </w:numPr>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i/>
          <w:iCs/>
          <w:color w:val="auto"/>
          <w:sz w:val="20"/>
          <w:szCs w:val="20"/>
        </w:rPr>
        <w:t>Akční plán Strategie regionální rozvoje 2021</w:t>
      </w:r>
      <w:r w:rsidR="1F4311A0" w:rsidRPr="3EE66962">
        <w:rPr>
          <w:rFonts w:asciiTheme="minorHAnsi" w:eastAsiaTheme="minorEastAsia" w:hAnsiTheme="minorHAnsi" w:cstheme="minorBidi"/>
          <w:i/>
          <w:iCs/>
          <w:color w:val="auto"/>
          <w:sz w:val="20"/>
          <w:szCs w:val="20"/>
        </w:rPr>
        <w:t>–</w:t>
      </w:r>
      <w:r w:rsidR="3930B81A" w:rsidRPr="3EE66962">
        <w:rPr>
          <w:rFonts w:asciiTheme="minorHAnsi" w:eastAsiaTheme="minorEastAsia" w:hAnsiTheme="minorHAnsi" w:cstheme="minorBidi"/>
          <w:i/>
          <w:iCs/>
          <w:color w:val="auto"/>
          <w:sz w:val="20"/>
          <w:szCs w:val="20"/>
        </w:rPr>
        <w:t>2022</w:t>
      </w:r>
      <w:r w:rsidR="3930B81A" w:rsidRPr="3EE66962">
        <w:rPr>
          <w:rFonts w:asciiTheme="minorHAnsi" w:eastAsiaTheme="minorEastAsia" w:hAnsiTheme="minorHAnsi" w:cstheme="minorBidi"/>
          <w:b w:val="0"/>
          <w:color w:val="auto"/>
          <w:sz w:val="20"/>
          <w:szCs w:val="20"/>
        </w:rPr>
        <w:t>, který mj. urč</w:t>
      </w:r>
      <w:r w:rsidR="28A721BF" w:rsidRPr="3EE66962">
        <w:rPr>
          <w:rFonts w:asciiTheme="minorHAnsi" w:eastAsiaTheme="minorEastAsia" w:hAnsiTheme="minorHAnsi" w:cstheme="minorBidi"/>
          <w:b w:val="0"/>
          <w:color w:val="auto"/>
          <w:sz w:val="20"/>
          <w:szCs w:val="20"/>
        </w:rPr>
        <w:t>u</w:t>
      </w:r>
      <w:r w:rsidR="3930B81A" w:rsidRPr="3EE66962">
        <w:rPr>
          <w:rFonts w:asciiTheme="minorHAnsi" w:eastAsiaTheme="minorEastAsia" w:hAnsiTheme="minorHAnsi" w:cstheme="minorBidi"/>
          <w:b w:val="0"/>
          <w:color w:val="auto"/>
          <w:sz w:val="20"/>
          <w:szCs w:val="20"/>
        </w:rPr>
        <w:t xml:space="preserve">je, že politika státu by se měla zaměřit </w:t>
      </w:r>
      <w:r w:rsidR="28A721BF" w:rsidRPr="3EE66962">
        <w:rPr>
          <w:rFonts w:asciiTheme="minorHAnsi" w:eastAsiaTheme="minorEastAsia" w:hAnsiTheme="minorHAnsi" w:cstheme="minorBidi"/>
          <w:b w:val="0"/>
          <w:color w:val="auto"/>
          <w:sz w:val="20"/>
          <w:szCs w:val="20"/>
        </w:rPr>
        <w:t xml:space="preserve">na koordinaci </w:t>
      </w:r>
      <w:proofErr w:type="spellStart"/>
      <w:r w:rsidR="28A721BF" w:rsidRPr="3EE66962">
        <w:rPr>
          <w:rFonts w:asciiTheme="minorHAnsi" w:eastAsiaTheme="minorEastAsia" w:hAnsiTheme="minorHAnsi" w:cstheme="minorBidi"/>
          <w:b w:val="0"/>
          <w:color w:val="auto"/>
          <w:sz w:val="20"/>
          <w:szCs w:val="20"/>
        </w:rPr>
        <w:t>d</w:t>
      </w:r>
      <w:r w:rsidR="3930B81A" w:rsidRPr="3EE66962">
        <w:rPr>
          <w:rFonts w:asciiTheme="minorHAnsi" w:eastAsiaTheme="minorEastAsia" w:hAnsiTheme="minorHAnsi" w:cstheme="minorBidi"/>
          <w:b w:val="0"/>
          <w:color w:val="auto"/>
          <w:sz w:val="20"/>
          <w:szCs w:val="20"/>
        </w:rPr>
        <w:t>evelopmentu</w:t>
      </w:r>
      <w:proofErr w:type="spellEnd"/>
      <w:r w:rsidR="3930B81A" w:rsidRPr="3EE66962">
        <w:rPr>
          <w:rFonts w:asciiTheme="minorHAnsi" w:eastAsiaTheme="minorEastAsia" w:hAnsiTheme="minorHAnsi" w:cstheme="minorBidi"/>
          <w:b w:val="0"/>
          <w:color w:val="auto"/>
          <w:sz w:val="20"/>
          <w:szCs w:val="20"/>
        </w:rPr>
        <w:t xml:space="preserve"> vzhledem k vytváření žádaných druhů služeb a provozoven např. v parteru bytových domů (ordinace, občanská vybavenost aj.) prostřednictvím územního a stavebního řízení (obce)</w:t>
      </w:r>
      <w:r w:rsidR="78CD477B" w:rsidRPr="3EE66962">
        <w:rPr>
          <w:rFonts w:asciiTheme="minorHAnsi" w:eastAsiaTheme="minorEastAsia" w:hAnsiTheme="minorHAnsi" w:cstheme="minorBidi"/>
          <w:b w:val="0"/>
          <w:color w:val="auto"/>
          <w:sz w:val="20"/>
          <w:szCs w:val="20"/>
        </w:rPr>
        <w:t xml:space="preserve"> a</w:t>
      </w:r>
      <w:r w:rsidR="28A721BF" w:rsidRPr="3EE66962">
        <w:rPr>
          <w:rFonts w:asciiTheme="minorHAnsi" w:eastAsiaTheme="minorEastAsia" w:hAnsiTheme="minorHAnsi" w:cstheme="minorBidi"/>
          <w:b w:val="0"/>
          <w:color w:val="auto"/>
          <w:sz w:val="20"/>
          <w:szCs w:val="20"/>
        </w:rPr>
        <w:t xml:space="preserve"> zohlednění regionálních center a hospodářsky a sociálně ohrožených územích v dotační politice státu zaměřené na regenerace </w:t>
      </w:r>
      <w:proofErr w:type="spellStart"/>
      <w:r w:rsidR="28A721BF" w:rsidRPr="3EE66962">
        <w:rPr>
          <w:rFonts w:asciiTheme="minorHAnsi" w:eastAsiaTheme="minorEastAsia" w:hAnsiTheme="minorHAnsi" w:cstheme="minorBidi"/>
          <w:b w:val="0"/>
          <w:color w:val="auto"/>
          <w:sz w:val="20"/>
          <w:szCs w:val="20"/>
        </w:rPr>
        <w:t>brownfieldů</w:t>
      </w:r>
      <w:proofErr w:type="spellEnd"/>
      <w:r w:rsidR="28A721BF" w:rsidRPr="3EE66962">
        <w:rPr>
          <w:rFonts w:asciiTheme="minorHAnsi" w:eastAsiaTheme="minorEastAsia" w:hAnsiTheme="minorHAnsi" w:cstheme="minorBidi"/>
          <w:b w:val="0"/>
          <w:color w:val="auto"/>
          <w:sz w:val="20"/>
          <w:szCs w:val="20"/>
        </w:rPr>
        <w:t xml:space="preserve">. Zároveň rezorty mají </w:t>
      </w:r>
      <w:r w:rsidR="3930B81A" w:rsidRPr="3EE66962">
        <w:rPr>
          <w:rFonts w:asciiTheme="minorHAnsi" w:eastAsiaTheme="minorEastAsia" w:hAnsiTheme="minorHAnsi" w:cstheme="minorBidi"/>
          <w:b w:val="0"/>
          <w:color w:val="auto"/>
          <w:sz w:val="20"/>
          <w:szCs w:val="20"/>
        </w:rPr>
        <w:t xml:space="preserve">spolupracovat na zjednodušení kombinované vícezdrojové podpory </w:t>
      </w:r>
      <w:proofErr w:type="spellStart"/>
      <w:r w:rsidR="3930B81A" w:rsidRPr="3EE66962">
        <w:rPr>
          <w:rFonts w:asciiTheme="minorHAnsi" w:eastAsiaTheme="minorEastAsia" w:hAnsiTheme="minorHAnsi" w:cstheme="minorBidi"/>
          <w:b w:val="0"/>
          <w:color w:val="auto"/>
          <w:sz w:val="20"/>
          <w:szCs w:val="20"/>
        </w:rPr>
        <w:t>brownfieldů</w:t>
      </w:r>
      <w:proofErr w:type="spellEnd"/>
      <w:r w:rsidR="3930B81A" w:rsidRPr="3EE66962">
        <w:rPr>
          <w:rFonts w:asciiTheme="minorHAnsi" w:eastAsiaTheme="minorEastAsia" w:hAnsiTheme="minorHAnsi" w:cstheme="minorBidi"/>
          <w:b w:val="0"/>
          <w:color w:val="auto"/>
          <w:sz w:val="20"/>
          <w:szCs w:val="20"/>
        </w:rPr>
        <w:t>.</w:t>
      </w:r>
    </w:p>
    <w:p w14:paraId="1D3A7551" w14:textId="0B4E4045" w:rsidR="00474078" w:rsidRDefault="78CD477B" w:rsidP="3EE66962">
      <w:pPr>
        <w:pStyle w:val="K-Nadpis3"/>
        <w:rPr>
          <w:rFonts w:asciiTheme="minorHAnsi" w:eastAsiaTheme="minorEastAsia" w:hAnsiTheme="minorHAnsi" w:cstheme="minorBidi"/>
          <w:b w:val="0"/>
          <w:color w:val="auto"/>
          <w:sz w:val="20"/>
          <w:szCs w:val="20"/>
        </w:rPr>
      </w:pPr>
      <w:r w:rsidRPr="3EE66962">
        <w:rPr>
          <w:rFonts w:asciiTheme="minorHAnsi" w:eastAsiaTheme="minorEastAsia" w:hAnsiTheme="minorHAnsi" w:cstheme="minorBidi"/>
          <w:b w:val="0"/>
          <w:color w:val="auto"/>
          <w:sz w:val="20"/>
          <w:szCs w:val="20"/>
        </w:rPr>
        <w:t xml:space="preserve">Následující tabulka představuje základní schéma finančních možností pro regenerace </w:t>
      </w:r>
      <w:proofErr w:type="spellStart"/>
      <w:r w:rsidRPr="3EE66962">
        <w:rPr>
          <w:rFonts w:asciiTheme="minorHAnsi" w:eastAsiaTheme="minorEastAsia" w:hAnsiTheme="minorHAnsi" w:cstheme="minorBidi"/>
          <w:b w:val="0"/>
          <w:color w:val="auto"/>
          <w:sz w:val="20"/>
          <w:szCs w:val="20"/>
        </w:rPr>
        <w:t>brownfieldů</w:t>
      </w:r>
      <w:proofErr w:type="spellEnd"/>
      <w:r w:rsidRPr="3EE66962">
        <w:rPr>
          <w:rFonts w:asciiTheme="minorHAnsi" w:eastAsiaTheme="minorEastAsia" w:hAnsiTheme="minorHAnsi" w:cstheme="minorBidi"/>
          <w:b w:val="0"/>
          <w:color w:val="auto"/>
          <w:sz w:val="20"/>
          <w:szCs w:val="20"/>
        </w:rPr>
        <w:t xml:space="preserve">, které budou dostupné v nadcházejícím programovém období. U evropských zdrojů ještě nejsou známé přesné finanční alokace, podpora by měla být ale velmi podobná schématu, které je platné v současném období. Zároveň např. přibyl nový zdroj prostředků </w:t>
      </w:r>
      <w:r w:rsidRPr="3EE66962">
        <w:rPr>
          <w:rFonts w:asciiTheme="minorHAnsi" w:eastAsiaTheme="minorEastAsia" w:hAnsiTheme="minorHAnsi" w:cstheme="minorBidi"/>
          <w:i/>
          <w:iCs/>
          <w:color w:val="auto"/>
          <w:sz w:val="20"/>
          <w:szCs w:val="20"/>
        </w:rPr>
        <w:t>–</w:t>
      </w:r>
      <w:r w:rsidRPr="3EE66962">
        <w:rPr>
          <w:rFonts w:asciiTheme="minorHAnsi" w:eastAsiaTheme="minorEastAsia" w:hAnsiTheme="minorHAnsi" w:cstheme="minorBidi"/>
          <w:b w:val="0"/>
          <w:color w:val="auto"/>
          <w:sz w:val="20"/>
          <w:szCs w:val="20"/>
        </w:rPr>
        <w:t xml:space="preserve"> Fond spravedlivá transformace, který bude v ČR implementován skrze OP Spravedlivá transformace. Tento zdroj podpory je stále v přípravě a měl by se zaměřit na transformační projekty lokalizované v uhelných regionech. </w:t>
      </w:r>
    </w:p>
    <w:tbl>
      <w:tblPr>
        <w:tblStyle w:val="Tabulkaseznamu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3961"/>
        <w:gridCol w:w="2693"/>
      </w:tblGrid>
      <w:tr w:rsidR="009D6DF4" w14:paraId="27118BA5" w14:textId="77777777" w:rsidTr="3D195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BFBFBF" w:themeFill="background1" w:themeFillShade="BF"/>
          </w:tcPr>
          <w:p w14:paraId="44024B5A" w14:textId="293D6DEA" w:rsidR="009D6DF4" w:rsidRPr="00623F15" w:rsidRDefault="5400FD4F"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000000" w:themeColor="text1"/>
                <w:sz w:val="20"/>
                <w:szCs w:val="20"/>
              </w:rPr>
              <w:t>SCHÉMA PODPORY REGENERACE BROWNFIELDŮ V OBDOBÍ 2021+</w:t>
            </w:r>
          </w:p>
        </w:tc>
      </w:tr>
      <w:tr w:rsidR="00B50A5A" w14:paraId="7E50F6EC" w14:textId="77777777" w:rsidTr="3D19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shd w:val="clear" w:color="auto" w:fill="F2F2F2" w:themeFill="background1" w:themeFillShade="F2"/>
          </w:tcPr>
          <w:p w14:paraId="0D257CBC" w14:textId="2B83DE63" w:rsidR="00B50A5A" w:rsidRPr="002E3A4F" w:rsidRDefault="28A721BF"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Název programu</w:t>
            </w:r>
          </w:p>
        </w:tc>
        <w:tc>
          <w:tcPr>
            <w:tcW w:w="3961" w:type="dxa"/>
            <w:shd w:val="clear" w:color="auto" w:fill="F2F2F2" w:themeFill="background1" w:themeFillShade="F2"/>
          </w:tcPr>
          <w:p w14:paraId="722EDE82" w14:textId="77777777" w:rsidR="00B50A5A" w:rsidRPr="002E3A4F" w:rsidRDefault="28A721BF"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i w:val="0"/>
                <w:iCs w:val="0"/>
                <w:color w:val="auto"/>
                <w:sz w:val="20"/>
                <w:szCs w:val="20"/>
              </w:rPr>
            </w:pPr>
            <w:r w:rsidRPr="3EE66962">
              <w:rPr>
                <w:rFonts w:asciiTheme="minorHAnsi" w:eastAsiaTheme="minorEastAsia" w:hAnsiTheme="minorHAnsi" w:cstheme="minorBidi"/>
                <w:b/>
                <w:bCs/>
                <w:i w:val="0"/>
                <w:iCs w:val="0"/>
                <w:color w:val="auto"/>
                <w:sz w:val="20"/>
                <w:szCs w:val="20"/>
              </w:rPr>
              <w:t>Účel podpory</w:t>
            </w:r>
          </w:p>
        </w:tc>
        <w:tc>
          <w:tcPr>
            <w:tcW w:w="2693" w:type="dxa"/>
            <w:shd w:val="clear" w:color="auto" w:fill="F2F2F2" w:themeFill="background1" w:themeFillShade="F2"/>
          </w:tcPr>
          <w:p w14:paraId="0B1B137F" w14:textId="77777777" w:rsidR="00B50A5A" w:rsidRPr="002E3A4F" w:rsidRDefault="28A721BF"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i w:val="0"/>
                <w:iCs w:val="0"/>
                <w:color w:val="auto"/>
                <w:sz w:val="20"/>
                <w:szCs w:val="20"/>
              </w:rPr>
            </w:pPr>
            <w:r w:rsidRPr="3EE66962">
              <w:rPr>
                <w:rFonts w:asciiTheme="minorHAnsi" w:eastAsiaTheme="minorEastAsia" w:hAnsiTheme="minorHAnsi" w:cstheme="minorBidi"/>
                <w:b/>
                <w:bCs/>
                <w:i w:val="0"/>
                <w:iCs w:val="0"/>
                <w:color w:val="auto"/>
                <w:sz w:val="20"/>
                <w:szCs w:val="20"/>
              </w:rPr>
              <w:t>Příjemce podpory</w:t>
            </w:r>
          </w:p>
        </w:tc>
      </w:tr>
      <w:tr w:rsidR="00B50A5A" w:rsidRPr="003147A4" w14:paraId="158A7CD6" w14:textId="77777777" w:rsidTr="3D1952B0">
        <w:tc>
          <w:tcPr>
            <w:cnfStyle w:val="001000000000" w:firstRow="0" w:lastRow="0" w:firstColumn="1" w:lastColumn="0" w:oddVBand="0" w:evenVBand="0" w:oddHBand="0" w:evenHBand="0" w:firstRowFirstColumn="0" w:firstRowLastColumn="0" w:lastRowFirstColumn="0" w:lastRowLastColumn="0"/>
            <w:tcW w:w="3264" w:type="dxa"/>
          </w:tcPr>
          <w:p w14:paraId="031DB113" w14:textId="0E10B046" w:rsidR="00B50A5A" w:rsidRPr="009D6DF4" w:rsidRDefault="28A721BF"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MŽP </w:t>
            </w:r>
            <w:r w:rsidR="69440B6D" w:rsidRPr="3EE66962">
              <w:rPr>
                <w:rFonts w:asciiTheme="minorHAnsi" w:eastAsiaTheme="minorEastAsia" w:hAnsiTheme="minorHAnsi" w:cstheme="minorBidi"/>
                <w:i w:val="0"/>
                <w:iCs w:val="0"/>
                <w:color w:val="auto"/>
                <w:sz w:val="20"/>
                <w:szCs w:val="20"/>
              </w:rPr>
              <w:t>–</w:t>
            </w:r>
            <w:r w:rsidRPr="3EE66962">
              <w:rPr>
                <w:rFonts w:asciiTheme="minorHAnsi" w:eastAsiaTheme="minorEastAsia" w:hAnsiTheme="minorHAnsi" w:cstheme="minorBidi"/>
                <w:i w:val="0"/>
                <w:iCs w:val="0"/>
                <w:color w:val="auto"/>
                <w:sz w:val="20"/>
                <w:szCs w:val="20"/>
              </w:rPr>
              <w:t xml:space="preserve"> </w:t>
            </w:r>
            <w:r w:rsidRPr="3EE66962">
              <w:rPr>
                <w:rFonts w:asciiTheme="minorHAnsi" w:eastAsiaTheme="minorEastAsia" w:hAnsiTheme="minorHAnsi" w:cstheme="minorBidi"/>
                <w:i w:val="0"/>
                <w:iCs w:val="0"/>
                <w:color w:val="1C1C1C"/>
                <w:sz w:val="20"/>
                <w:szCs w:val="20"/>
              </w:rPr>
              <w:t xml:space="preserve">OP Životní prostředí </w:t>
            </w:r>
            <w:r w:rsidR="5400FD4F" w:rsidRPr="3EE66962">
              <w:rPr>
                <w:rFonts w:asciiTheme="minorHAnsi" w:eastAsiaTheme="minorEastAsia" w:hAnsiTheme="minorHAnsi" w:cstheme="minorBidi"/>
                <w:i w:val="0"/>
                <w:iCs w:val="0"/>
                <w:color w:val="1C1C1C"/>
                <w:sz w:val="20"/>
                <w:szCs w:val="20"/>
              </w:rPr>
              <w:t>–</w:t>
            </w:r>
            <w:r w:rsidRPr="3EE66962">
              <w:rPr>
                <w:rFonts w:asciiTheme="minorHAnsi" w:eastAsiaTheme="minorEastAsia" w:hAnsiTheme="minorHAnsi" w:cstheme="minorBidi"/>
                <w:i w:val="0"/>
                <w:iCs w:val="0"/>
                <w:color w:val="1C1C1C"/>
                <w:sz w:val="20"/>
                <w:szCs w:val="20"/>
              </w:rPr>
              <w:t xml:space="preserve"> </w:t>
            </w:r>
            <w:r w:rsidR="5400FD4F" w:rsidRPr="3EE66962">
              <w:rPr>
                <w:rFonts w:asciiTheme="minorHAnsi" w:eastAsiaTheme="minorEastAsia" w:hAnsiTheme="minorHAnsi" w:cstheme="minorBidi"/>
                <w:i w:val="0"/>
                <w:iCs w:val="0"/>
                <w:color w:val="1C1C1C"/>
                <w:sz w:val="20"/>
                <w:szCs w:val="20"/>
              </w:rPr>
              <w:t>kontaminované lokality</w:t>
            </w:r>
          </w:p>
        </w:tc>
        <w:tc>
          <w:tcPr>
            <w:tcW w:w="3961" w:type="dxa"/>
          </w:tcPr>
          <w:p w14:paraId="292992F8" w14:textId="56250D7D" w:rsidR="004764AD" w:rsidRDefault="5400FD4F" w:rsidP="3EE66962">
            <w:pPr>
              <w:pStyle w:val="K-TextInfo"/>
              <w:spacing w:after="81"/>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1. průzkum rozsahu znečištění horninového prostředí a rizik s ním spojených, včetně návrhu efektivního řešení;</w:t>
            </w:r>
          </w:p>
          <w:p w14:paraId="45B8E4AC" w14:textId="1F6EB312" w:rsidR="00B50A5A" w:rsidRPr="009D6DF4" w:rsidRDefault="5400FD4F" w:rsidP="3EE66962">
            <w:pPr>
              <w:pStyle w:val="K-TextInfo"/>
              <w:spacing w:after="81"/>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color w:val="auto"/>
                <w:sz w:val="20"/>
                <w:szCs w:val="20"/>
              </w:rPr>
              <w:t xml:space="preserve">2. </w:t>
            </w:r>
            <w:r w:rsidRPr="3EE66962">
              <w:rPr>
                <w:rFonts w:asciiTheme="minorHAnsi" w:eastAsiaTheme="minorEastAsia" w:hAnsiTheme="minorHAnsi" w:cstheme="minorBidi"/>
                <w:i w:val="0"/>
                <w:iCs w:val="0"/>
                <w:color w:val="auto"/>
                <w:sz w:val="20"/>
                <w:szCs w:val="20"/>
              </w:rPr>
              <w:t>odstranění rizik kontaminace ohrožující lidské zdraví, vodní zdroje nebo ekosystémy.</w:t>
            </w:r>
          </w:p>
        </w:tc>
        <w:tc>
          <w:tcPr>
            <w:tcW w:w="2693" w:type="dxa"/>
          </w:tcPr>
          <w:p w14:paraId="612969D5" w14:textId="30422873" w:rsidR="00B50A5A" w:rsidRPr="009D6DF4" w:rsidRDefault="463834EF" w:rsidP="3EE66962">
            <w:pPr>
              <w:pStyle w:val="K-TextInfo"/>
              <w:spacing w:after="81"/>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1C1C1C"/>
                <w:sz w:val="20"/>
                <w:szCs w:val="20"/>
              </w:rPr>
            </w:pPr>
            <w:r w:rsidRPr="3EE66962">
              <w:rPr>
                <w:rFonts w:asciiTheme="minorHAnsi" w:eastAsiaTheme="minorEastAsia" w:hAnsiTheme="minorHAnsi" w:cstheme="minorBidi"/>
                <w:i w:val="0"/>
                <w:iCs w:val="0"/>
                <w:color w:val="1C1C1C"/>
                <w:sz w:val="20"/>
                <w:szCs w:val="20"/>
              </w:rPr>
              <w:t>Majitelé nebo uživatelé kontaminovaných lokalit bez ohledu na jejich právní formu.</w:t>
            </w:r>
          </w:p>
        </w:tc>
      </w:tr>
      <w:tr w:rsidR="00B50A5A" w:rsidRPr="003147A4" w14:paraId="551EAD55" w14:textId="77777777" w:rsidTr="3D19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shd w:val="clear" w:color="auto" w:fill="auto"/>
          </w:tcPr>
          <w:p w14:paraId="6A72D5CF" w14:textId="7FA98811" w:rsidR="00B50A5A" w:rsidRPr="009D6DF4" w:rsidRDefault="28A721BF"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1C1C1C"/>
                <w:sz w:val="20"/>
                <w:szCs w:val="20"/>
              </w:rPr>
              <w:t xml:space="preserve">MŽP </w:t>
            </w:r>
            <w:r w:rsidR="69440B6D" w:rsidRPr="3EE66962">
              <w:rPr>
                <w:rFonts w:asciiTheme="minorHAnsi" w:eastAsiaTheme="minorEastAsia" w:hAnsiTheme="minorHAnsi" w:cstheme="minorBidi"/>
                <w:i w:val="0"/>
                <w:iCs w:val="0"/>
                <w:color w:val="1C1C1C"/>
                <w:sz w:val="20"/>
                <w:szCs w:val="20"/>
              </w:rPr>
              <w:t>–</w:t>
            </w:r>
            <w:r w:rsidRPr="3EE66962">
              <w:rPr>
                <w:rFonts w:asciiTheme="minorHAnsi" w:eastAsiaTheme="minorEastAsia" w:hAnsiTheme="minorHAnsi" w:cstheme="minorBidi"/>
                <w:i w:val="0"/>
                <w:iCs w:val="0"/>
                <w:color w:val="1C1C1C"/>
                <w:sz w:val="20"/>
                <w:szCs w:val="20"/>
              </w:rPr>
              <w:t xml:space="preserve"> OP Spravedlivá transformace</w:t>
            </w:r>
          </w:p>
        </w:tc>
        <w:tc>
          <w:tcPr>
            <w:tcW w:w="3961" w:type="dxa"/>
            <w:shd w:val="clear" w:color="auto" w:fill="auto"/>
          </w:tcPr>
          <w:p w14:paraId="528159AA" w14:textId="67B1EAEA" w:rsidR="00B50A5A" w:rsidRPr="009D6DF4" w:rsidRDefault="463834EF"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V současnosti se tvoří Plán spravedlivé územní transformace pro čerpání </w:t>
            </w:r>
            <w:r w:rsidR="166B568C" w:rsidRPr="3EE66962">
              <w:rPr>
                <w:rFonts w:asciiTheme="minorHAnsi" w:eastAsiaTheme="minorEastAsia" w:hAnsiTheme="minorHAnsi" w:cstheme="minorBidi"/>
                <w:i w:val="0"/>
                <w:iCs w:val="0"/>
                <w:color w:val="auto"/>
                <w:sz w:val="20"/>
                <w:szCs w:val="20"/>
              </w:rPr>
              <w:t xml:space="preserve">prostředků </w:t>
            </w:r>
            <w:r w:rsidRPr="3EE66962">
              <w:rPr>
                <w:rFonts w:asciiTheme="minorHAnsi" w:eastAsiaTheme="minorEastAsia" w:hAnsiTheme="minorHAnsi" w:cstheme="minorBidi"/>
                <w:i w:val="0"/>
                <w:iCs w:val="0"/>
                <w:color w:val="auto"/>
                <w:sz w:val="20"/>
                <w:szCs w:val="20"/>
              </w:rPr>
              <w:t xml:space="preserve">z Fondu spravedlivé transformace pro Ústecký, Karlovarský a </w:t>
            </w:r>
            <w:r w:rsidR="356DA40A" w:rsidRPr="3EE66962">
              <w:rPr>
                <w:rFonts w:asciiTheme="minorHAnsi" w:eastAsiaTheme="minorEastAsia" w:hAnsiTheme="minorHAnsi" w:cstheme="minorBidi"/>
                <w:i w:val="0"/>
                <w:iCs w:val="0"/>
                <w:color w:val="auto"/>
                <w:sz w:val="20"/>
                <w:szCs w:val="20"/>
              </w:rPr>
              <w:t xml:space="preserve">Moravskoslezský </w:t>
            </w:r>
            <w:r w:rsidRPr="3EE66962">
              <w:rPr>
                <w:rFonts w:asciiTheme="minorHAnsi" w:eastAsiaTheme="minorEastAsia" w:hAnsiTheme="minorHAnsi" w:cstheme="minorBidi"/>
                <w:i w:val="0"/>
                <w:iCs w:val="0"/>
                <w:color w:val="auto"/>
                <w:sz w:val="20"/>
                <w:szCs w:val="20"/>
              </w:rPr>
              <w:t xml:space="preserve">kraj. Mezi možnými oblastmi </w:t>
            </w:r>
            <w:r w:rsidR="1C635F64" w:rsidRPr="3EE66962">
              <w:rPr>
                <w:rFonts w:asciiTheme="minorHAnsi" w:eastAsiaTheme="minorEastAsia" w:hAnsiTheme="minorHAnsi" w:cstheme="minorBidi"/>
                <w:i w:val="0"/>
                <w:iCs w:val="0"/>
                <w:color w:val="auto"/>
                <w:sz w:val="20"/>
                <w:szCs w:val="20"/>
              </w:rPr>
              <w:t>jsou uvedeny</w:t>
            </w:r>
            <w:r w:rsidRPr="3EE66962">
              <w:rPr>
                <w:rFonts w:asciiTheme="minorHAnsi" w:eastAsiaTheme="minorEastAsia" w:hAnsiTheme="minorHAnsi" w:cstheme="minorBidi"/>
                <w:i w:val="0"/>
                <w:iCs w:val="0"/>
                <w:color w:val="auto"/>
                <w:sz w:val="20"/>
                <w:szCs w:val="20"/>
              </w:rPr>
              <w:t xml:space="preserve"> investice do regenerace a dekontaminace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obnovy půdy a případně zelené infrastruktury a projektů obnovy s přihlédnutím k zásadě „znečišťovatel platí“, ale zatím není jisté, jak konkrétně bude podpora vypadat. </w:t>
            </w:r>
          </w:p>
        </w:tc>
        <w:tc>
          <w:tcPr>
            <w:tcW w:w="2693" w:type="dxa"/>
            <w:shd w:val="clear" w:color="auto" w:fill="auto"/>
          </w:tcPr>
          <w:p w14:paraId="4759A513" w14:textId="5BE590F2" w:rsidR="00B50A5A" w:rsidRPr="009D6DF4" w:rsidRDefault="463834EF"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1C1C1C"/>
                <w:sz w:val="20"/>
                <w:szCs w:val="20"/>
              </w:rPr>
            </w:pPr>
            <w:r w:rsidRPr="3EE66962">
              <w:rPr>
                <w:rFonts w:asciiTheme="minorHAnsi" w:eastAsiaTheme="minorEastAsia" w:hAnsiTheme="minorHAnsi" w:cstheme="minorBidi"/>
                <w:i w:val="0"/>
                <w:iCs w:val="0"/>
                <w:color w:val="auto"/>
                <w:sz w:val="20"/>
                <w:szCs w:val="20"/>
              </w:rPr>
              <w:t>Malý a střední podnik</w:t>
            </w:r>
          </w:p>
        </w:tc>
      </w:tr>
      <w:tr w:rsidR="00B50A5A" w:rsidRPr="003147A4" w14:paraId="68C4B0DC" w14:textId="77777777" w:rsidTr="3D1952B0">
        <w:tc>
          <w:tcPr>
            <w:cnfStyle w:val="001000000000" w:firstRow="0" w:lastRow="0" w:firstColumn="1" w:lastColumn="0" w:oddVBand="0" w:evenVBand="0" w:oddHBand="0" w:evenHBand="0" w:firstRowFirstColumn="0" w:firstRowLastColumn="0" w:lastRowFirstColumn="0" w:lastRowLastColumn="0"/>
            <w:tcW w:w="3264" w:type="dxa"/>
            <w:shd w:val="clear" w:color="auto" w:fill="auto"/>
          </w:tcPr>
          <w:p w14:paraId="4BE9A80A" w14:textId="74E96C9C" w:rsidR="00B50A5A" w:rsidRPr="009D6DF4" w:rsidRDefault="28A721BF"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MMR – IROP </w:t>
            </w:r>
            <w:r w:rsidRPr="3EE66962">
              <w:rPr>
                <w:rFonts w:asciiTheme="minorHAnsi" w:eastAsiaTheme="minorEastAsia" w:hAnsiTheme="minorHAnsi" w:cstheme="minorBidi"/>
                <w:i w:val="0"/>
                <w:iCs w:val="0"/>
                <w:color w:val="1C1C1C"/>
                <w:sz w:val="20"/>
                <w:szCs w:val="20"/>
              </w:rPr>
              <w:t>Revitalizace veřejných prostranství</w:t>
            </w:r>
          </w:p>
        </w:tc>
        <w:tc>
          <w:tcPr>
            <w:tcW w:w="3961" w:type="dxa"/>
            <w:shd w:val="clear" w:color="auto" w:fill="auto"/>
          </w:tcPr>
          <w:p w14:paraId="6E462856" w14:textId="77777777" w:rsidR="009D6DF4" w:rsidRPr="009D6DF4" w:rsidRDefault="31682305" w:rsidP="3D1952B0">
            <w:pPr>
              <w:pStyle w:val="K-TextInfo"/>
              <w:numPr>
                <w:ilvl w:val="0"/>
                <w:numId w:val="54"/>
              </w:numPr>
              <w:spacing w:after="81"/>
              <w:ind w:left="207" w:hanging="24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 xml:space="preserve">realizace zelené infrastruktury a souvisejících opatření nezbytných pro její rozvoj a pro zlepšení kvality veřejných prostranství </w:t>
            </w:r>
          </w:p>
          <w:p w14:paraId="5DE060CC" w14:textId="412571FC" w:rsidR="00B50A5A" w:rsidRPr="009D6DF4" w:rsidRDefault="31682305" w:rsidP="3D1952B0">
            <w:pPr>
              <w:pStyle w:val="K-TextInfo"/>
              <w:numPr>
                <w:ilvl w:val="0"/>
                <w:numId w:val="54"/>
              </w:numPr>
              <w:spacing w:after="81"/>
              <w:ind w:left="207" w:hanging="24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revitalizace nevyužívaných ploch (včetně demolice bud</w:t>
            </w:r>
            <w:r w:rsidR="214A6878" w:rsidRPr="3D1952B0">
              <w:rPr>
                <w:rFonts w:asciiTheme="minorHAnsi" w:eastAsiaTheme="minorEastAsia" w:hAnsiTheme="minorHAnsi" w:cstheme="minorBidi"/>
                <w:i w:val="0"/>
                <w:iCs w:val="0"/>
                <w:color w:val="auto"/>
                <w:sz w:val="20"/>
                <w:szCs w:val="20"/>
              </w:rPr>
              <w:t>o</w:t>
            </w:r>
            <w:r w:rsidRPr="3D1952B0">
              <w:rPr>
                <w:rFonts w:asciiTheme="minorHAnsi" w:eastAsiaTheme="minorEastAsia" w:hAnsiTheme="minorHAnsi" w:cstheme="minorBidi"/>
                <w:i w:val="0"/>
                <w:iCs w:val="0"/>
                <w:color w:val="auto"/>
                <w:sz w:val="20"/>
                <w:szCs w:val="20"/>
              </w:rPr>
              <w:t>v), kde budou budována veřejná prostranství a zelená infrastruktura.</w:t>
            </w:r>
          </w:p>
        </w:tc>
        <w:tc>
          <w:tcPr>
            <w:tcW w:w="2693" w:type="dxa"/>
            <w:shd w:val="clear" w:color="auto" w:fill="auto"/>
          </w:tcPr>
          <w:p w14:paraId="03EE51CC" w14:textId="00854259" w:rsidR="00B50A5A" w:rsidRPr="009D6DF4" w:rsidRDefault="7D66B8E2" w:rsidP="3EE66962">
            <w:pPr>
              <w:pStyle w:val="K-TextInfo"/>
              <w:spacing w:after="81"/>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1C1C1C"/>
                <w:sz w:val="20"/>
                <w:szCs w:val="20"/>
              </w:rPr>
            </w:pPr>
            <w:r w:rsidRPr="3EE66962">
              <w:rPr>
                <w:rFonts w:asciiTheme="minorHAnsi" w:eastAsiaTheme="minorEastAsia" w:hAnsiTheme="minorHAnsi" w:cstheme="minorBidi"/>
                <w:i w:val="0"/>
                <w:iCs w:val="0"/>
                <w:color w:val="1C1C1C"/>
                <w:sz w:val="20"/>
                <w:szCs w:val="20"/>
              </w:rPr>
              <w:t>V</w:t>
            </w:r>
            <w:r w:rsidR="28A721BF" w:rsidRPr="3EE66962">
              <w:rPr>
                <w:rFonts w:asciiTheme="minorHAnsi" w:eastAsiaTheme="minorEastAsia" w:hAnsiTheme="minorHAnsi" w:cstheme="minorBidi"/>
                <w:i w:val="0"/>
                <w:iCs w:val="0"/>
                <w:color w:val="1C1C1C"/>
                <w:sz w:val="20"/>
                <w:szCs w:val="20"/>
              </w:rPr>
              <w:t>eřejný sektor</w:t>
            </w:r>
          </w:p>
        </w:tc>
      </w:tr>
      <w:tr w:rsidR="00B50A5A" w:rsidRPr="003147A4" w14:paraId="5FA3370D" w14:textId="77777777" w:rsidTr="3D19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shd w:val="clear" w:color="auto" w:fill="auto"/>
          </w:tcPr>
          <w:p w14:paraId="7CE3E3CC" w14:textId="1837C240" w:rsidR="00B50A5A" w:rsidRPr="009D6DF4" w:rsidRDefault="6787D0FA" w:rsidP="3D1952B0">
            <w:pPr>
              <w:pStyle w:val="K-TextInfo"/>
              <w:spacing w:after="81"/>
              <w:jc w:val="left"/>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MPO</w:t>
            </w:r>
            <w:r w:rsidR="3E9DD271" w:rsidRPr="3D1952B0">
              <w:rPr>
                <w:rFonts w:asciiTheme="minorHAnsi" w:eastAsiaTheme="minorEastAsia" w:hAnsiTheme="minorHAnsi" w:cstheme="minorBidi"/>
                <w:i w:val="0"/>
                <w:iCs w:val="0"/>
                <w:color w:val="auto"/>
                <w:sz w:val="20"/>
                <w:szCs w:val="20"/>
              </w:rPr>
              <w:t xml:space="preserve"> –</w:t>
            </w:r>
            <w:r w:rsidRPr="3D1952B0">
              <w:rPr>
                <w:rFonts w:asciiTheme="minorHAnsi" w:eastAsiaTheme="minorEastAsia" w:hAnsiTheme="minorHAnsi" w:cstheme="minorBidi"/>
                <w:i w:val="0"/>
                <w:iCs w:val="0"/>
                <w:color w:val="auto"/>
                <w:sz w:val="20"/>
                <w:szCs w:val="20"/>
              </w:rPr>
              <w:t xml:space="preserve"> </w:t>
            </w:r>
            <w:r w:rsidRPr="3D1952B0">
              <w:rPr>
                <w:rFonts w:asciiTheme="minorHAnsi" w:eastAsiaTheme="minorEastAsia" w:hAnsiTheme="minorHAnsi" w:cstheme="minorBidi"/>
                <w:i w:val="0"/>
                <w:iCs w:val="0"/>
                <w:color w:val="1C1C1C"/>
                <w:sz w:val="20"/>
                <w:szCs w:val="20"/>
              </w:rPr>
              <w:t xml:space="preserve">OP TAK Nemovitosti </w:t>
            </w:r>
          </w:p>
        </w:tc>
        <w:tc>
          <w:tcPr>
            <w:tcW w:w="3961" w:type="dxa"/>
            <w:shd w:val="clear" w:color="auto" w:fill="auto"/>
          </w:tcPr>
          <w:p w14:paraId="4DA702F1" w14:textId="77777777" w:rsidR="00B50A5A" w:rsidRPr="009D6DF4" w:rsidRDefault="28A721BF"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Rekonstrukce zchátralých a nevyhovujících nemovitostí a souvisejících areálů (včetně lokalit typu </w:t>
            </w:r>
            <w:proofErr w:type="spellStart"/>
            <w:r w:rsidRPr="3EE66962">
              <w:rPr>
                <w:rFonts w:asciiTheme="minorHAnsi" w:eastAsiaTheme="minorEastAsia" w:hAnsiTheme="minorHAnsi" w:cstheme="minorBidi"/>
                <w:i w:val="0"/>
                <w:iCs w:val="0"/>
                <w:color w:val="auto"/>
                <w:sz w:val="20"/>
                <w:szCs w:val="20"/>
              </w:rPr>
              <w:t>brownfield</w:t>
            </w:r>
            <w:proofErr w:type="spellEnd"/>
            <w:r w:rsidRPr="3EE66962">
              <w:rPr>
                <w:rFonts w:asciiTheme="minorHAnsi" w:eastAsiaTheme="minorEastAsia" w:hAnsiTheme="minorHAnsi" w:cstheme="minorBidi"/>
                <w:i w:val="0"/>
                <w:iCs w:val="0"/>
                <w:color w:val="auto"/>
                <w:sz w:val="20"/>
                <w:szCs w:val="20"/>
              </w:rPr>
              <w:t>) pro účely podnikání.</w:t>
            </w:r>
          </w:p>
        </w:tc>
        <w:tc>
          <w:tcPr>
            <w:tcW w:w="2693" w:type="dxa"/>
            <w:shd w:val="clear" w:color="auto" w:fill="auto"/>
          </w:tcPr>
          <w:p w14:paraId="1B28BEE1" w14:textId="77777777" w:rsidR="00B50A5A" w:rsidRPr="009D6DF4" w:rsidRDefault="28A721BF"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Malý a střední podnik</w:t>
            </w:r>
          </w:p>
        </w:tc>
      </w:tr>
      <w:tr w:rsidR="00B50A5A" w:rsidRPr="00633046" w14:paraId="04448FF1" w14:textId="77777777" w:rsidTr="3D1952B0">
        <w:trPr>
          <w:trHeight w:val="557"/>
        </w:trPr>
        <w:tc>
          <w:tcPr>
            <w:cnfStyle w:val="001000000000" w:firstRow="0" w:lastRow="0" w:firstColumn="1" w:lastColumn="0" w:oddVBand="0" w:evenVBand="0" w:oddHBand="0" w:evenHBand="0" w:firstRowFirstColumn="0" w:firstRowLastColumn="0" w:lastRowFirstColumn="0" w:lastRowLastColumn="0"/>
            <w:tcW w:w="3264" w:type="dxa"/>
            <w:shd w:val="clear" w:color="auto" w:fill="auto"/>
          </w:tcPr>
          <w:p w14:paraId="00308DF6" w14:textId="56BCCB9E" w:rsidR="00B50A5A" w:rsidRPr="009D6DF4" w:rsidRDefault="28A721BF" w:rsidP="3EE66962">
            <w:pPr>
              <w:spacing w:after="0" w:line="240" w:lineRule="auto"/>
              <w:rPr>
                <w:rFonts w:eastAsiaTheme="minorEastAsia"/>
                <w:color w:val="auto"/>
                <w:sz w:val="20"/>
                <w:szCs w:val="20"/>
              </w:rPr>
            </w:pPr>
            <w:r w:rsidRPr="3EE66962">
              <w:rPr>
                <w:rFonts w:eastAsiaTheme="minorEastAsia"/>
                <w:color w:val="auto"/>
                <w:sz w:val="20"/>
                <w:szCs w:val="20"/>
              </w:rPr>
              <w:t xml:space="preserve">MPO </w:t>
            </w:r>
            <w:r w:rsidR="69440B6D" w:rsidRPr="3EE66962">
              <w:rPr>
                <w:rFonts w:eastAsiaTheme="minorEastAsia"/>
                <w:color w:val="auto"/>
                <w:sz w:val="20"/>
                <w:szCs w:val="20"/>
              </w:rPr>
              <w:t>–</w:t>
            </w:r>
            <w:r w:rsidRPr="3EE66962">
              <w:rPr>
                <w:rFonts w:eastAsiaTheme="minorEastAsia"/>
                <w:color w:val="auto"/>
                <w:sz w:val="20"/>
                <w:szCs w:val="20"/>
              </w:rPr>
              <w:t xml:space="preserve"> </w:t>
            </w:r>
            <w:r w:rsidRPr="3EE66962">
              <w:rPr>
                <w:rFonts w:eastAsiaTheme="minorEastAsia"/>
                <w:color w:val="1C1C1C"/>
                <w:sz w:val="20"/>
                <w:szCs w:val="20"/>
              </w:rPr>
              <w:t xml:space="preserve">Smart </w:t>
            </w:r>
            <w:proofErr w:type="spellStart"/>
            <w:r w:rsidRPr="3EE66962">
              <w:rPr>
                <w:rFonts w:eastAsiaTheme="minorEastAsia"/>
                <w:color w:val="1C1C1C"/>
                <w:sz w:val="20"/>
                <w:szCs w:val="20"/>
              </w:rPr>
              <w:t>Parks</w:t>
            </w:r>
            <w:proofErr w:type="spellEnd"/>
            <w:r w:rsidRPr="3EE66962">
              <w:rPr>
                <w:rFonts w:eastAsiaTheme="minorEastAsia"/>
                <w:color w:val="1C1C1C"/>
                <w:sz w:val="20"/>
                <w:szCs w:val="20"/>
              </w:rPr>
              <w:t xml:space="preserve"> </w:t>
            </w:r>
            <w:proofErr w:type="spellStart"/>
            <w:r w:rsidRPr="3EE66962">
              <w:rPr>
                <w:rFonts w:eastAsiaTheme="minorEastAsia"/>
                <w:color w:val="1C1C1C"/>
                <w:sz w:val="20"/>
                <w:szCs w:val="20"/>
              </w:rPr>
              <w:t>for</w:t>
            </w:r>
            <w:proofErr w:type="spellEnd"/>
            <w:r w:rsidRPr="3EE66962">
              <w:rPr>
                <w:rFonts w:eastAsiaTheme="minorEastAsia"/>
                <w:color w:val="1C1C1C"/>
                <w:sz w:val="20"/>
                <w:szCs w:val="20"/>
              </w:rPr>
              <w:t xml:space="preserve"> </w:t>
            </w:r>
            <w:proofErr w:type="spellStart"/>
            <w:r w:rsidRPr="3EE66962">
              <w:rPr>
                <w:rFonts w:eastAsiaTheme="minorEastAsia"/>
                <w:color w:val="1C1C1C"/>
                <w:sz w:val="20"/>
                <w:szCs w:val="20"/>
              </w:rPr>
              <w:t>the</w:t>
            </w:r>
            <w:proofErr w:type="spellEnd"/>
            <w:r w:rsidRPr="3EE66962">
              <w:rPr>
                <w:rFonts w:eastAsiaTheme="minorEastAsia"/>
                <w:color w:val="1C1C1C"/>
                <w:sz w:val="20"/>
                <w:szCs w:val="20"/>
              </w:rPr>
              <w:t xml:space="preserve"> </w:t>
            </w:r>
            <w:proofErr w:type="spellStart"/>
            <w:r w:rsidRPr="3EE66962">
              <w:rPr>
                <w:rFonts w:eastAsiaTheme="minorEastAsia"/>
                <w:color w:val="1C1C1C"/>
                <w:sz w:val="20"/>
                <w:szCs w:val="20"/>
              </w:rPr>
              <w:t>Future</w:t>
            </w:r>
            <w:proofErr w:type="spellEnd"/>
          </w:p>
        </w:tc>
        <w:tc>
          <w:tcPr>
            <w:tcW w:w="3961" w:type="dxa"/>
            <w:shd w:val="clear" w:color="auto" w:fill="auto"/>
          </w:tcPr>
          <w:p w14:paraId="61C2CFE9" w14:textId="2E23DA4E" w:rsidR="00B50A5A" w:rsidRPr="009D6DF4" w:rsidRDefault="3CDBE164" w:rsidP="3D1952B0">
            <w:pPr>
              <w:pStyle w:val="K-TextInfo"/>
              <w:spacing w:after="81"/>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R</w:t>
            </w:r>
            <w:r w:rsidR="214A6878" w:rsidRPr="3D1952B0">
              <w:rPr>
                <w:rFonts w:asciiTheme="minorHAnsi" w:eastAsiaTheme="minorEastAsia" w:hAnsiTheme="minorHAnsi" w:cstheme="minorBidi"/>
                <w:i w:val="0"/>
                <w:iCs w:val="0"/>
                <w:color w:val="auto"/>
                <w:sz w:val="20"/>
                <w:szCs w:val="20"/>
              </w:rPr>
              <w:t xml:space="preserve">ozvoj stávajících průmyslových zón ve smyslu zkvalitnění infrastruktury včetně opatření pro snížení negativních klimatických </w:t>
            </w:r>
            <w:r w:rsidR="214A6878" w:rsidRPr="3D1952B0">
              <w:rPr>
                <w:rFonts w:asciiTheme="minorHAnsi" w:eastAsiaTheme="minorEastAsia" w:hAnsiTheme="minorHAnsi" w:cstheme="minorBidi"/>
                <w:i w:val="0"/>
                <w:iCs w:val="0"/>
                <w:color w:val="auto"/>
                <w:sz w:val="20"/>
                <w:szCs w:val="20"/>
              </w:rPr>
              <w:lastRenderedPageBreak/>
              <w:t xml:space="preserve">dopadů, regeneraci lokalit </w:t>
            </w:r>
            <w:proofErr w:type="spellStart"/>
            <w:r w:rsidR="214A6878" w:rsidRPr="3D1952B0">
              <w:rPr>
                <w:rFonts w:asciiTheme="minorHAnsi" w:eastAsiaTheme="minorEastAsia" w:hAnsiTheme="minorHAnsi" w:cstheme="minorBidi"/>
                <w:i w:val="0"/>
                <w:iCs w:val="0"/>
                <w:color w:val="auto"/>
                <w:sz w:val="20"/>
                <w:szCs w:val="20"/>
              </w:rPr>
              <w:t>brownfieldů</w:t>
            </w:r>
            <w:proofErr w:type="spellEnd"/>
            <w:r w:rsidR="214A6878" w:rsidRPr="3D1952B0">
              <w:rPr>
                <w:rFonts w:asciiTheme="minorHAnsi" w:eastAsiaTheme="minorEastAsia" w:hAnsiTheme="minorHAnsi" w:cstheme="minorBidi"/>
                <w:i w:val="0"/>
                <w:iCs w:val="0"/>
                <w:color w:val="auto"/>
                <w:sz w:val="20"/>
                <w:szCs w:val="20"/>
              </w:rPr>
              <w:t xml:space="preserve"> a na přípravu podnikatelských parků s menší rozlohou pouze v místech, kde převažuje celospolečenský význam pro jejich realizaci.</w:t>
            </w:r>
            <w:r w:rsidR="7E340DC1" w:rsidRPr="3D1952B0">
              <w:rPr>
                <w:rFonts w:asciiTheme="minorHAnsi" w:eastAsiaTheme="minorEastAsia" w:hAnsiTheme="minorHAnsi" w:cstheme="minorBidi"/>
                <w:i w:val="0"/>
                <w:iCs w:val="0"/>
                <w:color w:val="auto"/>
                <w:sz w:val="20"/>
                <w:szCs w:val="20"/>
              </w:rPr>
              <w:t xml:space="preserve"> Dále se jedná o zkvalitnění infrastruktury průmyslové zóny (podpora ekologických a dopravních opatření a opatření zaměřených na průmysl 4.0.)</w:t>
            </w:r>
          </w:p>
        </w:tc>
        <w:tc>
          <w:tcPr>
            <w:tcW w:w="2693" w:type="dxa"/>
            <w:shd w:val="clear" w:color="auto" w:fill="auto"/>
          </w:tcPr>
          <w:p w14:paraId="09AF0AAC" w14:textId="4A101EE2" w:rsidR="00B50A5A" w:rsidRPr="009D6DF4" w:rsidRDefault="463834EF" w:rsidP="3EE66962">
            <w:pPr>
              <w:pStyle w:val="K-TextInfo"/>
              <w:spacing w:after="81"/>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lastRenderedPageBreak/>
              <w:t>Obec, kraj</w:t>
            </w:r>
          </w:p>
        </w:tc>
      </w:tr>
      <w:tr w:rsidR="00B50A5A" w:rsidRPr="003147A4" w14:paraId="0155C5AE" w14:textId="77777777" w:rsidTr="3D19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shd w:val="clear" w:color="auto" w:fill="auto"/>
          </w:tcPr>
          <w:p w14:paraId="0CFCC76A" w14:textId="7F445A4B" w:rsidR="00B50A5A" w:rsidRPr="009D6DF4" w:rsidRDefault="28A721BF" w:rsidP="3EE66962">
            <w:pPr>
              <w:spacing w:after="0" w:line="240" w:lineRule="auto"/>
              <w:rPr>
                <w:rFonts w:eastAsiaTheme="minorEastAsia"/>
                <w:color w:val="auto"/>
                <w:sz w:val="20"/>
                <w:szCs w:val="20"/>
              </w:rPr>
            </w:pPr>
            <w:proofErr w:type="spellStart"/>
            <w:r w:rsidRPr="3EE66962">
              <w:rPr>
                <w:rFonts w:eastAsiaTheme="minorEastAsia"/>
                <w:color w:val="auto"/>
                <w:sz w:val="20"/>
                <w:szCs w:val="20"/>
              </w:rPr>
              <w:t>MZe</w:t>
            </w:r>
            <w:proofErr w:type="spellEnd"/>
          </w:p>
        </w:tc>
        <w:tc>
          <w:tcPr>
            <w:tcW w:w="3961" w:type="dxa"/>
            <w:shd w:val="clear" w:color="auto" w:fill="auto"/>
          </w:tcPr>
          <w:p w14:paraId="587AECAC" w14:textId="4C18FF9A" w:rsidR="00B50A5A" w:rsidRPr="009D6DF4" w:rsidRDefault="5D89631D"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Zvýhodnění regenerace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pro účely zemědělství. </w:t>
            </w:r>
          </w:p>
        </w:tc>
        <w:tc>
          <w:tcPr>
            <w:tcW w:w="2693" w:type="dxa"/>
            <w:shd w:val="clear" w:color="auto" w:fill="auto"/>
          </w:tcPr>
          <w:p w14:paraId="7ED6610A" w14:textId="77777777" w:rsidR="00B50A5A" w:rsidRPr="009D6DF4" w:rsidRDefault="00B50A5A"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auto"/>
                <w:sz w:val="20"/>
                <w:szCs w:val="20"/>
              </w:rPr>
            </w:pPr>
          </w:p>
        </w:tc>
      </w:tr>
      <w:tr w:rsidR="00B50A5A" w:rsidRPr="003147A4" w14:paraId="3EA73E8C" w14:textId="77777777" w:rsidTr="3D1952B0">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BFBFBF" w:themeFill="background1" w:themeFillShade="BF"/>
          </w:tcPr>
          <w:p w14:paraId="48FD7611" w14:textId="32FD0FC0" w:rsidR="00B50A5A" w:rsidRPr="004764AD" w:rsidRDefault="28A721BF"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Podpora v rámci komponenty </w:t>
            </w:r>
            <w:r w:rsidR="5400FD4F" w:rsidRPr="3EE66962">
              <w:rPr>
                <w:rFonts w:asciiTheme="minorHAnsi" w:eastAsiaTheme="minorEastAsia" w:hAnsiTheme="minorHAnsi" w:cstheme="minorBidi"/>
                <w:i w:val="0"/>
                <w:iCs w:val="0"/>
                <w:color w:val="auto"/>
                <w:sz w:val="20"/>
                <w:szCs w:val="20"/>
              </w:rPr>
              <w:t xml:space="preserve">2.8 Regenerace </w:t>
            </w:r>
            <w:proofErr w:type="spellStart"/>
            <w:r w:rsidR="5400FD4F" w:rsidRPr="3EE66962">
              <w:rPr>
                <w:rFonts w:asciiTheme="minorHAnsi" w:eastAsiaTheme="minorEastAsia" w:hAnsiTheme="minorHAnsi" w:cstheme="minorBidi"/>
                <w:i w:val="0"/>
                <w:iCs w:val="0"/>
                <w:color w:val="auto"/>
                <w:sz w:val="20"/>
                <w:szCs w:val="20"/>
              </w:rPr>
              <w:t>brownfieldů</w:t>
            </w:r>
            <w:proofErr w:type="spellEnd"/>
          </w:p>
        </w:tc>
      </w:tr>
      <w:tr w:rsidR="00B50A5A" w:rsidRPr="003147A4" w14:paraId="71FBF8E0" w14:textId="77777777" w:rsidTr="3D19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shd w:val="clear" w:color="auto" w:fill="auto"/>
          </w:tcPr>
          <w:p w14:paraId="75B592CB" w14:textId="37EF0E1B" w:rsidR="00B50A5A" w:rsidRPr="009D6DF4" w:rsidRDefault="463834EF" w:rsidP="3EE66962">
            <w:pPr>
              <w:spacing w:after="0" w:line="240" w:lineRule="auto"/>
              <w:rPr>
                <w:rFonts w:eastAsiaTheme="minorEastAsia"/>
                <w:color w:val="auto"/>
                <w:sz w:val="20"/>
                <w:szCs w:val="20"/>
              </w:rPr>
            </w:pPr>
            <w:r w:rsidRPr="3EE66962">
              <w:rPr>
                <w:rFonts w:eastAsiaTheme="minorEastAsia"/>
                <w:color w:val="auto"/>
                <w:sz w:val="20"/>
                <w:szCs w:val="20"/>
              </w:rPr>
              <w:t>MMR/SFPI</w:t>
            </w:r>
            <w:r w:rsidR="7EA84ED3" w:rsidRPr="3EE66962">
              <w:rPr>
                <w:rFonts w:eastAsiaTheme="minorEastAsia"/>
                <w:color w:val="auto"/>
                <w:sz w:val="20"/>
                <w:szCs w:val="20"/>
              </w:rPr>
              <w:t xml:space="preserve"> – Investiční podpora regenerace specifických </w:t>
            </w:r>
            <w:proofErr w:type="spellStart"/>
            <w:r w:rsidR="7EA84ED3" w:rsidRPr="3EE66962">
              <w:rPr>
                <w:rFonts w:eastAsiaTheme="minorEastAsia"/>
                <w:color w:val="auto"/>
                <w:sz w:val="20"/>
                <w:szCs w:val="20"/>
              </w:rPr>
              <w:t>brownfieldů</w:t>
            </w:r>
            <w:proofErr w:type="spellEnd"/>
            <w:r w:rsidR="7EA84ED3" w:rsidRPr="3EE66962">
              <w:rPr>
                <w:rFonts w:eastAsiaTheme="minorEastAsia"/>
                <w:color w:val="auto"/>
                <w:sz w:val="20"/>
                <w:szCs w:val="20"/>
              </w:rPr>
              <w:t xml:space="preserve">. </w:t>
            </w:r>
          </w:p>
        </w:tc>
        <w:tc>
          <w:tcPr>
            <w:tcW w:w="3961" w:type="dxa"/>
            <w:shd w:val="clear" w:color="auto" w:fill="auto"/>
          </w:tcPr>
          <w:p w14:paraId="51CD6CCE" w14:textId="4D81FB41" w:rsidR="00B50A5A" w:rsidRPr="009D6DF4" w:rsidRDefault="5D89631D"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Plánovaný nový nástroj pro investiční podporu regenerace rozsáhlých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v soukromém i veřejném vlastnictví pro kombinované využití. </w:t>
            </w:r>
          </w:p>
        </w:tc>
        <w:tc>
          <w:tcPr>
            <w:tcW w:w="2693" w:type="dxa"/>
            <w:shd w:val="clear" w:color="auto" w:fill="auto"/>
          </w:tcPr>
          <w:p w14:paraId="50D40CCD" w14:textId="25905247" w:rsidR="00B50A5A" w:rsidRPr="009D6DF4" w:rsidRDefault="7EA84ED3"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Veřejný i soukromý sektor</w:t>
            </w:r>
          </w:p>
        </w:tc>
      </w:tr>
      <w:tr w:rsidR="002C47B9" w:rsidRPr="009D6DF4" w14:paraId="040FE757" w14:textId="77777777" w:rsidTr="3D1952B0">
        <w:tc>
          <w:tcPr>
            <w:cnfStyle w:val="001000000000" w:firstRow="0" w:lastRow="0" w:firstColumn="1" w:lastColumn="0" w:oddVBand="0" w:evenVBand="0" w:oddHBand="0" w:evenHBand="0" w:firstRowFirstColumn="0" w:firstRowLastColumn="0" w:lastRowFirstColumn="0" w:lastRowLastColumn="0"/>
            <w:tcW w:w="3264" w:type="dxa"/>
            <w:shd w:val="clear" w:color="auto" w:fill="auto"/>
          </w:tcPr>
          <w:p w14:paraId="580AB21C" w14:textId="77777777" w:rsidR="002C47B9" w:rsidRPr="009D6DF4" w:rsidRDefault="1588301C"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MMR/SFPI </w:t>
            </w:r>
          </w:p>
          <w:p w14:paraId="2D5FB81C" w14:textId="77777777" w:rsidR="002C47B9" w:rsidRPr="009D6DF4" w:rsidRDefault="1588301C" w:rsidP="3EE66962">
            <w:pPr>
              <w:spacing w:after="0" w:line="240" w:lineRule="auto"/>
              <w:rPr>
                <w:rFonts w:eastAsiaTheme="minorEastAsia"/>
                <w:color w:val="auto"/>
                <w:sz w:val="20"/>
                <w:szCs w:val="20"/>
              </w:rPr>
            </w:pPr>
            <w:proofErr w:type="spellStart"/>
            <w:r w:rsidRPr="3EE66962">
              <w:rPr>
                <w:rFonts w:eastAsiaTheme="minorEastAsia"/>
                <w:color w:val="auto"/>
                <w:sz w:val="20"/>
                <w:szCs w:val="20"/>
              </w:rPr>
              <w:t>Brownfieldy</w:t>
            </w:r>
            <w:proofErr w:type="spellEnd"/>
            <w:r w:rsidRPr="3EE66962">
              <w:rPr>
                <w:rFonts w:eastAsiaTheme="minorEastAsia"/>
                <w:color w:val="auto"/>
                <w:sz w:val="20"/>
                <w:szCs w:val="20"/>
              </w:rPr>
              <w:t xml:space="preserve"> pro jiné než hospodářské využití (Státní fond podpory investic)</w:t>
            </w:r>
          </w:p>
        </w:tc>
        <w:tc>
          <w:tcPr>
            <w:tcW w:w="3961" w:type="dxa"/>
            <w:shd w:val="clear" w:color="auto" w:fill="auto"/>
          </w:tcPr>
          <w:p w14:paraId="4C26DF24" w14:textId="77777777" w:rsidR="002C47B9" w:rsidRPr="009D6DF4" w:rsidRDefault="1588301C" w:rsidP="3EE66962">
            <w:pPr>
              <w:pStyle w:val="K-TextInfo"/>
              <w:spacing w:after="81"/>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Regenerace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ve veřejném vlastnictví pro účely občanské vybavenosti. </w:t>
            </w:r>
          </w:p>
        </w:tc>
        <w:tc>
          <w:tcPr>
            <w:tcW w:w="2693" w:type="dxa"/>
            <w:shd w:val="clear" w:color="auto" w:fill="auto"/>
          </w:tcPr>
          <w:p w14:paraId="0A4B412C" w14:textId="77777777" w:rsidR="002C47B9" w:rsidRPr="009D6DF4" w:rsidRDefault="1588301C" w:rsidP="3EE66962">
            <w:pPr>
              <w:pStyle w:val="K-TextInfo"/>
              <w:spacing w:after="81"/>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Obec, kraj</w:t>
            </w:r>
          </w:p>
        </w:tc>
      </w:tr>
      <w:tr w:rsidR="00B50A5A" w:rsidRPr="003147A4" w14:paraId="571182A1" w14:textId="77777777" w:rsidTr="3D19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shd w:val="clear" w:color="auto" w:fill="auto"/>
          </w:tcPr>
          <w:p w14:paraId="1823DD8D" w14:textId="227722FB" w:rsidR="00B50A5A" w:rsidRPr="009D6DF4" w:rsidRDefault="28A721BF"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MPO </w:t>
            </w:r>
            <w:r w:rsidR="69440B6D" w:rsidRPr="3EE66962">
              <w:rPr>
                <w:rFonts w:asciiTheme="minorHAnsi" w:eastAsiaTheme="minorEastAsia" w:hAnsiTheme="minorHAnsi" w:cstheme="minorBidi"/>
                <w:i w:val="0"/>
                <w:iCs w:val="0"/>
                <w:color w:val="auto"/>
                <w:sz w:val="20"/>
                <w:szCs w:val="20"/>
              </w:rPr>
              <w:t>–</w:t>
            </w:r>
            <w:r w:rsidRPr="3EE66962">
              <w:rPr>
                <w:rFonts w:asciiTheme="minorHAnsi" w:eastAsiaTheme="minorEastAsia" w:hAnsiTheme="minorHAnsi" w:cstheme="minorBidi"/>
                <w:i w:val="0"/>
                <w:iCs w:val="0"/>
                <w:color w:val="auto"/>
                <w:sz w:val="20"/>
                <w:szCs w:val="20"/>
              </w:rPr>
              <w:t xml:space="preserve"> </w:t>
            </w:r>
            <w:r w:rsidRPr="3EE66962">
              <w:rPr>
                <w:rFonts w:asciiTheme="minorHAnsi" w:eastAsiaTheme="minorEastAsia" w:hAnsiTheme="minorHAnsi" w:cstheme="minorBidi"/>
                <w:i w:val="0"/>
                <w:iCs w:val="0"/>
                <w:color w:val="1C1C1C"/>
                <w:sz w:val="20"/>
                <w:szCs w:val="20"/>
              </w:rPr>
              <w:t xml:space="preserve">Program regenerace a podnikatelské využití </w:t>
            </w:r>
            <w:proofErr w:type="spellStart"/>
            <w:r w:rsidRPr="3EE66962">
              <w:rPr>
                <w:rFonts w:asciiTheme="minorHAnsi" w:eastAsiaTheme="minorEastAsia" w:hAnsiTheme="minorHAnsi" w:cstheme="minorBidi"/>
                <w:i w:val="0"/>
                <w:iCs w:val="0"/>
                <w:color w:val="1C1C1C"/>
                <w:sz w:val="20"/>
                <w:szCs w:val="20"/>
              </w:rPr>
              <w:t>brownfieldů</w:t>
            </w:r>
            <w:proofErr w:type="spellEnd"/>
          </w:p>
        </w:tc>
        <w:tc>
          <w:tcPr>
            <w:tcW w:w="3961" w:type="dxa"/>
            <w:shd w:val="clear" w:color="auto" w:fill="auto"/>
          </w:tcPr>
          <w:p w14:paraId="32F71EAC" w14:textId="341930BE" w:rsidR="00B50A5A" w:rsidRPr="009D6DF4" w:rsidRDefault="5D89631D"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Regenerace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ve veřejném vlastnictví pro účely podnikání. </w:t>
            </w:r>
          </w:p>
        </w:tc>
        <w:tc>
          <w:tcPr>
            <w:tcW w:w="2693" w:type="dxa"/>
            <w:shd w:val="clear" w:color="auto" w:fill="auto"/>
          </w:tcPr>
          <w:p w14:paraId="4D608C04" w14:textId="798B5061" w:rsidR="00B50A5A" w:rsidRPr="009D6DF4" w:rsidRDefault="28A721BF" w:rsidP="3EE66962">
            <w:pPr>
              <w:pStyle w:val="K-TextInfo"/>
              <w:spacing w:after="81"/>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Obec, kraj</w:t>
            </w:r>
          </w:p>
        </w:tc>
      </w:tr>
    </w:tbl>
    <w:p w14:paraId="16E51310" w14:textId="77777777" w:rsidR="008E6BC6" w:rsidRDefault="008E6BC6" w:rsidP="3EE66962">
      <w:pPr>
        <w:pStyle w:val="K-Nadpis3"/>
        <w:rPr>
          <w:rFonts w:asciiTheme="minorHAnsi" w:eastAsiaTheme="minorEastAsia" w:hAnsiTheme="minorHAnsi" w:cstheme="minorBidi"/>
          <w:sz w:val="20"/>
          <w:szCs w:val="20"/>
        </w:rPr>
      </w:pPr>
    </w:p>
    <w:p w14:paraId="1C015FB3" w14:textId="77777777" w:rsidR="007A2737" w:rsidRDefault="4D34661C" w:rsidP="3EE66962">
      <w:pPr>
        <w:pStyle w:val="K-Nadpis3"/>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d) Předchozí snahy</w:t>
      </w:r>
    </w:p>
    <w:p w14:paraId="295DDB09" w14:textId="7D13C709" w:rsidR="000A6D9B" w:rsidRDefault="1F4311A0" w:rsidP="3EE66962">
      <w:pPr>
        <w:pStyle w:val="K-TextInfo"/>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Tabulka níže popisuje, z jakých programů bylo možné </w:t>
      </w:r>
      <w:r w:rsidR="1D94B336" w:rsidRPr="3EE66962">
        <w:rPr>
          <w:rFonts w:asciiTheme="minorHAnsi" w:eastAsiaTheme="minorEastAsia" w:hAnsiTheme="minorHAnsi" w:cstheme="minorBidi"/>
          <w:i w:val="0"/>
          <w:iCs w:val="0"/>
          <w:color w:val="auto"/>
          <w:sz w:val="20"/>
          <w:szCs w:val="20"/>
        </w:rPr>
        <w:t>podpo</w:t>
      </w:r>
      <w:r w:rsidRPr="3EE66962">
        <w:rPr>
          <w:rFonts w:asciiTheme="minorHAnsi" w:eastAsiaTheme="minorEastAsia" w:hAnsiTheme="minorHAnsi" w:cstheme="minorBidi"/>
          <w:i w:val="0"/>
          <w:iCs w:val="0"/>
          <w:color w:val="auto"/>
          <w:sz w:val="20"/>
          <w:szCs w:val="20"/>
        </w:rPr>
        <w:t>řit</w:t>
      </w:r>
      <w:r w:rsidR="1D94B336" w:rsidRPr="3EE66962">
        <w:rPr>
          <w:rFonts w:asciiTheme="minorHAnsi" w:eastAsiaTheme="minorEastAsia" w:hAnsiTheme="minorHAnsi" w:cstheme="minorBidi"/>
          <w:i w:val="0"/>
          <w:iCs w:val="0"/>
          <w:color w:val="auto"/>
          <w:sz w:val="20"/>
          <w:szCs w:val="20"/>
        </w:rPr>
        <w:t xml:space="preserve"> regenerace </w:t>
      </w:r>
      <w:proofErr w:type="spellStart"/>
      <w:r w:rsidR="1D94B336" w:rsidRPr="3EE66962">
        <w:rPr>
          <w:rFonts w:asciiTheme="minorHAnsi" w:eastAsiaTheme="minorEastAsia" w:hAnsiTheme="minorHAnsi" w:cstheme="minorBidi"/>
          <w:i w:val="0"/>
          <w:iCs w:val="0"/>
          <w:color w:val="auto"/>
          <w:sz w:val="20"/>
          <w:szCs w:val="20"/>
        </w:rPr>
        <w:t>brownfieldů</w:t>
      </w:r>
      <w:proofErr w:type="spellEnd"/>
      <w:r w:rsidR="1D94B336" w:rsidRPr="3EE66962">
        <w:rPr>
          <w:rFonts w:asciiTheme="minorHAnsi" w:eastAsiaTheme="minorEastAsia" w:hAnsiTheme="minorHAnsi" w:cstheme="minorBidi"/>
          <w:i w:val="0"/>
          <w:iCs w:val="0"/>
          <w:color w:val="auto"/>
          <w:sz w:val="20"/>
          <w:szCs w:val="20"/>
        </w:rPr>
        <w:t xml:space="preserve"> v programovém období 2014</w:t>
      </w:r>
      <w:r w:rsidRPr="3EE66962">
        <w:rPr>
          <w:rFonts w:asciiTheme="minorHAnsi" w:eastAsiaTheme="minorEastAsia" w:hAnsiTheme="minorHAnsi" w:cstheme="minorBidi"/>
          <w:i w:val="0"/>
          <w:iCs w:val="0"/>
          <w:color w:val="auto"/>
          <w:sz w:val="20"/>
          <w:szCs w:val="20"/>
        </w:rPr>
        <w:t>–</w:t>
      </w:r>
      <w:r w:rsidR="1D94B336" w:rsidRPr="3EE66962">
        <w:rPr>
          <w:rFonts w:asciiTheme="minorHAnsi" w:eastAsiaTheme="minorEastAsia" w:hAnsiTheme="minorHAnsi" w:cstheme="minorBidi"/>
          <w:i w:val="0"/>
          <w:iCs w:val="0"/>
          <w:color w:val="auto"/>
          <w:sz w:val="20"/>
          <w:szCs w:val="20"/>
        </w:rPr>
        <w:t xml:space="preserve">2020. V rámci OP PIK byly z programu Nemovitosti podporovány rekonstrukce </w:t>
      </w:r>
      <w:proofErr w:type="spellStart"/>
      <w:r w:rsidR="1D94B336" w:rsidRPr="3EE66962">
        <w:rPr>
          <w:rFonts w:asciiTheme="minorHAnsi" w:eastAsiaTheme="minorEastAsia" w:hAnsiTheme="minorHAnsi" w:cstheme="minorBidi"/>
          <w:i w:val="0"/>
          <w:iCs w:val="0"/>
          <w:color w:val="auto"/>
          <w:sz w:val="20"/>
          <w:szCs w:val="20"/>
        </w:rPr>
        <w:t>brownfieldů</w:t>
      </w:r>
      <w:proofErr w:type="spellEnd"/>
      <w:r w:rsidR="1D94B336" w:rsidRPr="3EE66962">
        <w:rPr>
          <w:rFonts w:asciiTheme="minorHAnsi" w:eastAsiaTheme="minorEastAsia" w:hAnsiTheme="minorHAnsi" w:cstheme="minorBidi"/>
          <w:i w:val="0"/>
          <w:iCs w:val="0"/>
          <w:color w:val="auto"/>
          <w:sz w:val="20"/>
          <w:szCs w:val="20"/>
        </w:rPr>
        <w:t xml:space="preserve"> pro podnikatelské využití, oprávněnými žadateli </w:t>
      </w:r>
      <w:r w:rsidR="108B6563" w:rsidRPr="3EE66962">
        <w:rPr>
          <w:rFonts w:asciiTheme="minorHAnsi" w:eastAsiaTheme="minorEastAsia" w:hAnsiTheme="minorHAnsi" w:cstheme="minorBidi"/>
          <w:i w:val="0"/>
          <w:iCs w:val="0"/>
          <w:color w:val="auto"/>
          <w:sz w:val="20"/>
          <w:szCs w:val="20"/>
        </w:rPr>
        <w:t>byly</w:t>
      </w:r>
      <w:r w:rsidR="1D94B336" w:rsidRPr="3EE66962">
        <w:rPr>
          <w:rFonts w:asciiTheme="minorHAnsi" w:eastAsiaTheme="minorEastAsia" w:hAnsiTheme="minorHAnsi" w:cstheme="minorBidi"/>
          <w:i w:val="0"/>
          <w:iCs w:val="0"/>
          <w:color w:val="auto"/>
          <w:sz w:val="20"/>
          <w:szCs w:val="20"/>
        </w:rPr>
        <w:t xml:space="preserve"> malé a střední podniky. </w:t>
      </w:r>
      <w:r w:rsidR="5D89631D" w:rsidRPr="3EE66962">
        <w:rPr>
          <w:rFonts w:asciiTheme="minorHAnsi" w:eastAsiaTheme="minorEastAsia" w:hAnsiTheme="minorHAnsi" w:cstheme="minorBidi"/>
          <w:i w:val="0"/>
          <w:iCs w:val="0"/>
          <w:color w:val="auto"/>
          <w:sz w:val="20"/>
          <w:szCs w:val="20"/>
        </w:rPr>
        <w:t xml:space="preserve">Projekty typu </w:t>
      </w:r>
      <w:proofErr w:type="spellStart"/>
      <w:r w:rsidR="5D89631D" w:rsidRPr="3EE66962">
        <w:rPr>
          <w:rFonts w:asciiTheme="minorHAnsi" w:eastAsiaTheme="minorEastAsia" w:hAnsiTheme="minorHAnsi" w:cstheme="minorBidi"/>
          <w:i w:val="0"/>
          <w:iCs w:val="0"/>
          <w:color w:val="auto"/>
          <w:sz w:val="20"/>
          <w:szCs w:val="20"/>
        </w:rPr>
        <w:t>brownfield</w:t>
      </w:r>
      <w:proofErr w:type="spellEnd"/>
      <w:r w:rsidR="5D89631D" w:rsidRPr="3EE66962">
        <w:rPr>
          <w:rFonts w:asciiTheme="minorHAnsi" w:eastAsiaTheme="minorEastAsia" w:hAnsiTheme="minorHAnsi" w:cstheme="minorBidi"/>
          <w:i w:val="0"/>
          <w:iCs w:val="0"/>
          <w:color w:val="auto"/>
          <w:sz w:val="20"/>
          <w:szCs w:val="20"/>
        </w:rPr>
        <w:t xml:space="preserve"> byly v rámci bodového hodnocení zvýhodněny. </w:t>
      </w:r>
      <w:r w:rsidR="1D94B336" w:rsidRPr="3EE66962">
        <w:rPr>
          <w:rFonts w:asciiTheme="minorHAnsi" w:eastAsiaTheme="minorEastAsia" w:hAnsiTheme="minorHAnsi" w:cstheme="minorBidi"/>
          <w:i w:val="0"/>
          <w:iCs w:val="0"/>
          <w:color w:val="auto"/>
          <w:sz w:val="20"/>
          <w:szCs w:val="20"/>
        </w:rPr>
        <w:t xml:space="preserve">V rámci OP ŽP byly alokované prostředky na sanace ekologických zátěží. Projekty </w:t>
      </w:r>
      <w:proofErr w:type="spellStart"/>
      <w:r w:rsidR="1D94B336" w:rsidRPr="3EE66962">
        <w:rPr>
          <w:rFonts w:asciiTheme="minorHAnsi" w:eastAsiaTheme="minorEastAsia" w:hAnsiTheme="minorHAnsi" w:cstheme="minorBidi"/>
          <w:i w:val="0"/>
          <w:iCs w:val="0"/>
          <w:color w:val="auto"/>
          <w:sz w:val="20"/>
          <w:szCs w:val="20"/>
        </w:rPr>
        <w:t>brownfieldů</w:t>
      </w:r>
      <w:proofErr w:type="spellEnd"/>
      <w:r w:rsidR="1D94B336" w:rsidRPr="3EE66962">
        <w:rPr>
          <w:rFonts w:asciiTheme="minorHAnsi" w:eastAsiaTheme="minorEastAsia" w:hAnsiTheme="minorHAnsi" w:cstheme="minorBidi"/>
          <w:i w:val="0"/>
          <w:iCs w:val="0"/>
          <w:color w:val="auto"/>
          <w:sz w:val="20"/>
          <w:szCs w:val="20"/>
        </w:rPr>
        <w:t xml:space="preserve"> byly bodov</w:t>
      </w:r>
      <w:r w:rsidR="4371DFCE" w:rsidRPr="3EE66962">
        <w:rPr>
          <w:rFonts w:asciiTheme="minorHAnsi" w:eastAsiaTheme="minorEastAsia" w:hAnsiTheme="minorHAnsi" w:cstheme="minorBidi"/>
          <w:i w:val="0"/>
          <w:iCs w:val="0"/>
          <w:color w:val="auto"/>
          <w:sz w:val="20"/>
          <w:szCs w:val="20"/>
        </w:rPr>
        <w:t>ě</w:t>
      </w:r>
      <w:r w:rsidR="1D94B336" w:rsidRPr="3EE66962">
        <w:rPr>
          <w:rFonts w:asciiTheme="minorHAnsi" w:eastAsiaTheme="minorEastAsia" w:hAnsiTheme="minorHAnsi" w:cstheme="minorBidi"/>
          <w:i w:val="0"/>
          <w:iCs w:val="0"/>
          <w:color w:val="auto"/>
          <w:sz w:val="20"/>
          <w:szCs w:val="20"/>
        </w:rPr>
        <w:t xml:space="preserve"> zvýhodněny také v rámci dotačních programů </w:t>
      </w:r>
      <w:proofErr w:type="spellStart"/>
      <w:r w:rsidR="1D94B336" w:rsidRPr="3EE66962">
        <w:rPr>
          <w:rFonts w:asciiTheme="minorHAnsi" w:eastAsiaTheme="minorEastAsia" w:hAnsiTheme="minorHAnsi" w:cstheme="minorBidi"/>
          <w:i w:val="0"/>
          <w:iCs w:val="0"/>
          <w:color w:val="auto"/>
          <w:sz w:val="20"/>
          <w:szCs w:val="20"/>
        </w:rPr>
        <w:t>MZe</w:t>
      </w:r>
      <w:proofErr w:type="spellEnd"/>
      <w:r w:rsidR="1D94B336" w:rsidRPr="3EE66962">
        <w:rPr>
          <w:rFonts w:asciiTheme="minorHAnsi" w:eastAsiaTheme="minorEastAsia" w:hAnsiTheme="minorHAnsi" w:cstheme="minorBidi"/>
          <w:i w:val="0"/>
          <w:iCs w:val="0"/>
          <w:color w:val="auto"/>
          <w:sz w:val="20"/>
          <w:szCs w:val="20"/>
        </w:rPr>
        <w:t xml:space="preserve">. </w:t>
      </w:r>
    </w:p>
    <w:p w14:paraId="10A8A198" w14:textId="3E32B609" w:rsidR="000A6D9B" w:rsidRDefault="1D94B336" w:rsidP="3EE66962">
      <w:pPr>
        <w:pStyle w:val="K-TextInfo"/>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Zbytek podpory </w:t>
      </w:r>
      <w:r w:rsidR="4371DFCE" w:rsidRPr="3EE66962">
        <w:rPr>
          <w:rFonts w:asciiTheme="minorHAnsi" w:eastAsiaTheme="minorEastAsia" w:hAnsiTheme="minorHAnsi" w:cstheme="minorBidi"/>
          <w:i w:val="0"/>
          <w:iCs w:val="0"/>
          <w:color w:val="auto"/>
          <w:sz w:val="20"/>
          <w:szCs w:val="20"/>
        </w:rPr>
        <w:t>byl</w:t>
      </w:r>
      <w:r w:rsidRPr="3EE66962">
        <w:rPr>
          <w:rFonts w:asciiTheme="minorHAnsi" w:eastAsiaTheme="minorEastAsia" w:hAnsiTheme="minorHAnsi" w:cstheme="minorBidi"/>
          <w:i w:val="0"/>
          <w:iCs w:val="0"/>
          <w:color w:val="auto"/>
          <w:sz w:val="20"/>
          <w:szCs w:val="20"/>
        </w:rPr>
        <w:t xml:space="preserve"> poskytován z prostředků státního rozpočtu, </w:t>
      </w:r>
      <w:r w:rsidR="5795CB4E" w:rsidRPr="3EE66962">
        <w:rPr>
          <w:rFonts w:asciiTheme="minorHAnsi" w:eastAsiaTheme="minorEastAsia" w:hAnsiTheme="minorHAnsi" w:cstheme="minorBidi"/>
          <w:i w:val="0"/>
          <w:iCs w:val="0"/>
          <w:color w:val="auto"/>
          <w:sz w:val="20"/>
          <w:szCs w:val="20"/>
        </w:rPr>
        <w:t>programy cílily</w:t>
      </w:r>
      <w:r w:rsidR="4371DFCE" w:rsidRPr="3EE66962">
        <w:rPr>
          <w:rFonts w:asciiTheme="minorHAnsi" w:eastAsiaTheme="minorEastAsia" w:hAnsiTheme="minorHAnsi" w:cstheme="minorBidi"/>
          <w:i w:val="0"/>
          <w:iCs w:val="0"/>
          <w:color w:val="auto"/>
          <w:sz w:val="20"/>
          <w:szCs w:val="20"/>
        </w:rPr>
        <w:t xml:space="preserve"> především na </w:t>
      </w:r>
      <w:proofErr w:type="spellStart"/>
      <w:r w:rsidR="4371DFCE" w:rsidRPr="3EE66962">
        <w:rPr>
          <w:rFonts w:asciiTheme="minorHAnsi" w:eastAsiaTheme="minorEastAsia" w:hAnsiTheme="minorHAnsi" w:cstheme="minorBidi"/>
          <w:i w:val="0"/>
          <w:iCs w:val="0"/>
          <w:color w:val="auto"/>
          <w:sz w:val="20"/>
          <w:szCs w:val="20"/>
        </w:rPr>
        <w:t>brownfieldy</w:t>
      </w:r>
      <w:proofErr w:type="spellEnd"/>
      <w:r w:rsidR="4371DFCE" w:rsidRPr="3EE66962">
        <w:rPr>
          <w:rFonts w:asciiTheme="minorHAnsi" w:eastAsiaTheme="minorEastAsia" w:hAnsiTheme="minorHAnsi" w:cstheme="minorBidi"/>
          <w:i w:val="0"/>
          <w:iCs w:val="0"/>
          <w:color w:val="auto"/>
          <w:sz w:val="20"/>
          <w:szCs w:val="20"/>
        </w:rPr>
        <w:t xml:space="preserve"> ve veřejném vlastnictví. </w:t>
      </w:r>
      <w:r w:rsidRPr="3EE66962">
        <w:rPr>
          <w:rFonts w:asciiTheme="minorHAnsi" w:eastAsiaTheme="minorEastAsia" w:hAnsiTheme="minorHAnsi" w:cstheme="minorBidi"/>
          <w:i w:val="0"/>
          <w:iCs w:val="0"/>
          <w:color w:val="auto"/>
          <w:sz w:val="20"/>
          <w:szCs w:val="20"/>
        </w:rPr>
        <w:t>MPO a MMR vyhlaš</w:t>
      </w:r>
      <w:r w:rsidR="108B6563" w:rsidRPr="3EE66962">
        <w:rPr>
          <w:rFonts w:asciiTheme="minorHAnsi" w:eastAsiaTheme="minorEastAsia" w:hAnsiTheme="minorHAnsi" w:cstheme="minorBidi"/>
          <w:i w:val="0"/>
          <w:iCs w:val="0"/>
          <w:color w:val="auto"/>
          <w:sz w:val="20"/>
          <w:szCs w:val="20"/>
        </w:rPr>
        <w:t>ovaly</w:t>
      </w:r>
      <w:r w:rsidRPr="3EE66962">
        <w:rPr>
          <w:rFonts w:asciiTheme="minorHAnsi" w:eastAsiaTheme="minorEastAsia" w:hAnsiTheme="minorHAnsi" w:cstheme="minorBidi"/>
          <w:i w:val="0"/>
          <w:iCs w:val="0"/>
          <w:color w:val="auto"/>
          <w:sz w:val="20"/>
          <w:szCs w:val="20"/>
        </w:rPr>
        <w:t xml:space="preserve"> dotační programy pro regenerace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ve vlastnictví obcí a krajů pro nepodnikatelské a podnikatelské využití. MMR administr</w:t>
      </w:r>
      <w:r w:rsidR="4371DFCE" w:rsidRPr="3EE66962">
        <w:rPr>
          <w:rFonts w:asciiTheme="minorHAnsi" w:eastAsiaTheme="minorEastAsia" w:hAnsiTheme="minorHAnsi" w:cstheme="minorBidi"/>
          <w:i w:val="0"/>
          <w:iCs w:val="0"/>
          <w:color w:val="auto"/>
          <w:sz w:val="20"/>
          <w:szCs w:val="20"/>
        </w:rPr>
        <w:t>ovalo v letech 2019 a 2020</w:t>
      </w:r>
      <w:r w:rsidRPr="3EE66962">
        <w:rPr>
          <w:rFonts w:asciiTheme="minorHAnsi" w:eastAsiaTheme="minorEastAsia" w:hAnsiTheme="minorHAnsi" w:cstheme="minorBidi"/>
          <w:i w:val="0"/>
          <w:iCs w:val="0"/>
          <w:color w:val="auto"/>
          <w:sz w:val="20"/>
          <w:szCs w:val="20"/>
        </w:rPr>
        <w:t xml:space="preserve"> dotační podprogram</w:t>
      </w:r>
      <w:r w:rsidR="4371DFCE" w:rsidRPr="3EE66962">
        <w:rPr>
          <w:rFonts w:asciiTheme="minorHAnsi" w:eastAsiaTheme="minorEastAsia" w:hAnsiTheme="minorHAnsi" w:cstheme="minorBidi"/>
          <w:i w:val="0"/>
          <w:iCs w:val="0"/>
          <w:color w:val="auto"/>
          <w:sz w:val="20"/>
          <w:szCs w:val="20"/>
        </w:rPr>
        <w:t xml:space="preserve"> Regenerace </w:t>
      </w:r>
      <w:proofErr w:type="spellStart"/>
      <w:r w:rsidR="4371DFCE" w:rsidRPr="3EE66962">
        <w:rPr>
          <w:rFonts w:asciiTheme="minorHAnsi" w:eastAsiaTheme="minorEastAsia" w:hAnsiTheme="minorHAnsi" w:cstheme="minorBidi"/>
          <w:i w:val="0"/>
          <w:iCs w:val="0"/>
          <w:color w:val="auto"/>
          <w:sz w:val="20"/>
          <w:szCs w:val="20"/>
        </w:rPr>
        <w:t>brownfieldů</w:t>
      </w:r>
      <w:proofErr w:type="spellEnd"/>
      <w:r w:rsidR="4371DFCE" w:rsidRPr="3EE66962">
        <w:rPr>
          <w:rFonts w:asciiTheme="minorHAnsi" w:eastAsiaTheme="minorEastAsia" w:hAnsiTheme="minorHAnsi" w:cstheme="minorBidi"/>
          <w:i w:val="0"/>
          <w:iCs w:val="0"/>
          <w:color w:val="auto"/>
          <w:sz w:val="20"/>
          <w:szCs w:val="20"/>
        </w:rPr>
        <w:t xml:space="preserve"> pro nepodnikatelské využití, v </w:t>
      </w:r>
      <w:proofErr w:type="gramStart"/>
      <w:r w:rsidR="4371DFCE" w:rsidRPr="3EE66962">
        <w:rPr>
          <w:rFonts w:asciiTheme="minorHAnsi" w:eastAsiaTheme="minorEastAsia" w:hAnsiTheme="minorHAnsi" w:cstheme="minorBidi"/>
          <w:i w:val="0"/>
          <w:iCs w:val="0"/>
          <w:color w:val="auto"/>
          <w:sz w:val="20"/>
          <w:szCs w:val="20"/>
        </w:rPr>
        <w:t>rámci</w:t>
      </w:r>
      <w:proofErr w:type="gramEnd"/>
      <w:r w:rsidR="4371DFCE" w:rsidRPr="3EE66962">
        <w:rPr>
          <w:rFonts w:asciiTheme="minorHAnsi" w:eastAsiaTheme="minorEastAsia" w:hAnsiTheme="minorHAnsi" w:cstheme="minorBidi"/>
          <w:i w:val="0"/>
          <w:iCs w:val="0"/>
          <w:color w:val="auto"/>
          <w:sz w:val="20"/>
          <w:szCs w:val="20"/>
        </w:rPr>
        <w:t xml:space="preserve"> něhož bylo podpořeno zhruba 100 projektů, v zásobníku zůstává minimálně 200</w:t>
      </w:r>
      <w:r w:rsidR="6237BB8A" w:rsidRPr="3EE66962">
        <w:rPr>
          <w:rFonts w:asciiTheme="minorHAnsi" w:eastAsiaTheme="minorEastAsia" w:hAnsiTheme="minorHAnsi" w:cstheme="minorBidi"/>
          <w:i w:val="0"/>
          <w:iCs w:val="0"/>
          <w:color w:val="auto"/>
          <w:sz w:val="20"/>
          <w:szCs w:val="20"/>
        </w:rPr>
        <w:t> </w:t>
      </w:r>
      <w:r w:rsidR="4371DFCE" w:rsidRPr="3EE66962">
        <w:rPr>
          <w:rFonts w:asciiTheme="minorHAnsi" w:eastAsiaTheme="minorEastAsia" w:hAnsiTheme="minorHAnsi" w:cstheme="minorBidi"/>
          <w:i w:val="0"/>
          <w:iCs w:val="0"/>
          <w:color w:val="auto"/>
          <w:sz w:val="20"/>
          <w:szCs w:val="20"/>
        </w:rPr>
        <w:t>připravených projektů. Dále MMR poskytovalo podporu n</w:t>
      </w:r>
      <w:r w:rsidRPr="3EE66962">
        <w:rPr>
          <w:rFonts w:asciiTheme="minorHAnsi" w:eastAsiaTheme="minorEastAsia" w:hAnsiTheme="minorHAnsi" w:cstheme="minorBidi"/>
          <w:i w:val="0"/>
          <w:iCs w:val="0"/>
          <w:color w:val="auto"/>
          <w:sz w:val="20"/>
          <w:szCs w:val="20"/>
        </w:rPr>
        <w:t xml:space="preserve">a </w:t>
      </w:r>
      <w:r w:rsidR="5D89631D" w:rsidRPr="3EE66962">
        <w:rPr>
          <w:rFonts w:asciiTheme="minorHAnsi" w:eastAsiaTheme="minorEastAsia" w:hAnsiTheme="minorHAnsi" w:cstheme="minorBidi"/>
          <w:i w:val="0"/>
          <w:iCs w:val="0"/>
          <w:color w:val="auto"/>
          <w:sz w:val="20"/>
          <w:szCs w:val="20"/>
        </w:rPr>
        <w:t>T</w:t>
      </w:r>
      <w:r w:rsidRPr="3EE66962">
        <w:rPr>
          <w:rFonts w:asciiTheme="minorHAnsi" w:eastAsiaTheme="minorEastAsia" w:hAnsiTheme="minorHAnsi" w:cstheme="minorBidi"/>
          <w:i w:val="0"/>
          <w:iCs w:val="0"/>
          <w:color w:val="auto"/>
          <w:sz w:val="20"/>
          <w:szCs w:val="20"/>
        </w:rPr>
        <w:t>vorbu analýzy nebo studie budoucího využití konkr</w:t>
      </w:r>
      <w:r w:rsidR="5D89631D" w:rsidRPr="3EE66962">
        <w:rPr>
          <w:rFonts w:asciiTheme="minorHAnsi" w:eastAsiaTheme="minorEastAsia" w:hAnsiTheme="minorHAnsi" w:cstheme="minorBidi"/>
          <w:i w:val="0"/>
          <w:iCs w:val="0"/>
          <w:color w:val="auto"/>
          <w:sz w:val="20"/>
          <w:szCs w:val="20"/>
        </w:rPr>
        <w:t xml:space="preserve">étního specifického </w:t>
      </w:r>
      <w:proofErr w:type="spellStart"/>
      <w:r w:rsidR="5D89631D" w:rsidRPr="3EE66962">
        <w:rPr>
          <w:rFonts w:asciiTheme="minorHAnsi" w:eastAsiaTheme="minorEastAsia" w:hAnsiTheme="minorHAnsi" w:cstheme="minorBidi"/>
          <w:i w:val="0"/>
          <w:iCs w:val="0"/>
          <w:color w:val="auto"/>
          <w:sz w:val="20"/>
          <w:szCs w:val="20"/>
        </w:rPr>
        <w:t>brownfieldu</w:t>
      </w:r>
      <w:proofErr w:type="spellEnd"/>
      <w:r w:rsidR="5D89631D" w:rsidRPr="3EE66962">
        <w:rPr>
          <w:rFonts w:asciiTheme="minorHAnsi" w:eastAsiaTheme="minorEastAsia" w:hAnsiTheme="minorHAnsi" w:cstheme="minorBidi"/>
          <w:i w:val="0"/>
          <w:iCs w:val="0"/>
          <w:color w:val="auto"/>
          <w:sz w:val="20"/>
          <w:szCs w:val="20"/>
        </w:rPr>
        <w:t xml:space="preserve">, kde bylo </w:t>
      </w:r>
      <w:r w:rsidR="108B6563" w:rsidRPr="3EE66962">
        <w:rPr>
          <w:rFonts w:asciiTheme="minorHAnsi" w:eastAsiaTheme="minorEastAsia" w:hAnsiTheme="minorHAnsi" w:cstheme="minorBidi"/>
          <w:i w:val="0"/>
          <w:iCs w:val="0"/>
          <w:color w:val="auto"/>
          <w:sz w:val="20"/>
          <w:szCs w:val="20"/>
        </w:rPr>
        <w:t>územím doporučeno 1</w:t>
      </w:r>
      <w:r w:rsidR="7E5B8455" w:rsidRPr="3EE66962">
        <w:rPr>
          <w:rFonts w:asciiTheme="minorHAnsi" w:eastAsiaTheme="minorEastAsia" w:hAnsiTheme="minorHAnsi" w:cstheme="minorBidi"/>
          <w:i w:val="0"/>
          <w:iCs w:val="0"/>
          <w:color w:val="auto"/>
          <w:sz w:val="20"/>
          <w:szCs w:val="20"/>
        </w:rPr>
        <w:t>2</w:t>
      </w:r>
      <w:r w:rsidR="5D89631D" w:rsidRPr="3EE66962">
        <w:rPr>
          <w:rFonts w:asciiTheme="minorHAnsi" w:eastAsiaTheme="minorEastAsia" w:hAnsiTheme="minorHAnsi" w:cstheme="minorBidi"/>
          <w:i w:val="0"/>
          <w:iCs w:val="0"/>
          <w:color w:val="auto"/>
          <w:sz w:val="20"/>
          <w:szCs w:val="20"/>
        </w:rPr>
        <w:t xml:space="preserve"> </w:t>
      </w:r>
      <w:r w:rsidR="108B6563" w:rsidRPr="3EE66962">
        <w:rPr>
          <w:rFonts w:asciiTheme="minorHAnsi" w:eastAsiaTheme="minorEastAsia" w:hAnsiTheme="minorHAnsi" w:cstheme="minorBidi"/>
          <w:i w:val="0"/>
          <w:iCs w:val="0"/>
          <w:color w:val="auto"/>
          <w:sz w:val="20"/>
          <w:szCs w:val="20"/>
        </w:rPr>
        <w:t>lokalit</w:t>
      </w:r>
      <w:r w:rsidR="5D89631D" w:rsidRPr="3EE66962">
        <w:rPr>
          <w:rFonts w:asciiTheme="minorHAnsi" w:eastAsiaTheme="minorEastAsia" w:hAnsiTheme="minorHAnsi" w:cstheme="minorBidi"/>
          <w:i w:val="0"/>
          <w:iCs w:val="0"/>
          <w:color w:val="auto"/>
          <w:sz w:val="20"/>
          <w:szCs w:val="20"/>
        </w:rPr>
        <w:t>, které mohou žádat o podporu</w:t>
      </w:r>
      <w:r w:rsidR="0053566B" w:rsidRPr="3EE66962">
        <w:rPr>
          <w:rStyle w:val="Znakapoznpodarou"/>
          <w:rFonts w:asciiTheme="minorHAnsi" w:eastAsiaTheme="minorEastAsia" w:hAnsiTheme="minorHAnsi" w:cstheme="minorBidi"/>
          <w:i w:val="0"/>
          <w:iCs w:val="0"/>
          <w:color w:val="auto"/>
          <w:sz w:val="20"/>
          <w:szCs w:val="20"/>
        </w:rPr>
        <w:footnoteReference w:id="8"/>
      </w:r>
      <w:r w:rsidR="5D89631D" w:rsidRPr="3EE66962">
        <w:rPr>
          <w:rFonts w:asciiTheme="minorHAnsi" w:eastAsiaTheme="minorEastAsia" w:hAnsiTheme="minorHAnsi" w:cstheme="minorBidi"/>
          <w:i w:val="0"/>
          <w:iCs w:val="0"/>
          <w:color w:val="auto"/>
          <w:sz w:val="20"/>
          <w:szCs w:val="20"/>
        </w:rPr>
        <w:t xml:space="preserve">. </w:t>
      </w:r>
      <w:r w:rsidR="4371DFCE" w:rsidRPr="3EE66962">
        <w:rPr>
          <w:rFonts w:asciiTheme="minorHAnsi" w:eastAsiaTheme="minorEastAsia" w:hAnsiTheme="minorHAnsi" w:cstheme="minorBidi"/>
          <w:i w:val="0"/>
          <w:iCs w:val="0"/>
          <w:color w:val="auto"/>
          <w:sz w:val="20"/>
          <w:szCs w:val="20"/>
        </w:rPr>
        <w:t>MPO poskyt</w:t>
      </w:r>
      <w:r w:rsidR="108B6563" w:rsidRPr="3EE66962">
        <w:rPr>
          <w:rFonts w:asciiTheme="minorHAnsi" w:eastAsiaTheme="minorEastAsia" w:hAnsiTheme="minorHAnsi" w:cstheme="minorBidi"/>
          <w:i w:val="0"/>
          <w:iCs w:val="0"/>
          <w:color w:val="auto"/>
          <w:sz w:val="20"/>
          <w:szCs w:val="20"/>
        </w:rPr>
        <w:t>ovalo</w:t>
      </w:r>
      <w:r w:rsidR="4371DFCE" w:rsidRPr="3EE66962">
        <w:rPr>
          <w:rFonts w:asciiTheme="minorHAnsi" w:eastAsiaTheme="minorEastAsia" w:hAnsiTheme="minorHAnsi" w:cstheme="minorBidi"/>
          <w:i w:val="0"/>
          <w:iCs w:val="0"/>
          <w:color w:val="auto"/>
          <w:sz w:val="20"/>
          <w:szCs w:val="20"/>
        </w:rPr>
        <w:t xml:space="preserve"> od roku 201</w:t>
      </w:r>
      <w:r w:rsidR="5795CB4E" w:rsidRPr="3EE66962">
        <w:rPr>
          <w:rFonts w:asciiTheme="minorHAnsi" w:eastAsiaTheme="minorEastAsia" w:hAnsiTheme="minorHAnsi" w:cstheme="minorBidi"/>
          <w:i w:val="0"/>
          <w:iCs w:val="0"/>
          <w:color w:val="auto"/>
          <w:sz w:val="20"/>
          <w:szCs w:val="20"/>
        </w:rPr>
        <w:t>7</w:t>
      </w:r>
      <w:r w:rsidR="4371DFCE" w:rsidRPr="3EE66962">
        <w:rPr>
          <w:rFonts w:asciiTheme="minorHAnsi" w:eastAsiaTheme="minorEastAsia" w:hAnsiTheme="minorHAnsi" w:cstheme="minorBidi"/>
          <w:i w:val="0"/>
          <w:iCs w:val="0"/>
          <w:color w:val="auto"/>
          <w:sz w:val="20"/>
          <w:szCs w:val="20"/>
        </w:rPr>
        <w:t xml:space="preserve"> podporu na podnikatelské využití </w:t>
      </w:r>
      <w:proofErr w:type="spellStart"/>
      <w:r w:rsidR="4371DFCE" w:rsidRPr="3EE66962">
        <w:rPr>
          <w:rFonts w:asciiTheme="minorHAnsi" w:eastAsiaTheme="minorEastAsia" w:hAnsiTheme="minorHAnsi" w:cstheme="minorBidi"/>
          <w:i w:val="0"/>
          <w:iCs w:val="0"/>
          <w:color w:val="auto"/>
          <w:sz w:val="20"/>
          <w:szCs w:val="20"/>
        </w:rPr>
        <w:t>brownfieldů</w:t>
      </w:r>
      <w:proofErr w:type="spellEnd"/>
      <w:r w:rsidR="4371DFCE" w:rsidRPr="3EE66962">
        <w:rPr>
          <w:rFonts w:asciiTheme="minorHAnsi" w:eastAsiaTheme="minorEastAsia" w:hAnsiTheme="minorHAnsi" w:cstheme="minorBidi"/>
          <w:i w:val="0"/>
          <w:iCs w:val="0"/>
          <w:color w:val="auto"/>
          <w:sz w:val="20"/>
          <w:szCs w:val="20"/>
        </w:rPr>
        <w:t xml:space="preserve">, zatím bylo podpořeno </w:t>
      </w:r>
      <w:r w:rsidR="5A70FE09" w:rsidRPr="3EE66962">
        <w:rPr>
          <w:rFonts w:asciiTheme="minorHAnsi" w:eastAsiaTheme="minorEastAsia" w:hAnsiTheme="minorHAnsi" w:cstheme="minorBidi"/>
          <w:i w:val="0"/>
          <w:iCs w:val="0"/>
          <w:color w:val="auto"/>
          <w:sz w:val="20"/>
          <w:szCs w:val="20"/>
        </w:rPr>
        <w:t>20</w:t>
      </w:r>
      <w:r w:rsidR="6237BB8A" w:rsidRPr="3EE66962">
        <w:rPr>
          <w:rFonts w:asciiTheme="minorHAnsi" w:eastAsiaTheme="minorEastAsia" w:hAnsiTheme="minorHAnsi" w:cstheme="minorBidi"/>
          <w:i w:val="0"/>
          <w:iCs w:val="0"/>
          <w:color w:val="auto"/>
          <w:sz w:val="20"/>
          <w:szCs w:val="20"/>
        </w:rPr>
        <w:t> </w:t>
      </w:r>
      <w:r w:rsidR="4371DFCE" w:rsidRPr="3EE66962">
        <w:rPr>
          <w:rFonts w:asciiTheme="minorHAnsi" w:eastAsiaTheme="minorEastAsia" w:hAnsiTheme="minorHAnsi" w:cstheme="minorBidi"/>
          <w:i w:val="0"/>
          <w:iCs w:val="0"/>
          <w:color w:val="auto"/>
          <w:sz w:val="20"/>
          <w:szCs w:val="20"/>
        </w:rPr>
        <w:t xml:space="preserve">projektů. Dále MPO spravovalo program </w:t>
      </w:r>
      <w:r w:rsidR="5D89631D" w:rsidRPr="3EE66962">
        <w:rPr>
          <w:rFonts w:asciiTheme="minorHAnsi" w:eastAsiaTheme="minorEastAsia" w:hAnsiTheme="minorHAnsi" w:cstheme="minorBidi"/>
          <w:i w:val="0"/>
          <w:iCs w:val="0"/>
          <w:color w:val="auto"/>
          <w:sz w:val="20"/>
          <w:szCs w:val="20"/>
        </w:rPr>
        <w:t>p</w:t>
      </w:r>
      <w:r w:rsidR="4371DFCE" w:rsidRPr="3EE66962">
        <w:rPr>
          <w:rFonts w:asciiTheme="minorHAnsi" w:eastAsiaTheme="minorEastAsia" w:hAnsiTheme="minorHAnsi" w:cstheme="minorBidi"/>
          <w:i w:val="0"/>
          <w:iCs w:val="0"/>
          <w:color w:val="auto"/>
          <w:sz w:val="20"/>
          <w:szCs w:val="20"/>
        </w:rPr>
        <w:t xml:space="preserve">ro podporu podnikatelských nemovitostí a infrastruktury, který mj. cílil na lokality typu </w:t>
      </w:r>
      <w:proofErr w:type="spellStart"/>
      <w:r w:rsidR="4371DFCE" w:rsidRPr="3EE66962">
        <w:rPr>
          <w:rFonts w:asciiTheme="minorHAnsi" w:eastAsiaTheme="minorEastAsia" w:hAnsiTheme="minorHAnsi" w:cstheme="minorBidi"/>
          <w:i w:val="0"/>
          <w:iCs w:val="0"/>
          <w:color w:val="auto"/>
          <w:sz w:val="20"/>
          <w:szCs w:val="20"/>
        </w:rPr>
        <w:t>brownfield</w:t>
      </w:r>
      <w:proofErr w:type="spellEnd"/>
      <w:r w:rsidR="4371DFCE" w:rsidRPr="3EE66962">
        <w:rPr>
          <w:rFonts w:asciiTheme="minorHAnsi" w:eastAsiaTheme="minorEastAsia" w:hAnsiTheme="minorHAnsi" w:cstheme="minorBidi"/>
          <w:i w:val="0"/>
          <w:iCs w:val="0"/>
          <w:color w:val="auto"/>
          <w:sz w:val="20"/>
          <w:szCs w:val="20"/>
        </w:rPr>
        <w:t xml:space="preserve">. </w:t>
      </w:r>
    </w:p>
    <w:tbl>
      <w:tblPr>
        <w:tblStyle w:val="Mkatabulky"/>
        <w:tblW w:w="9634" w:type="dxa"/>
        <w:tblLook w:val="04A0" w:firstRow="1" w:lastRow="0" w:firstColumn="1" w:lastColumn="0" w:noHBand="0" w:noVBand="1"/>
      </w:tblPr>
      <w:tblGrid>
        <w:gridCol w:w="2263"/>
        <w:gridCol w:w="2835"/>
        <w:gridCol w:w="1701"/>
        <w:gridCol w:w="1276"/>
        <w:gridCol w:w="1559"/>
      </w:tblGrid>
      <w:tr w:rsidR="00E05A9C" w14:paraId="61DC9D1A" w14:textId="77777777" w:rsidTr="3D1952B0">
        <w:tc>
          <w:tcPr>
            <w:tcW w:w="2263" w:type="dxa"/>
            <w:vAlign w:val="center"/>
          </w:tcPr>
          <w:p w14:paraId="5AA582C8" w14:textId="54BF9652" w:rsidR="00E05A9C" w:rsidRPr="00623F15" w:rsidRDefault="5795CB4E" w:rsidP="3EE66962">
            <w:pPr>
              <w:pStyle w:val="K-TextInfo"/>
              <w:spacing w:after="81"/>
              <w:jc w:val="left"/>
              <w:rPr>
                <w:rFonts w:asciiTheme="minorHAnsi" w:eastAsiaTheme="minorEastAsia" w:hAnsiTheme="minorHAnsi" w:cstheme="minorBidi"/>
                <w:b/>
                <w:bCs/>
                <w:i w:val="0"/>
                <w:iCs w:val="0"/>
                <w:color w:val="auto"/>
                <w:sz w:val="20"/>
                <w:szCs w:val="20"/>
              </w:rPr>
            </w:pPr>
            <w:r w:rsidRPr="3EE66962">
              <w:rPr>
                <w:rFonts w:asciiTheme="minorHAnsi" w:eastAsiaTheme="minorEastAsia" w:hAnsiTheme="minorHAnsi" w:cstheme="minorBidi"/>
                <w:b/>
                <w:bCs/>
                <w:i w:val="0"/>
                <w:iCs w:val="0"/>
                <w:color w:val="auto"/>
                <w:sz w:val="20"/>
                <w:szCs w:val="20"/>
              </w:rPr>
              <w:t>Název programu</w:t>
            </w:r>
          </w:p>
        </w:tc>
        <w:tc>
          <w:tcPr>
            <w:tcW w:w="2835" w:type="dxa"/>
            <w:vAlign w:val="center"/>
          </w:tcPr>
          <w:p w14:paraId="1A972839" w14:textId="29228874" w:rsidR="00E05A9C" w:rsidRPr="00623F15" w:rsidRDefault="5795CB4E" w:rsidP="3EE66962">
            <w:pPr>
              <w:pStyle w:val="K-TextInfo"/>
              <w:spacing w:after="81"/>
              <w:jc w:val="left"/>
              <w:rPr>
                <w:rFonts w:asciiTheme="minorHAnsi" w:eastAsiaTheme="minorEastAsia" w:hAnsiTheme="minorHAnsi" w:cstheme="minorBidi"/>
                <w:b/>
                <w:bCs/>
                <w:i w:val="0"/>
                <w:iCs w:val="0"/>
                <w:color w:val="auto"/>
                <w:sz w:val="20"/>
                <w:szCs w:val="20"/>
              </w:rPr>
            </w:pPr>
            <w:r w:rsidRPr="3EE66962">
              <w:rPr>
                <w:rFonts w:asciiTheme="minorHAnsi" w:eastAsiaTheme="minorEastAsia" w:hAnsiTheme="minorHAnsi" w:cstheme="minorBidi"/>
                <w:b/>
                <w:bCs/>
                <w:i w:val="0"/>
                <w:iCs w:val="0"/>
                <w:color w:val="auto"/>
                <w:sz w:val="20"/>
                <w:szCs w:val="20"/>
              </w:rPr>
              <w:t>Účel podpory</w:t>
            </w:r>
          </w:p>
        </w:tc>
        <w:tc>
          <w:tcPr>
            <w:tcW w:w="1701" w:type="dxa"/>
            <w:vAlign w:val="center"/>
          </w:tcPr>
          <w:p w14:paraId="757B83F7" w14:textId="56566BAB" w:rsidR="00E05A9C" w:rsidRPr="00623F15" w:rsidRDefault="5795CB4E" w:rsidP="3EE66962">
            <w:pPr>
              <w:pStyle w:val="K-TextInfo"/>
              <w:spacing w:after="81"/>
              <w:jc w:val="left"/>
              <w:rPr>
                <w:rFonts w:asciiTheme="minorHAnsi" w:eastAsiaTheme="minorEastAsia" w:hAnsiTheme="minorHAnsi" w:cstheme="minorBidi"/>
                <w:b/>
                <w:bCs/>
                <w:i w:val="0"/>
                <w:iCs w:val="0"/>
                <w:color w:val="auto"/>
                <w:sz w:val="20"/>
                <w:szCs w:val="20"/>
              </w:rPr>
            </w:pPr>
            <w:r w:rsidRPr="3EE66962">
              <w:rPr>
                <w:rFonts w:asciiTheme="minorHAnsi" w:eastAsiaTheme="minorEastAsia" w:hAnsiTheme="minorHAnsi" w:cstheme="minorBidi"/>
                <w:b/>
                <w:bCs/>
                <w:i w:val="0"/>
                <w:iCs w:val="0"/>
                <w:color w:val="auto"/>
                <w:sz w:val="20"/>
                <w:szCs w:val="20"/>
              </w:rPr>
              <w:t>Příjemce podpory</w:t>
            </w:r>
          </w:p>
        </w:tc>
        <w:tc>
          <w:tcPr>
            <w:tcW w:w="1276" w:type="dxa"/>
            <w:vAlign w:val="center"/>
          </w:tcPr>
          <w:p w14:paraId="33EEC5F6" w14:textId="4096D523" w:rsidR="00E05A9C" w:rsidRPr="00623F15" w:rsidRDefault="5795CB4E" w:rsidP="3EE66962">
            <w:pPr>
              <w:pStyle w:val="K-TextInfo"/>
              <w:spacing w:after="81"/>
              <w:jc w:val="left"/>
              <w:rPr>
                <w:rFonts w:asciiTheme="minorHAnsi" w:eastAsiaTheme="minorEastAsia" w:hAnsiTheme="minorHAnsi" w:cstheme="minorBidi"/>
                <w:b/>
                <w:bCs/>
                <w:i w:val="0"/>
                <w:iCs w:val="0"/>
                <w:color w:val="auto"/>
                <w:sz w:val="20"/>
                <w:szCs w:val="20"/>
              </w:rPr>
            </w:pPr>
            <w:r w:rsidRPr="3EE66962">
              <w:rPr>
                <w:rFonts w:asciiTheme="minorHAnsi" w:eastAsiaTheme="minorEastAsia" w:hAnsiTheme="minorHAnsi" w:cstheme="minorBidi"/>
                <w:b/>
                <w:bCs/>
                <w:i w:val="0"/>
                <w:iCs w:val="0"/>
                <w:color w:val="auto"/>
                <w:sz w:val="20"/>
                <w:szCs w:val="20"/>
              </w:rPr>
              <w:t>Alokace</w:t>
            </w:r>
          </w:p>
        </w:tc>
        <w:tc>
          <w:tcPr>
            <w:tcW w:w="1559" w:type="dxa"/>
            <w:vAlign w:val="center"/>
          </w:tcPr>
          <w:p w14:paraId="6A2D2B22" w14:textId="33AAFA13" w:rsidR="00E05A9C" w:rsidRPr="00623F15" w:rsidRDefault="5795CB4E" w:rsidP="3EE66962">
            <w:pPr>
              <w:pStyle w:val="K-TextInfo"/>
              <w:spacing w:after="81"/>
              <w:jc w:val="left"/>
              <w:rPr>
                <w:rFonts w:asciiTheme="minorHAnsi" w:eastAsiaTheme="minorEastAsia" w:hAnsiTheme="minorHAnsi" w:cstheme="minorBidi"/>
                <w:b/>
                <w:bCs/>
                <w:i w:val="0"/>
                <w:iCs w:val="0"/>
                <w:color w:val="auto"/>
                <w:sz w:val="20"/>
                <w:szCs w:val="20"/>
              </w:rPr>
            </w:pPr>
            <w:r w:rsidRPr="3EE66962">
              <w:rPr>
                <w:rFonts w:asciiTheme="minorHAnsi" w:eastAsiaTheme="minorEastAsia" w:hAnsiTheme="minorHAnsi" w:cstheme="minorBidi"/>
                <w:b/>
                <w:bCs/>
                <w:i w:val="0"/>
                <w:iCs w:val="0"/>
                <w:color w:val="auto"/>
                <w:sz w:val="20"/>
                <w:szCs w:val="20"/>
              </w:rPr>
              <w:t>Počet podpořených projektů</w:t>
            </w:r>
          </w:p>
        </w:tc>
      </w:tr>
      <w:tr w:rsidR="00E05A9C" w:rsidRPr="003147A4" w14:paraId="08FFE97F" w14:textId="77777777" w:rsidTr="3D1952B0">
        <w:tc>
          <w:tcPr>
            <w:tcW w:w="2263" w:type="dxa"/>
          </w:tcPr>
          <w:p w14:paraId="6783E1E8" w14:textId="1CF739F5" w:rsidR="00E05A9C" w:rsidRPr="00623F15" w:rsidRDefault="5795CB4E"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MŽP </w:t>
            </w:r>
            <w:r w:rsidR="69440B6D" w:rsidRPr="3EE66962">
              <w:rPr>
                <w:rFonts w:asciiTheme="minorHAnsi" w:eastAsiaTheme="minorEastAsia" w:hAnsiTheme="minorHAnsi" w:cstheme="minorBidi"/>
                <w:i w:val="0"/>
                <w:iCs w:val="0"/>
                <w:color w:val="auto"/>
                <w:sz w:val="20"/>
                <w:szCs w:val="20"/>
              </w:rPr>
              <w:t>–</w:t>
            </w:r>
            <w:r w:rsidRPr="3EE66962">
              <w:rPr>
                <w:rFonts w:asciiTheme="minorHAnsi" w:eastAsiaTheme="minorEastAsia" w:hAnsiTheme="minorHAnsi" w:cstheme="minorBidi"/>
                <w:i w:val="0"/>
                <w:iCs w:val="0"/>
                <w:color w:val="auto"/>
                <w:sz w:val="20"/>
                <w:szCs w:val="20"/>
              </w:rPr>
              <w:t xml:space="preserve"> OP Životní prostředí </w:t>
            </w:r>
            <w:r w:rsidR="69440B6D" w:rsidRPr="3EE66962">
              <w:rPr>
                <w:rFonts w:asciiTheme="minorHAnsi" w:eastAsiaTheme="minorEastAsia" w:hAnsiTheme="minorHAnsi" w:cstheme="minorBidi"/>
                <w:i w:val="0"/>
                <w:iCs w:val="0"/>
                <w:color w:val="auto"/>
                <w:sz w:val="20"/>
                <w:szCs w:val="20"/>
              </w:rPr>
              <w:t>–</w:t>
            </w:r>
            <w:r w:rsidRPr="3EE66962">
              <w:rPr>
                <w:rFonts w:asciiTheme="minorHAnsi" w:eastAsiaTheme="minorEastAsia" w:hAnsiTheme="minorHAnsi" w:cstheme="minorBidi"/>
                <w:i w:val="0"/>
                <w:iCs w:val="0"/>
                <w:color w:val="auto"/>
                <w:sz w:val="20"/>
                <w:szCs w:val="20"/>
              </w:rPr>
              <w:t xml:space="preserve"> SC 3.4 </w:t>
            </w:r>
            <w:r w:rsidR="69440B6D" w:rsidRPr="3EE66962">
              <w:rPr>
                <w:rFonts w:asciiTheme="minorHAnsi" w:eastAsiaTheme="minorEastAsia" w:hAnsiTheme="minorHAnsi" w:cstheme="minorBidi"/>
                <w:i w:val="0"/>
                <w:iCs w:val="0"/>
                <w:color w:val="auto"/>
                <w:sz w:val="20"/>
                <w:szCs w:val="20"/>
              </w:rPr>
              <w:t>–</w:t>
            </w:r>
            <w:r w:rsidRPr="3EE66962">
              <w:rPr>
                <w:rFonts w:asciiTheme="minorHAnsi" w:eastAsiaTheme="minorEastAsia" w:hAnsiTheme="minorHAnsi" w:cstheme="minorBidi"/>
                <w:i w:val="0"/>
                <w:iCs w:val="0"/>
                <w:color w:val="auto"/>
                <w:sz w:val="20"/>
                <w:szCs w:val="20"/>
              </w:rPr>
              <w:t xml:space="preserve"> </w:t>
            </w:r>
            <w:r w:rsidR="2BF2C157" w:rsidRPr="3EE66962">
              <w:rPr>
                <w:rFonts w:asciiTheme="minorHAnsi" w:eastAsiaTheme="minorEastAsia" w:hAnsiTheme="minorHAnsi" w:cstheme="minorBidi"/>
                <w:i w:val="0"/>
                <w:iCs w:val="0"/>
                <w:color w:val="auto"/>
                <w:sz w:val="20"/>
                <w:szCs w:val="20"/>
              </w:rPr>
              <w:t>Dokončit inventarizaci a odstranit ekologické zátěže</w:t>
            </w:r>
          </w:p>
        </w:tc>
        <w:tc>
          <w:tcPr>
            <w:tcW w:w="2835" w:type="dxa"/>
          </w:tcPr>
          <w:p w14:paraId="406C0BCC" w14:textId="404CAAEB" w:rsidR="00633046" w:rsidRPr="00623F15" w:rsidRDefault="2BF2C157" w:rsidP="3EE66962">
            <w:pPr>
              <w:pStyle w:val="K-TextInfo"/>
              <w:numPr>
                <w:ilvl w:val="0"/>
                <w:numId w:val="49"/>
              </w:numPr>
              <w:spacing w:after="81"/>
              <w:ind w:left="214" w:hanging="244"/>
              <w:jc w:val="left"/>
              <w:rPr>
                <w:rFonts w:asciiTheme="minorHAnsi" w:eastAsiaTheme="minorEastAsia" w:hAnsiTheme="minorHAnsi" w:cstheme="minorBidi"/>
                <w:i w:val="0"/>
                <w:iCs w:val="0"/>
                <w:color w:val="000000" w:themeColor="text1"/>
                <w:sz w:val="20"/>
                <w:szCs w:val="20"/>
              </w:rPr>
            </w:pPr>
            <w:r w:rsidRPr="3EE66962">
              <w:rPr>
                <w:rFonts w:asciiTheme="minorHAnsi" w:eastAsiaTheme="minorEastAsia" w:hAnsiTheme="minorHAnsi" w:cstheme="minorBidi"/>
                <w:i w:val="0"/>
                <w:iCs w:val="0"/>
                <w:color w:val="auto"/>
                <w:sz w:val="20"/>
                <w:szCs w:val="20"/>
              </w:rPr>
              <w:t>inventarizace kontaminovaných a potenciálně kontaminovaných míst, kategorizace priorit kontaminovaných míst podle závažnosti</w:t>
            </w:r>
          </w:p>
          <w:p w14:paraId="0C0D6975" w14:textId="2D3AA7C7" w:rsidR="00633046" w:rsidRPr="00623F15" w:rsidRDefault="2BF2C157" w:rsidP="3EE66962">
            <w:pPr>
              <w:pStyle w:val="K-TextInfo"/>
              <w:numPr>
                <w:ilvl w:val="0"/>
                <w:numId w:val="49"/>
              </w:numPr>
              <w:spacing w:after="81"/>
              <w:ind w:left="214" w:hanging="244"/>
              <w:jc w:val="left"/>
              <w:rPr>
                <w:rFonts w:asciiTheme="minorHAnsi" w:eastAsiaTheme="minorEastAsia" w:hAnsiTheme="minorHAnsi" w:cstheme="minorBidi"/>
                <w:i w:val="0"/>
                <w:iCs w:val="0"/>
                <w:color w:val="000000" w:themeColor="text1"/>
                <w:sz w:val="20"/>
                <w:szCs w:val="20"/>
              </w:rPr>
            </w:pPr>
            <w:r w:rsidRPr="3EE66962">
              <w:rPr>
                <w:rFonts w:asciiTheme="minorHAnsi" w:eastAsiaTheme="minorEastAsia" w:hAnsiTheme="minorHAnsi" w:cstheme="minorBidi"/>
                <w:i w:val="0"/>
                <w:iCs w:val="0"/>
                <w:color w:val="auto"/>
                <w:sz w:val="20"/>
                <w:szCs w:val="20"/>
              </w:rPr>
              <w:lastRenderedPageBreak/>
              <w:t xml:space="preserve">realizace průzkumných prací (včetně </w:t>
            </w:r>
            <w:proofErr w:type="spellStart"/>
            <w:r w:rsidRPr="3EE66962">
              <w:rPr>
                <w:rFonts w:asciiTheme="minorHAnsi" w:eastAsiaTheme="minorEastAsia" w:hAnsiTheme="minorHAnsi" w:cstheme="minorBidi"/>
                <w:i w:val="0"/>
                <w:iCs w:val="0"/>
                <w:color w:val="auto"/>
                <w:sz w:val="20"/>
                <w:szCs w:val="20"/>
              </w:rPr>
              <w:t>doprůzkumů</w:t>
            </w:r>
            <w:proofErr w:type="spellEnd"/>
            <w:r w:rsidRPr="3EE66962">
              <w:rPr>
                <w:rFonts w:asciiTheme="minorHAnsi" w:eastAsiaTheme="minorEastAsia" w:hAnsiTheme="minorHAnsi" w:cstheme="minorBidi"/>
                <w:i w:val="0"/>
                <w:iCs w:val="0"/>
                <w:color w:val="auto"/>
                <w:sz w:val="20"/>
                <w:szCs w:val="20"/>
              </w:rPr>
              <w:t>), analýzy rizik,</w:t>
            </w:r>
          </w:p>
          <w:p w14:paraId="497E7DF6" w14:textId="75705422" w:rsidR="00E05A9C" w:rsidRPr="00623F15" w:rsidRDefault="2BF2C157" w:rsidP="3EE66962">
            <w:pPr>
              <w:pStyle w:val="K-TextInfo"/>
              <w:numPr>
                <w:ilvl w:val="0"/>
                <w:numId w:val="49"/>
              </w:numPr>
              <w:spacing w:after="81"/>
              <w:ind w:left="214" w:hanging="244"/>
              <w:jc w:val="left"/>
              <w:rPr>
                <w:rFonts w:asciiTheme="minorHAnsi" w:eastAsiaTheme="minorEastAsia" w:hAnsiTheme="minorHAnsi" w:cstheme="minorBidi"/>
                <w:i w:val="0"/>
                <w:iCs w:val="0"/>
                <w:color w:val="000000" w:themeColor="text1"/>
                <w:sz w:val="20"/>
                <w:szCs w:val="20"/>
              </w:rPr>
            </w:pPr>
            <w:r w:rsidRPr="3EE66962">
              <w:rPr>
                <w:rFonts w:asciiTheme="minorHAnsi" w:eastAsiaTheme="minorEastAsia" w:hAnsiTheme="minorHAnsi" w:cstheme="minorBidi"/>
                <w:i w:val="0"/>
                <w:iCs w:val="0"/>
                <w:color w:val="auto"/>
                <w:sz w:val="20"/>
                <w:szCs w:val="20"/>
              </w:rPr>
              <w:t>sanace vážně kontaminovaných lokalit.</w:t>
            </w:r>
          </w:p>
        </w:tc>
        <w:tc>
          <w:tcPr>
            <w:tcW w:w="1701" w:type="dxa"/>
          </w:tcPr>
          <w:p w14:paraId="086607D0" w14:textId="6104CF2C" w:rsidR="00E05A9C" w:rsidRPr="007A025B" w:rsidRDefault="463834EF" w:rsidP="3EE66962">
            <w:pPr>
              <w:pStyle w:val="K-TextInfo"/>
              <w:spacing w:after="81"/>
              <w:jc w:val="left"/>
              <w:rPr>
                <w:rFonts w:asciiTheme="minorHAnsi" w:eastAsiaTheme="minorEastAsia" w:hAnsiTheme="minorHAnsi" w:cstheme="minorBidi"/>
                <w:i w:val="0"/>
                <w:iCs w:val="0"/>
                <w:color w:val="1C1C1C"/>
                <w:sz w:val="20"/>
                <w:szCs w:val="20"/>
              </w:rPr>
            </w:pPr>
            <w:r w:rsidRPr="3EE66962">
              <w:rPr>
                <w:rFonts w:asciiTheme="minorHAnsi" w:eastAsiaTheme="minorEastAsia" w:hAnsiTheme="minorHAnsi" w:cstheme="minorBidi"/>
                <w:i w:val="0"/>
                <w:iCs w:val="0"/>
                <w:color w:val="1C1C1C"/>
                <w:sz w:val="20"/>
                <w:szCs w:val="20"/>
              </w:rPr>
              <w:lastRenderedPageBreak/>
              <w:t>Majitelé nebo uživatelé kontaminovaných lokalit bez ohledu na jejich právní formu</w:t>
            </w:r>
          </w:p>
        </w:tc>
        <w:tc>
          <w:tcPr>
            <w:tcW w:w="1276" w:type="dxa"/>
          </w:tcPr>
          <w:p w14:paraId="14B329CD" w14:textId="4FCB2DA0" w:rsidR="00E05A9C" w:rsidRPr="00623F15" w:rsidRDefault="786D0216"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1C1C1C"/>
                <w:sz w:val="20"/>
                <w:szCs w:val="20"/>
              </w:rPr>
              <w:t>3,6</w:t>
            </w:r>
            <w:r w:rsidR="5795CB4E" w:rsidRPr="3EE66962">
              <w:rPr>
                <w:rFonts w:asciiTheme="minorHAnsi" w:eastAsiaTheme="minorEastAsia" w:hAnsiTheme="minorHAnsi" w:cstheme="minorBidi"/>
                <w:i w:val="0"/>
                <w:iCs w:val="0"/>
                <w:color w:val="1C1C1C"/>
                <w:sz w:val="20"/>
                <w:szCs w:val="20"/>
              </w:rPr>
              <w:t xml:space="preserve"> mld. Kč</w:t>
            </w:r>
            <w:r w:rsidR="2ED24C34" w:rsidRPr="3EE66962">
              <w:rPr>
                <w:rFonts w:asciiTheme="minorHAnsi" w:eastAsiaTheme="minorEastAsia" w:hAnsiTheme="minorHAnsi" w:cstheme="minorBidi"/>
                <w:i w:val="0"/>
                <w:iCs w:val="0"/>
                <w:color w:val="1C1C1C"/>
                <w:sz w:val="20"/>
                <w:szCs w:val="20"/>
              </w:rPr>
              <w:t xml:space="preserve"> (ERDF)</w:t>
            </w:r>
          </w:p>
        </w:tc>
        <w:tc>
          <w:tcPr>
            <w:tcW w:w="1559" w:type="dxa"/>
          </w:tcPr>
          <w:p w14:paraId="3857525F" w14:textId="08804969" w:rsidR="00E05A9C" w:rsidRPr="00623F15" w:rsidRDefault="786D0216"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112</w:t>
            </w:r>
          </w:p>
        </w:tc>
      </w:tr>
      <w:tr w:rsidR="00E05A9C" w:rsidRPr="003147A4" w14:paraId="72E8B9E9" w14:textId="77777777" w:rsidTr="3D1952B0">
        <w:tc>
          <w:tcPr>
            <w:tcW w:w="2263" w:type="dxa"/>
          </w:tcPr>
          <w:p w14:paraId="5CAD5E97" w14:textId="2AFA5029" w:rsidR="00E05A9C" w:rsidRPr="00623F15" w:rsidRDefault="5795CB4E"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MPO – OP PIK</w:t>
            </w:r>
            <w:r w:rsidR="74960286" w:rsidRPr="3EE66962">
              <w:rPr>
                <w:rFonts w:asciiTheme="minorHAnsi" w:eastAsiaTheme="minorEastAsia" w:hAnsiTheme="minorHAnsi" w:cstheme="minorBidi"/>
                <w:i w:val="0"/>
                <w:iCs w:val="0"/>
                <w:color w:val="auto"/>
                <w:sz w:val="20"/>
                <w:szCs w:val="20"/>
              </w:rPr>
              <w:t xml:space="preserve"> </w:t>
            </w:r>
            <w:r w:rsidR="27464E71" w:rsidRPr="3EE66962">
              <w:rPr>
                <w:rFonts w:asciiTheme="minorHAnsi" w:eastAsiaTheme="minorEastAsia" w:hAnsiTheme="minorHAnsi" w:cstheme="minorBidi"/>
                <w:i w:val="0"/>
                <w:iCs w:val="0"/>
                <w:color w:val="auto"/>
                <w:sz w:val="20"/>
                <w:szCs w:val="20"/>
              </w:rPr>
              <w:t>Nemovitosti</w:t>
            </w:r>
          </w:p>
        </w:tc>
        <w:tc>
          <w:tcPr>
            <w:tcW w:w="2835" w:type="dxa"/>
          </w:tcPr>
          <w:p w14:paraId="02129C34" w14:textId="070291E2" w:rsidR="00E05A9C" w:rsidRPr="007A025B" w:rsidRDefault="68A74EB5"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Rekonstrukce zchátralých a nevyhovujících nemovitostí a souvisejících areálů (včetně lokalit typu </w:t>
            </w:r>
            <w:proofErr w:type="spellStart"/>
            <w:r w:rsidRPr="3EE66962">
              <w:rPr>
                <w:rFonts w:asciiTheme="minorHAnsi" w:eastAsiaTheme="minorEastAsia" w:hAnsiTheme="minorHAnsi" w:cstheme="minorBidi"/>
                <w:i w:val="0"/>
                <w:iCs w:val="0"/>
                <w:color w:val="auto"/>
                <w:sz w:val="20"/>
                <w:szCs w:val="20"/>
              </w:rPr>
              <w:t>brownfield</w:t>
            </w:r>
            <w:proofErr w:type="spellEnd"/>
            <w:r w:rsidRPr="3EE66962">
              <w:rPr>
                <w:rFonts w:asciiTheme="minorHAnsi" w:eastAsiaTheme="minorEastAsia" w:hAnsiTheme="minorHAnsi" w:cstheme="minorBidi"/>
                <w:i w:val="0"/>
                <w:iCs w:val="0"/>
                <w:color w:val="auto"/>
                <w:sz w:val="20"/>
                <w:szCs w:val="20"/>
              </w:rPr>
              <w:t>) pro účely podnikání.</w:t>
            </w:r>
          </w:p>
        </w:tc>
        <w:tc>
          <w:tcPr>
            <w:tcW w:w="1701" w:type="dxa"/>
          </w:tcPr>
          <w:p w14:paraId="29258CC9" w14:textId="198BC79A" w:rsidR="00E05A9C" w:rsidRPr="007A025B" w:rsidRDefault="5795CB4E"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Malý a střední podnik</w:t>
            </w:r>
          </w:p>
        </w:tc>
        <w:tc>
          <w:tcPr>
            <w:tcW w:w="1276" w:type="dxa"/>
          </w:tcPr>
          <w:p w14:paraId="7A14E660" w14:textId="53771E81" w:rsidR="001D310D" w:rsidRDefault="149FFB36"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6</w:t>
            </w:r>
            <w:r w:rsidR="50F1E023" w:rsidRPr="3EE66962">
              <w:rPr>
                <w:rFonts w:asciiTheme="minorHAnsi" w:eastAsiaTheme="minorEastAsia" w:hAnsiTheme="minorHAnsi" w:cstheme="minorBidi"/>
                <w:i w:val="0"/>
                <w:iCs w:val="0"/>
                <w:color w:val="auto"/>
                <w:sz w:val="20"/>
                <w:szCs w:val="20"/>
              </w:rPr>
              <w:t xml:space="preserve"> mld. Kč</w:t>
            </w:r>
          </w:p>
          <w:p w14:paraId="1EFF2619" w14:textId="0B9658B3" w:rsidR="00E05A9C" w:rsidRPr="007A025B" w:rsidRDefault="2ED24C34"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(ERDF)</w:t>
            </w:r>
          </w:p>
        </w:tc>
        <w:tc>
          <w:tcPr>
            <w:tcW w:w="1559" w:type="dxa"/>
          </w:tcPr>
          <w:p w14:paraId="3D655132" w14:textId="1ACBB2DF" w:rsidR="00E05A9C" w:rsidRPr="007A025B" w:rsidRDefault="149FFB36"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442</w:t>
            </w:r>
            <w:r w:rsidR="002E1F63" w:rsidRPr="3EE66962">
              <w:rPr>
                <w:rStyle w:val="Znakapoznpodarou"/>
                <w:rFonts w:asciiTheme="minorHAnsi" w:eastAsiaTheme="minorEastAsia" w:hAnsiTheme="minorHAnsi" w:cstheme="minorBidi"/>
                <w:i w:val="0"/>
                <w:iCs w:val="0"/>
                <w:color w:val="auto"/>
                <w:sz w:val="20"/>
                <w:szCs w:val="20"/>
              </w:rPr>
              <w:footnoteReference w:id="9"/>
            </w:r>
          </w:p>
        </w:tc>
      </w:tr>
      <w:tr w:rsidR="00E05A9C" w:rsidRPr="003147A4" w14:paraId="02AF0543" w14:textId="77777777" w:rsidTr="3D1952B0">
        <w:trPr>
          <w:trHeight w:val="1915"/>
        </w:trPr>
        <w:tc>
          <w:tcPr>
            <w:tcW w:w="2263" w:type="dxa"/>
          </w:tcPr>
          <w:p w14:paraId="65311C2C" w14:textId="1399DE5F" w:rsidR="00E05A9C" w:rsidRPr="007A025B" w:rsidRDefault="5795CB4E" w:rsidP="3EE66962">
            <w:pPr>
              <w:spacing w:after="0" w:line="240" w:lineRule="auto"/>
              <w:rPr>
                <w:rFonts w:eastAsiaTheme="minorEastAsia"/>
                <w:i/>
                <w:iCs/>
                <w:color w:val="auto"/>
                <w:sz w:val="20"/>
                <w:szCs w:val="20"/>
              </w:rPr>
            </w:pPr>
            <w:r w:rsidRPr="3EE66962">
              <w:rPr>
                <w:rFonts w:eastAsiaTheme="minorEastAsia"/>
                <w:color w:val="auto"/>
                <w:sz w:val="20"/>
                <w:szCs w:val="20"/>
              </w:rPr>
              <w:t xml:space="preserve">MPO – OP </w:t>
            </w:r>
            <w:r w:rsidR="27464E71" w:rsidRPr="3EE66962">
              <w:rPr>
                <w:rFonts w:eastAsiaTheme="minorEastAsia"/>
                <w:color w:val="auto"/>
                <w:sz w:val="20"/>
                <w:szCs w:val="20"/>
              </w:rPr>
              <w:t xml:space="preserve">PIK/ČMRZB </w:t>
            </w:r>
            <w:r w:rsidR="69440B6D" w:rsidRPr="3EE66962">
              <w:rPr>
                <w:rFonts w:eastAsiaTheme="minorEastAsia"/>
                <w:color w:val="auto"/>
                <w:sz w:val="20"/>
                <w:szCs w:val="20"/>
              </w:rPr>
              <w:t>–</w:t>
            </w:r>
            <w:r w:rsidRPr="3EE66962">
              <w:rPr>
                <w:rFonts w:eastAsiaTheme="minorEastAsia"/>
                <w:color w:val="auto"/>
                <w:sz w:val="20"/>
                <w:szCs w:val="20"/>
              </w:rPr>
              <w:t xml:space="preserve"> </w:t>
            </w:r>
            <w:r w:rsidRPr="3EE66962">
              <w:rPr>
                <w:rFonts w:eastAsiaTheme="minorEastAsia"/>
                <w:color w:val="1C1C1C"/>
                <w:sz w:val="20"/>
                <w:szCs w:val="20"/>
              </w:rPr>
              <w:t xml:space="preserve">ITI ostravské aglomerace; Opatření ITI 2.2.1: Revitalizace a regenerace zanedbaných ploch a areálů </w:t>
            </w:r>
          </w:p>
        </w:tc>
        <w:tc>
          <w:tcPr>
            <w:tcW w:w="2835" w:type="dxa"/>
          </w:tcPr>
          <w:p w14:paraId="2812BFFE" w14:textId="77714161" w:rsidR="00E05A9C" w:rsidRPr="00623F15" w:rsidRDefault="27464E71"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Finanční nástroj pro regeneraci rozsáhlejších </w:t>
            </w:r>
            <w:proofErr w:type="spellStart"/>
            <w:r w:rsidRPr="3EE66962">
              <w:rPr>
                <w:rFonts w:asciiTheme="minorHAnsi" w:eastAsiaTheme="minorEastAsia" w:hAnsiTheme="minorHAnsi" w:cstheme="minorBidi"/>
                <w:i w:val="0"/>
                <w:iCs w:val="0"/>
                <w:color w:val="auto"/>
                <w:sz w:val="20"/>
                <w:szCs w:val="20"/>
              </w:rPr>
              <w:t>brownfield</w:t>
            </w:r>
            <w:proofErr w:type="spellEnd"/>
            <w:r w:rsidRPr="3EE66962">
              <w:rPr>
                <w:rFonts w:asciiTheme="minorHAnsi" w:eastAsiaTheme="minorEastAsia" w:hAnsiTheme="minorHAnsi" w:cstheme="minorBidi"/>
                <w:i w:val="0"/>
                <w:iCs w:val="0"/>
                <w:color w:val="auto"/>
                <w:sz w:val="20"/>
                <w:szCs w:val="20"/>
              </w:rPr>
              <w:t xml:space="preserve"> areálů, které investor plánuje přeměnit na infrastrukturu pro podnikání, s cílem následného prodeje či pronájmu pro účely podnikání malých a středních podnikatelů</w:t>
            </w:r>
          </w:p>
        </w:tc>
        <w:tc>
          <w:tcPr>
            <w:tcW w:w="1701" w:type="dxa"/>
          </w:tcPr>
          <w:p w14:paraId="1321959D" w14:textId="10F48F52" w:rsidR="00E05A9C" w:rsidRPr="00623F15" w:rsidRDefault="69440B6D"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w:t>
            </w:r>
          </w:p>
        </w:tc>
        <w:tc>
          <w:tcPr>
            <w:tcW w:w="1276" w:type="dxa"/>
          </w:tcPr>
          <w:p w14:paraId="203982F2" w14:textId="212235A0" w:rsidR="00E05A9C" w:rsidRPr="00623F15" w:rsidRDefault="3165AE14" w:rsidP="3D1952B0">
            <w:pPr>
              <w:pStyle w:val="K-TextInfo"/>
              <w:spacing w:after="81"/>
              <w:jc w:val="left"/>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500 mil. Kč</w:t>
            </w:r>
          </w:p>
          <w:p w14:paraId="59B696ED" w14:textId="0B9658B3" w:rsidR="00E05A9C" w:rsidRPr="00623F15" w:rsidRDefault="20D4F5DC" w:rsidP="3D1952B0">
            <w:pPr>
              <w:pStyle w:val="K-TextInfo"/>
              <w:spacing w:after="81"/>
              <w:jc w:val="left"/>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(ERDF)</w:t>
            </w:r>
          </w:p>
          <w:p w14:paraId="725C3E59" w14:textId="10075472" w:rsidR="00E05A9C" w:rsidRPr="00623F15" w:rsidRDefault="00E05A9C" w:rsidP="3D1952B0">
            <w:pPr>
              <w:pStyle w:val="K-TextInfo"/>
              <w:spacing w:after="81"/>
              <w:jc w:val="left"/>
              <w:rPr>
                <w:rFonts w:asciiTheme="minorHAnsi" w:eastAsiaTheme="minorEastAsia" w:hAnsiTheme="minorHAnsi" w:cstheme="minorBidi"/>
                <w:i w:val="0"/>
                <w:iCs w:val="0"/>
                <w:color w:val="auto"/>
                <w:sz w:val="20"/>
                <w:szCs w:val="20"/>
              </w:rPr>
            </w:pPr>
          </w:p>
        </w:tc>
        <w:tc>
          <w:tcPr>
            <w:tcW w:w="1559" w:type="dxa"/>
          </w:tcPr>
          <w:p w14:paraId="57D0DCAF" w14:textId="7C35D197" w:rsidR="00E05A9C" w:rsidRPr="00623F15" w:rsidRDefault="27464E71"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Bude vyhlášeno</w:t>
            </w:r>
          </w:p>
        </w:tc>
      </w:tr>
      <w:tr w:rsidR="00633046" w:rsidRPr="00633046" w14:paraId="75748BC7" w14:textId="77777777" w:rsidTr="3D1952B0">
        <w:trPr>
          <w:trHeight w:val="980"/>
        </w:trPr>
        <w:tc>
          <w:tcPr>
            <w:tcW w:w="2263" w:type="dxa"/>
          </w:tcPr>
          <w:p w14:paraId="4F9DE6FC" w14:textId="112B0818" w:rsidR="00633046" w:rsidRPr="007A025B" w:rsidRDefault="2507B4F5" w:rsidP="3EE66962">
            <w:pPr>
              <w:spacing w:after="0" w:line="240" w:lineRule="auto"/>
              <w:rPr>
                <w:rFonts w:eastAsiaTheme="minorEastAsia"/>
                <w:color w:val="auto"/>
                <w:sz w:val="20"/>
                <w:szCs w:val="20"/>
              </w:rPr>
            </w:pPr>
            <w:r w:rsidRPr="3EE66962">
              <w:rPr>
                <w:rFonts w:eastAsiaTheme="minorEastAsia"/>
                <w:color w:val="auto"/>
                <w:sz w:val="20"/>
                <w:szCs w:val="20"/>
              </w:rPr>
              <w:t xml:space="preserve">MPO </w:t>
            </w:r>
            <w:r w:rsidR="69440B6D" w:rsidRPr="3EE66962">
              <w:rPr>
                <w:rFonts w:eastAsiaTheme="minorEastAsia"/>
                <w:color w:val="auto"/>
                <w:sz w:val="20"/>
                <w:szCs w:val="20"/>
              </w:rPr>
              <w:t>–</w:t>
            </w:r>
            <w:r w:rsidRPr="3EE66962">
              <w:rPr>
                <w:rFonts w:eastAsiaTheme="minorEastAsia"/>
                <w:color w:val="auto"/>
                <w:sz w:val="20"/>
                <w:szCs w:val="20"/>
              </w:rPr>
              <w:t xml:space="preserve"> </w:t>
            </w:r>
            <w:r w:rsidRPr="3EE66962">
              <w:rPr>
                <w:rFonts w:eastAsiaTheme="minorEastAsia"/>
                <w:color w:val="1C1C1C"/>
                <w:sz w:val="20"/>
                <w:szCs w:val="20"/>
              </w:rPr>
              <w:t>Program pro podporu podnikatelských nemovitostí a infrastruktury (PPPNI)</w:t>
            </w:r>
          </w:p>
        </w:tc>
        <w:tc>
          <w:tcPr>
            <w:tcW w:w="2835" w:type="dxa"/>
          </w:tcPr>
          <w:p w14:paraId="77B33187" w14:textId="6E212E97" w:rsidR="00633046" w:rsidRPr="007A025B" w:rsidRDefault="5D89631D"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Příprava průmyslových zón. </w:t>
            </w:r>
          </w:p>
        </w:tc>
        <w:tc>
          <w:tcPr>
            <w:tcW w:w="1701" w:type="dxa"/>
          </w:tcPr>
          <w:p w14:paraId="307FFC09" w14:textId="115C0CE7" w:rsidR="00633046" w:rsidRPr="007A025B" w:rsidRDefault="7E6F8FC7"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Obec, kraj</w:t>
            </w:r>
          </w:p>
        </w:tc>
        <w:tc>
          <w:tcPr>
            <w:tcW w:w="1276" w:type="dxa"/>
          </w:tcPr>
          <w:p w14:paraId="076F7E28" w14:textId="3AE24940" w:rsidR="00252707" w:rsidRDefault="54912721"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4</w:t>
            </w:r>
            <w:r w:rsidR="629100DA" w:rsidRPr="3EE66962">
              <w:rPr>
                <w:rFonts w:asciiTheme="minorHAnsi" w:eastAsiaTheme="minorEastAsia" w:hAnsiTheme="minorHAnsi" w:cstheme="minorBidi"/>
                <w:i w:val="0"/>
                <w:iCs w:val="0"/>
                <w:color w:val="auto"/>
                <w:sz w:val="20"/>
                <w:szCs w:val="20"/>
              </w:rPr>
              <w:t>7</w:t>
            </w:r>
            <w:r w:rsidR="39C18BCB" w:rsidRPr="3EE66962">
              <w:rPr>
                <w:rFonts w:asciiTheme="minorHAnsi" w:eastAsiaTheme="minorEastAsia" w:hAnsiTheme="minorHAnsi" w:cstheme="minorBidi"/>
                <w:i w:val="0"/>
                <w:iCs w:val="0"/>
                <w:color w:val="auto"/>
                <w:sz w:val="20"/>
                <w:szCs w:val="20"/>
              </w:rPr>
              <w:t xml:space="preserve"> </w:t>
            </w:r>
            <w:r w:rsidR="5D89631D" w:rsidRPr="3EE66962">
              <w:rPr>
                <w:rFonts w:asciiTheme="minorHAnsi" w:eastAsiaTheme="minorEastAsia" w:hAnsiTheme="minorHAnsi" w:cstheme="minorBidi"/>
                <w:i w:val="0"/>
                <w:iCs w:val="0"/>
                <w:color w:val="auto"/>
                <w:sz w:val="20"/>
                <w:szCs w:val="20"/>
              </w:rPr>
              <w:t>mld. Kč</w:t>
            </w:r>
          </w:p>
          <w:p w14:paraId="38F49FA4" w14:textId="62CC6556" w:rsidR="00633046" w:rsidRPr="007A025B" w:rsidRDefault="39C18BCB"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(státní rozpočet)</w:t>
            </w:r>
          </w:p>
        </w:tc>
        <w:tc>
          <w:tcPr>
            <w:tcW w:w="1559" w:type="dxa"/>
          </w:tcPr>
          <w:p w14:paraId="1B9D1D2A" w14:textId="1620EF80" w:rsidR="00633046" w:rsidRPr="007A025B" w:rsidRDefault="54912721"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4</w:t>
            </w:r>
            <w:r w:rsidR="464CB3E2" w:rsidRPr="3EE66962">
              <w:rPr>
                <w:rFonts w:asciiTheme="minorHAnsi" w:eastAsiaTheme="minorEastAsia" w:hAnsiTheme="minorHAnsi" w:cstheme="minorBidi"/>
                <w:i w:val="0"/>
                <w:iCs w:val="0"/>
                <w:color w:val="auto"/>
                <w:sz w:val="20"/>
                <w:szCs w:val="20"/>
              </w:rPr>
              <w:t>1</w:t>
            </w:r>
          </w:p>
        </w:tc>
      </w:tr>
      <w:tr w:rsidR="00633046" w:rsidRPr="003147A4" w14:paraId="23F01BE1" w14:textId="77777777" w:rsidTr="3D1952B0">
        <w:tc>
          <w:tcPr>
            <w:tcW w:w="2263" w:type="dxa"/>
          </w:tcPr>
          <w:p w14:paraId="7965D522" w14:textId="0890AD69" w:rsidR="00633046" w:rsidRPr="007A025B" w:rsidRDefault="74960286" w:rsidP="3EE66962">
            <w:pPr>
              <w:spacing w:after="0" w:line="240" w:lineRule="auto"/>
              <w:rPr>
                <w:rFonts w:eastAsiaTheme="minorEastAsia"/>
                <w:color w:val="auto"/>
                <w:sz w:val="20"/>
                <w:szCs w:val="20"/>
              </w:rPr>
            </w:pPr>
            <w:r w:rsidRPr="3EE66962">
              <w:rPr>
                <w:rFonts w:eastAsiaTheme="minorEastAsia"/>
                <w:color w:val="auto"/>
                <w:sz w:val="20"/>
                <w:szCs w:val="20"/>
              </w:rPr>
              <w:t xml:space="preserve">MPO </w:t>
            </w:r>
            <w:r w:rsidR="69440B6D" w:rsidRPr="3EE66962">
              <w:rPr>
                <w:rFonts w:eastAsiaTheme="minorEastAsia"/>
                <w:color w:val="auto"/>
                <w:sz w:val="20"/>
                <w:szCs w:val="20"/>
              </w:rPr>
              <w:t>–</w:t>
            </w:r>
            <w:r w:rsidRPr="3EE66962">
              <w:rPr>
                <w:rFonts w:eastAsiaTheme="minorEastAsia"/>
                <w:color w:val="auto"/>
                <w:sz w:val="20"/>
                <w:szCs w:val="20"/>
              </w:rPr>
              <w:t xml:space="preserve"> </w:t>
            </w:r>
            <w:r w:rsidRPr="3EE66962">
              <w:rPr>
                <w:rFonts w:eastAsiaTheme="minorEastAsia"/>
                <w:color w:val="1C1C1C"/>
                <w:sz w:val="20"/>
                <w:szCs w:val="20"/>
              </w:rPr>
              <w:t xml:space="preserve">Program regenerace a podnikatelské využití </w:t>
            </w:r>
            <w:proofErr w:type="spellStart"/>
            <w:r w:rsidRPr="3EE66962">
              <w:rPr>
                <w:rFonts w:eastAsiaTheme="minorEastAsia"/>
                <w:color w:val="1C1C1C"/>
                <w:sz w:val="20"/>
                <w:szCs w:val="20"/>
              </w:rPr>
              <w:t>brownfieldů</w:t>
            </w:r>
            <w:proofErr w:type="spellEnd"/>
          </w:p>
        </w:tc>
        <w:tc>
          <w:tcPr>
            <w:tcW w:w="2835" w:type="dxa"/>
          </w:tcPr>
          <w:p w14:paraId="52AE8252" w14:textId="559C1A6B" w:rsidR="00633046" w:rsidRPr="007A025B" w:rsidRDefault="5D89631D"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Regenerace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ve veřejném vlastnictví pro účely podnikání. </w:t>
            </w:r>
          </w:p>
        </w:tc>
        <w:tc>
          <w:tcPr>
            <w:tcW w:w="1701" w:type="dxa"/>
          </w:tcPr>
          <w:p w14:paraId="0BCA5F21" w14:textId="7D5F571B" w:rsidR="00633046" w:rsidRPr="007A025B" w:rsidRDefault="674CF771"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Obec, kraj</w:t>
            </w:r>
          </w:p>
        </w:tc>
        <w:tc>
          <w:tcPr>
            <w:tcW w:w="1276" w:type="dxa"/>
          </w:tcPr>
          <w:p w14:paraId="6DB03892" w14:textId="3E0FE5CD" w:rsidR="00633046" w:rsidRPr="007A025B" w:rsidRDefault="10AC7F19" w:rsidP="3D1952B0">
            <w:pPr>
              <w:pStyle w:val="K-TextInfo"/>
              <w:spacing w:after="81"/>
              <w:jc w:val="left"/>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383</w:t>
            </w:r>
            <w:r w:rsidR="371A0D05" w:rsidRPr="3D1952B0">
              <w:rPr>
                <w:rFonts w:asciiTheme="minorHAnsi" w:eastAsiaTheme="minorEastAsia" w:hAnsiTheme="minorHAnsi" w:cstheme="minorBidi"/>
                <w:i w:val="0"/>
                <w:iCs w:val="0"/>
                <w:color w:val="auto"/>
                <w:sz w:val="20"/>
                <w:szCs w:val="20"/>
              </w:rPr>
              <w:t>mil. Kč</w:t>
            </w:r>
            <w:r w:rsidR="24F7AF50" w:rsidRPr="3D1952B0">
              <w:rPr>
                <w:rStyle w:val="Znakapoznpodarou"/>
                <w:rFonts w:asciiTheme="minorHAnsi" w:eastAsiaTheme="minorEastAsia" w:hAnsiTheme="minorHAnsi" w:cstheme="minorBidi"/>
                <w:i w:val="0"/>
                <w:iCs w:val="0"/>
                <w:color w:val="auto"/>
                <w:sz w:val="20"/>
                <w:szCs w:val="20"/>
              </w:rPr>
              <w:footnoteReference w:id="10"/>
            </w:r>
          </w:p>
        </w:tc>
        <w:tc>
          <w:tcPr>
            <w:tcW w:w="1559" w:type="dxa"/>
          </w:tcPr>
          <w:p w14:paraId="1C77331A" w14:textId="7BCEB2E5" w:rsidR="00633046" w:rsidRPr="007A025B" w:rsidRDefault="70D45A57"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20</w:t>
            </w:r>
          </w:p>
        </w:tc>
      </w:tr>
      <w:tr w:rsidR="00E05A9C" w:rsidRPr="003147A4" w14:paraId="2E95A146" w14:textId="77777777" w:rsidTr="3D1952B0">
        <w:tc>
          <w:tcPr>
            <w:tcW w:w="2263" w:type="dxa"/>
          </w:tcPr>
          <w:p w14:paraId="0F698D18" w14:textId="7E710D28" w:rsidR="00E05A9C" w:rsidRPr="007A025B" w:rsidRDefault="5795CB4E"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MMR – Regenerace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pro nepodnikatelské využití</w:t>
            </w:r>
          </w:p>
        </w:tc>
        <w:tc>
          <w:tcPr>
            <w:tcW w:w="2835" w:type="dxa"/>
          </w:tcPr>
          <w:p w14:paraId="5F569C93" w14:textId="3DC33E26" w:rsidR="00E05A9C" w:rsidRPr="007A025B" w:rsidRDefault="13F2886C" w:rsidP="3D1952B0">
            <w:pPr>
              <w:pStyle w:val="K-TextInfo"/>
              <w:spacing w:after="81"/>
              <w:jc w:val="left"/>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 xml:space="preserve">Regenerace </w:t>
            </w:r>
            <w:proofErr w:type="spellStart"/>
            <w:r w:rsidR="59AE7537" w:rsidRPr="3D1952B0">
              <w:rPr>
                <w:rFonts w:asciiTheme="minorHAnsi" w:eastAsiaTheme="minorEastAsia" w:hAnsiTheme="minorHAnsi" w:cstheme="minorBidi"/>
                <w:i w:val="0"/>
                <w:iCs w:val="0"/>
                <w:color w:val="auto"/>
                <w:sz w:val="20"/>
                <w:szCs w:val="20"/>
              </w:rPr>
              <w:t>brownfieldů</w:t>
            </w:r>
            <w:proofErr w:type="spellEnd"/>
            <w:r w:rsidR="59AE7537" w:rsidRPr="3D1952B0">
              <w:rPr>
                <w:rFonts w:asciiTheme="minorHAnsi" w:eastAsiaTheme="minorEastAsia" w:hAnsiTheme="minorHAnsi" w:cstheme="minorBidi"/>
                <w:i w:val="0"/>
                <w:iCs w:val="0"/>
                <w:color w:val="auto"/>
                <w:sz w:val="20"/>
                <w:szCs w:val="20"/>
              </w:rPr>
              <w:t xml:space="preserve"> </w:t>
            </w:r>
            <w:r w:rsidRPr="3D1952B0">
              <w:rPr>
                <w:rFonts w:asciiTheme="minorHAnsi" w:eastAsiaTheme="minorEastAsia" w:hAnsiTheme="minorHAnsi" w:cstheme="minorBidi"/>
                <w:i w:val="0"/>
                <w:iCs w:val="0"/>
                <w:color w:val="auto"/>
                <w:sz w:val="20"/>
                <w:szCs w:val="20"/>
              </w:rPr>
              <w:t>ve veřejném vlastnictví pro účely občanské vybavenosti</w:t>
            </w:r>
            <w:r w:rsidR="7BAA5944" w:rsidRPr="3D1952B0">
              <w:rPr>
                <w:rFonts w:asciiTheme="minorHAnsi" w:eastAsiaTheme="minorEastAsia" w:hAnsiTheme="minorHAnsi" w:cstheme="minorBidi"/>
                <w:i w:val="0"/>
                <w:iCs w:val="0"/>
                <w:color w:val="auto"/>
                <w:sz w:val="20"/>
                <w:szCs w:val="20"/>
              </w:rPr>
              <w:t>.</w:t>
            </w:r>
          </w:p>
        </w:tc>
        <w:tc>
          <w:tcPr>
            <w:tcW w:w="1701" w:type="dxa"/>
          </w:tcPr>
          <w:p w14:paraId="64866E35" w14:textId="67998A44" w:rsidR="00E05A9C" w:rsidRPr="007A025B" w:rsidRDefault="5795CB4E"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Obec, kraj</w:t>
            </w:r>
          </w:p>
        </w:tc>
        <w:tc>
          <w:tcPr>
            <w:tcW w:w="1276" w:type="dxa"/>
          </w:tcPr>
          <w:p w14:paraId="18C18F7E" w14:textId="5A330D34" w:rsidR="00E05A9C" w:rsidRPr="007A025B" w:rsidRDefault="4C023499"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1</w:t>
            </w:r>
            <w:r w:rsidR="5795CB4E" w:rsidRPr="3EE66962">
              <w:rPr>
                <w:rFonts w:asciiTheme="minorHAnsi" w:eastAsiaTheme="minorEastAsia" w:hAnsiTheme="minorHAnsi" w:cstheme="minorBidi"/>
                <w:i w:val="0"/>
                <w:iCs w:val="0"/>
                <w:color w:val="auto"/>
                <w:sz w:val="20"/>
                <w:szCs w:val="20"/>
              </w:rPr>
              <w:t xml:space="preserve"> ml</w:t>
            </w:r>
            <w:r w:rsidR="2BF51FF0" w:rsidRPr="3EE66962">
              <w:rPr>
                <w:rFonts w:asciiTheme="minorHAnsi" w:eastAsiaTheme="minorEastAsia" w:hAnsiTheme="minorHAnsi" w:cstheme="minorBidi"/>
                <w:i w:val="0"/>
                <w:iCs w:val="0"/>
                <w:color w:val="auto"/>
                <w:sz w:val="20"/>
                <w:szCs w:val="20"/>
              </w:rPr>
              <w:t>d</w:t>
            </w:r>
            <w:r w:rsidR="5795CB4E" w:rsidRPr="3EE66962">
              <w:rPr>
                <w:rFonts w:asciiTheme="minorHAnsi" w:eastAsiaTheme="minorEastAsia" w:hAnsiTheme="minorHAnsi" w:cstheme="minorBidi"/>
                <w:i w:val="0"/>
                <w:iCs w:val="0"/>
                <w:color w:val="auto"/>
                <w:sz w:val="20"/>
                <w:szCs w:val="20"/>
              </w:rPr>
              <w:t>. Kč</w:t>
            </w:r>
            <w:r w:rsidR="67219B0A" w:rsidRPr="3EE66962">
              <w:rPr>
                <w:rFonts w:asciiTheme="minorHAnsi" w:eastAsiaTheme="minorEastAsia" w:hAnsiTheme="minorHAnsi" w:cstheme="minorBidi"/>
                <w:i w:val="0"/>
                <w:iCs w:val="0"/>
                <w:color w:val="auto"/>
                <w:sz w:val="20"/>
                <w:szCs w:val="20"/>
              </w:rPr>
              <w:t xml:space="preserve"> (státní rozpočet)</w:t>
            </w:r>
          </w:p>
        </w:tc>
        <w:tc>
          <w:tcPr>
            <w:tcW w:w="1559" w:type="dxa"/>
          </w:tcPr>
          <w:p w14:paraId="54AA9151" w14:textId="1473D4F1" w:rsidR="00E05A9C" w:rsidRPr="007A025B" w:rsidRDefault="5795CB4E"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10</w:t>
            </w:r>
            <w:r w:rsidR="7B37D220" w:rsidRPr="3EE66962">
              <w:rPr>
                <w:rFonts w:asciiTheme="minorHAnsi" w:eastAsiaTheme="minorEastAsia" w:hAnsiTheme="minorHAnsi" w:cstheme="minorBidi"/>
                <w:i w:val="0"/>
                <w:iCs w:val="0"/>
                <w:color w:val="auto"/>
                <w:sz w:val="20"/>
                <w:szCs w:val="20"/>
              </w:rPr>
              <w:t>3</w:t>
            </w:r>
          </w:p>
        </w:tc>
      </w:tr>
      <w:tr w:rsidR="00E05A9C" w:rsidRPr="003147A4" w14:paraId="753D292F" w14:textId="77777777" w:rsidTr="3D1952B0">
        <w:tc>
          <w:tcPr>
            <w:tcW w:w="2263" w:type="dxa"/>
          </w:tcPr>
          <w:p w14:paraId="3D58D3E5" w14:textId="2647000D" w:rsidR="00E05A9C" w:rsidRPr="007A025B" w:rsidRDefault="5795CB4E"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MMR – Demolice budov v sociálně vyloučených lokalitách</w:t>
            </w:r>
          </w:p>
        </w:tc>
        <w:tc>
          <w:tcPr>
            <w:tcW w:w="2835" w:type="dxa"/>
          </w:tcPr>
          <w:p w14:paraId="13C5CD63" w14:textId="42CA0E5B" w:rsidR="00E05A9C" w:rsidRPr="007A025B" w:rsidRDefault="13F2886C" w:rsidP="3D1952B0">
            <w:pPr>
              <w:pStyle w:val="K-TextInfo"/>
              <w:spacing w:after="81"/>
              <w:jc w:val="left"/>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Demolice budov v obcích s vazbou na sociálně vyloučenou lokalitu, které v minulosti sloužily k bydlení, ubytování nebo rekreaci</w:t>
            </w:r>
            <w:r w:rsidR="475549C0" w:rsidRPr="3D1952B0">
              <w:rPr>
                <w:rFonts w:asciiTheme="minorHAnsi" w:eastAsiaTheme="minorEastAsia" w:hAnsiTheme="minorHAnsi" w:cstheme="minorBidi"/>
                <w:i w:val="0"/>
                <w:iCs w:val="0"/>
                <w:color w:val="auto"/>
                <w:sz w:val="20"/>
                <w:szCs w:val="20"/>
              </w:rPr>
              <w:t>.</w:t>
            </w:r>
          </w:p>
        </w:tc>
        <w:tc>
          <w:tcPr>
            <w:tcW w:w="1701" w:type="dxa"/>
          </w:tcPr>
          <w:p w14:paraId="7449369D" w14:textId="600AA05A" w:rsidR="00E05A9C" w:rsidRPr="007A025B" w:rsidRDefault="5795CB4E"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Obec, kraj</w:t>
            </w:r>
          </w:p>
        </w:tc>
        <w:tc>
          <w:tcPr>
            <w:tcW w:w="1276" w:type="dxa"/>
          </w:tcPr>
          <w:p w14:paraId="6F5A67FA" w14:textId="77777777" w:rsidR="00E05A9C" w:rsidRDefault="42C90E59"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194 mil. Kč</w:t>
            </w:r>
          </w:p>
          <w:p w14:paraId="26651699" w14:textId="02AECA00" w:rsidR="003C3D10" w:rsidRPr="007A025B" w:rsidRDefault="43C3E52D"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(státní rozpočet)</w:t>
            </w:r>
          </w:p>
        </w:tc>
        <w:tc>
          <w:tcPr>
            <w:tcW w:w="1559" w:type="dxa"/>
          </w:tcPr>
          <w:p w14:paraId="0F20B7F0" w14:textId="34A98AF2" w:rsidR="00E05A9C" w:rsidRPr="007A025B" w:rsidRDefault="42C90E59"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163</w:t>
            </w:r>
          </w:p>
        </w:tc>
      </w:tr>
      <w:tr w:rsidR="00E05A9C" w:rsidRPr="003147A4" w14:paraId="603F4431" w14:textId="77777777" w:rsidTr="3D1952B0">
        <w:tc>
          <w:tcPr>
            <w:tcW w:w="2263" w:type="dxa"/>
          </w:tcPr>
          <w:p w14:paraId="4661D65A" w14:textId="490777EE" w:rsidR="00E05A9C" w:rsidRPr="007A025B" w:rsidRDefault="74960286"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MMR – Tvorba studií a analýz budoucího využití vybraných </w:t>
            </w:r>
            <w:proofErr w:type="spellStart"/>
            <w:r w:rsidRPr="3EE66962">
              <w:rPr>
                <w:rFonts w:asciiTheme="minorHAnsi" w:eastAsiaTheme="minorEastAsia" w:hAnsiTheme="minorHAnsi" w:cstheme="minorBidi"/>
                <w:i w:val="0"/>
                <w:iCs w:val="0"/>
                <w:color w:val="auto"/>
                <w:sz w:val="20"/>
                <w:szCs w:val="20"/>
              </w:rPr>
              <w:t>brownfieldů</w:t>
            </w:r>
            <w:proofErr w:type="spellEnd"/>
          </w:p>
        </w:tc>
        <w:tc>
          <w:tcPr>
            <w:tcW w:w="2835" w:type="dxa"/>
          </w:tcPr>
          <w:p w14:paraId="3269124A" w14:textId="71D8AC2D" w:rsidR="00E05A9C" w:rsidRPr="007A025B" w:rsidRDefault="674CF771"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Na území strukturálně postižených (uhelných) krajů jsou každoročně vytipovány lokality typu </w:t>
            </w:r>
            <w:proofErr w:type="spellStart"/>
            <w:r w:rsidRPr="3EE66962">
              <w:rPr>
                <w:rFonts w:asciiTheme="minorHAnsi" w:eastAsiaTheme="minorEastAsia" w:hAnsiTheme="minorHAnsi" w:cstheme="minorBidi"/>
                <w:i w:val="0"/>
                <w:iCs w:val="0"/>
                <w:color w:val="auto"/>
                <w:sz w:val="20"/>
                <w:szCs w:val="20"/>
              </w:rPr>
              <w:t>brownfield</w:t>
            </w:r>
            <w:proofErr w:type="spellEnd"/>
            <w:r w:rsidRPr="3EE66962">
              <w:rPr>
                <w:rFonts w:asciiTheme="minorHAnsi" w:eastAsiaTheme="minorEastAsia" w:hAnsiTheme="minorHAnsi" w:cstheme="minorBidi"/>
                <w:i w:val="0"/>
                <w:iCs w:val="0"/>
                <w:color w:val="auto"/>
                <w:sz w:val="20"/>
                <w:szCs w:val="20"/>
              </w:rPr>
              <w:t xml:space="preserve">, pro které je zpracována studie budoucího využití. </w:t>
            </w:r>
          </w:p>
        </w:tc>
        <w:tc>
          <w:tcPr>
            <w:tcW w:w="1701" w:type="dxa"/>
          </w:tcPr>
          <w:p w14:paraId="3339F0C8" w14:textId="4BE986BF" w:rsidR="00E05A9C" w:rsidRPr="007A025B" w:rsidRDefault="74960286"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Obec, kraj</w:t>
            </w:r>
          </w:p>
        </w:tc>
        <w:tc>
          <w:tcPr>
            <w:tcW w:w="1276" w:type="dxa"/>
          </w:tcPr>
          <w:p w14:paraId="71AF6E7D" w14:textId="77777777" w:rsidR="00E05A9C" w:rsidRDefault="7E5B8455"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13,4 mil. Kč</w:t>
            </w:r>
          </w:p>
          <w:p w14:paraId="03EF6153" w14:textId="3F41C2E8" w:rsidR="003C3D10" w:rsidRPr="007A025B" w:rsidRDefault="43C3E52D"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(státní rozpočet)</w:t>
            </w:r>
          </w:p>
        </w:tc>
        <w:tc>
          <w:tcPr>
            <w:tcW w:w="1559" w:type="dxa"/>
          </w:tcPr>
          <w:p w14:paraId="117568B9" w14:textId="53DE2439" w:rsidR="00E05A9C" w:rsidRPr="007A025B" w:rsidRDefault="7E5B8455"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8</w:t>
            </w:r>
          </w:p>
        </w:tc>
      </w:tr>
      <w:tr w:rsidR="00E05A9C" w:rsidRPr="003147A4" w14:paraId="2B353886" w14:textId="77777777" w:rsidTr="3D1952B0">
        <w:tc>
          <w:tcPr>
            <w:tcW w:w="2263" w:type="dxa"/>
          </w:tcPr>
          <w:p w14:paraId="7627F479" w14:textId="1F78F2AF" w:rsidR="00E05A9C" w:rsidRPr="00623F15" w:rsidRDefault="74960286" w:rsidP="3EE66962">
            <w:pPr>
              <w:pStyle w:val="K-TextInfo"/>
              <w:spacing w:after="81"/>
              <w:jc w:val="left"/>
              <w:rPr>
                <w:rFonts w:asciiTheme="minorHAnsi" w:eastAsiaTheme="minorEastAsia" w:hAnsiTheme="minorHAnsi" w:cstheme="minorBidi"/>
                <w:i w:val="0"/>
                <w:iCs w:val="0"/>
                <w:color w:val="auto"/>
                <w:sz w:val="20"/>
                <w:szCs w:val="20"/>
              </w:rPr>
            </w:pPr>
            <w:proofErr w:type="spellStart"/>
            <w:r w:rsidRPr="3EE66962">
              <w:rPr>
                <w:rFonts w:asciiTheme="minorHAnsi" w:eastAsiaTheme="minorEastAsia" w:hAnsiTheme="minorHAnsi" w:cstheme="minorBidi"/>
                <w:i w:val="0"/>
                <w:iCs w:val="0"/>
                <w:color w:val="auto"/>
                <w:sz w:val="20"/>
                <w:szCs w:val="20"/>
              </w:rPr>
              <w:t>MZe</w:t>
            </w:r>
            <w:proofErr w:type="spellEnd"/>
            <w:r w:rsidR="5D59203F" w:rsidRPr="3EE66962">
              <w:rPr>
                <w:rFonts w:asciiTheme="minorHAnsi" w:eastAsiaTheme="minorEastAsia" w:hAnsiTheme="minorHAnsi" w:cstheme="minorBidi"/>
                <w:i w:val="0"/>
                <w:iCs w:val="0"/>
                <w:color w:val="auto"/>
                <w:sz w:val="20"/>
                <w:szCs w:val="20"/>
              </w:rPr>
              <w:t xml:space="preserve"> – Program rozvoje venkova</w:t>
            </w:r>
          </w:p>
        </w:tc>
        <w:tc>
          <w:tcPr>
            <w:tcW w:w="2835" w:type="dxa"/>
          </w:tcPr>
          <w:p w14:paraId="75DABCA4" w14:textId="198F18F8" w:rsidR="00E05A9C" w:rsidRPr="007A025B" w:rsidRDefault="4CA8FFC6"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Zvýhodnění podpory objektů, které jsou definovány jako </w:t>
            </w:r>
            <w:proofErr w:type="spellStart"/>
            <w:r w:rsidRPr="3EE66962">
              <w:rPr>
                <w:rFonts w:asciiTheme="minorHAnsi" w:eastAsiaTheme="minorEastAsia" w:hAnsiTheme="minorHAnsi" w:cstheme="minorBidi"/>
                <w:i w:val="0"/>
                <w:iCs w:val="0"/>
                <w:color w:val="auto"/>
                <w:sz w:val="20"/>
                <w:szCs w:val="20"/>
              </w:rPr>
              <w:t>brownfield</w:t>
            </w:r>
            <w:proofErr w:type="spellEnd"/>
            <w:r w:rsidRPr="3EE66962">
              <w:rPr>
                <w:rFonts w:asciiTheme="minorHAnsi" w:eastAsiaTheme="minorEastAsia" w:hAnsiTheme="minorHAnsi" w:cstheme="minorBidi"/>
                <w:i w:val="0"/>
                <w:iCs w:val="0"/>
                <w:color w:val="auto"/>
                <w:sz w:val="20"/>
                <w:szCs w:val="20"/>
              </w:rPr>
              <w:t xml:space="preserve">. </w:t>
            </w:r>
            <w:r w:rsidR="5D59203F" w:rsidRPr="3EE66962">
              <w:rPr>
                <w:rFonts w:asciiTheme="minorHAnsi" w:eastAsiaTheme="minorEastAsia" w:hAnsiTheme="minorHAnsi" w:cstheme="minorBidi"/>
                <w:i w:val="0"/>
                <w:iCs w:val="0"/>
                <w:color w:val="auto"/>
                <w:sz w:val="20"/>
                <w:szCs w:val="20"/>
              </w:rPr>
              <w:t xml:space="preserve"> </w:t>
            </w:r>
            <w:r w:rsidRPr="3EE66962">
              <w:rPr>
                <w:rFonts w:asciiTheme="minorHAnsi" w:eastAsiaTheme="minorEastAsia" w:hAnsiTheme="minorHAnsi" w:cstheme="minorBidi"/>
                <w:i w:val="0"/>
                <w:iCs w:val="0"/>
                <w:color w:val="auto"/>
                <w:sz w:val="20"/>
                <w:szCs w:val="20"/>
              </w:rPr>
              <w:t>Vazba na zemědělskou výrobu a diverzifikaci do nezemědělských činností, zejména do agroturistiky.</w:t>
            </w:r>
          </w:p>
        </w:tc>
        <w:tc>
          <w:tcPr>
            <w:tcW w:w="1701" w:type="dxa"/>
          </w:tcPr>
          <w:p w14:paraId="61D38827" w14:textId="7B718251" w:rsidR="00E05A9C" w:rsidRPr="00623F15" w:rsidRDefault="5D59203F"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Zemědělský podnikatel</w:t>
            </w:r>
          </w:p>
        </w:tc>
        <w:tc>
          <w:tcPr>
            <w:tcW w:w="1276" w:type="dxa"/>
          </w:tcPr>
          <w:p w14:paraId="6383D4FD" w14:textId="7C1D8323" w:rsidR="00E05A9C" w:rsidRPr="00623F15" w:rsidRDefault="4CA8FFC6"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1,3 mld. Kč (EZFRV)</w:t>
            </w:r>
          </w:p>
        </w:tc>
        <w:tc>
          <w:tcPr>
            <w:tcW w:w="1559" w:type="dxa"/>
          </w:tcPr>
          <w:p w14:paraId="538EE006" w14:textId="2D389DF1" w:rsidR="00E05A9C" w:rsidRPr="00623F15" w:rsidRDefault="4CA8FFC6" w:rsidP="3EE66962">
            <w:pPr>
              <w:pStyle w:val="K-TextInfo"/>
              <w:spacing w:after="81"/>
              <w:jc w:val="left"/>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256</w:t>
            </w:r>
            <w:r w:rsidR="00500684" w:rsidRPr="3EE66962">
              <w:rPr>
                <w:rStyle w:val="Znakapoznpodarou"/>
                <w:rFonts w:asciiTheme="minorHAnsi" w:eastAsiaTheme="minorEastAsia" w:hAnsiTheme="minorHAnsi" w:cstheme="minorBidi"/>
                <w:i w:val="0"/>
                <w:iCs w:val="0"/>
                <w:color w:val="auto"/>
                <w:sz w:val="20"/>
                <w:szCs w:val="20"/>
              </w:rPr>
              <w:footnoteReference w:id="11"/>
            </w:r>
          </w:p>
        </w:tc>
      </w:tr>
    </w:tbl>
    <w:p w14:paraId="1D75DED4" w14:textId="4A687771" w:rsidR="00653A24" w:rsidRPr="005275BD" w:rsidRDefault="00653A24" w:rsidP="3EE66962">
      <w:pPr>
        <w:pStyle w:val="K-TextInfo"/>
        <w:rPr>
          <w:rFonts w:asciiTheme="minorHAnsi" w:eastAsiaTheme="minorEastAsia" w:hAnsiTheme="minorHAnsi" w:cstheme="minorBidi"/>
          <w:i w:val="0"/>
          <w:iCs w:val="0"/>
          <w:color w:val="auto"/>
          <w:sz w:val="20"/>
          <w:szCs w:val="20"/>
        </w:rPr>
      </w:pPr>
    </w:p>
    <w:p w14:paraId="72F93057" w14:textId="0FE4308F" w:rsidR="002C20CF" w:rsidRPr="00ED337B" w:rsidRDefault="002C20CF" w:rsidP="3EE66962">
      <w:pPr>
        <w:pStyle w:val="K-TextInfo"/>
        <w:rPr>
          <w:rFonts w:eastAsia="Calibri"/>
          <w:color w:val="2196FF" w:themeColor="accent2" w:themeTint="99"/>
        </w:rPr>
      </w:pPr>
    </w:p>
    <w:p w14:paraId="23FC1215" w14:textId="6306EDDA" w:rsidR="002C20CF" w:rsidRPr="00ED337B" w:rsidRDefault="002C20CF" w:rsidP="3EE66962">
      <w:pPr>
        <w:pStyle w:val="K-TextInfo"/>
        <w:rPr>
          <w:rFonts w:eastAsia="Calibri"/>
          <w:color w:val="2196FF" w:themeColor="accent2" w:themeTint="99"/>
        </w:rPr>
      </w:pPr>
    </w:p>
    <w:p w14:paraId="5BA8CBEF" w14:textId="3CD41C65" w:rsidR="002C20CF" w:rsidRPr="00ED337B" w:rsidRDefault="1339DDA4" w:rsidP="3EE66962">
      <w:pPr>
        <w:pStyle w:val="K-Nadpis2"/>
        <w:spacing w:line="240" w:lineRule="auto"/>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 xml:space="preserve">3. </w:t>
      </w:r>
      <w:r w:rsidR="3D7CA0AD" w:rsidRPr="3EE66962">
        <w:rPr>
          <w:rFonts w:asciiTheme="minorHAnsi" w:eastAsiaTheme="minorEastAsia" w:hAnsiTheme="minorHAnsi" w:cstheme="minorBidi"/>
          <w:sz w:val="20"/>
          <w:szCs w:val="20"/>
        </w:rPr>
        <w:t>Popis reforem</w:t>
      </w:r>
      <w:r w:rsidR="3F1E2E7D" w:rsidRPr="3EE66962">
        <w:rPr>
          <w:rFonts w:asciiTheme="minorHAnsi" w:eastAsiaTheme="minorEastAsia" w:hAnsiTheme="minorHAnsi" w:cstheme="minorBidi"/>
          <w:sz w:val="20"/>
          <w:szCs w:val="20"/>
        </w:rPr>
        <w:t xml:space="preserve"> a investic</w:t>
      </w:r>
      <w:r w:rsidR="3D7CA0AD" w:rsidRPr="3EE66962">
        <w:rPr>
          <w:rFonts w:asciiTheme="minorHAnsi" w:eastAsiaTheme="minorEastAsia" w:hAnsiTheme="minorHAnsi" w:cstheme="minorBidi"/>
          <w:sz w:val="20"/>
          <w:szCs w:val="20"/>
        </w:rPr>
        <w:t xml:space="preserve"> k</w:t>
      </w:r>
      <w:r w:rsidRPr="3EE66962">
        <w:rPr>
          <w:rFonts w:asciiTheme="minorHAnsi" w:eastAsiaTheme="minorEastAsia" w:hAnsiTheme="minorHAnsi" w:cstheme="minorBidi"/>
          <w:sz w:val="20"/>
          <w:szCs w:val="20"/>
        </w:rPr>
        <w:t>omponent</w:t>
      </w:r>
      <w:r w:rsidR="3D7CA0AD" w:rsidRPr="3EE66962">
        <w:rPr>
          <w:rFonts w:asciiTheme="minorHAnsi" w:eastAsiaTheme="minorEastAsia" w:hAnsiTheme="minorHAnsi" w:cstheme="minorBidi"/>
          <w:sz w:val="20"/>
          <w:szCs w:val="20"/>
        </w:rPr>
        <w:t>y</w:t>
      </w:r>
      <w:r w:rsidRPr="3EE66962">
        <w:rPr>
          <w:rFonts w:asciiTheme="minorHAnsi" w:eastAsiaTheme="minorEastAsia" w:hAnsiTheme="minorHAnsi" w:cstheme="minorBidi"/>
          <w:sz w:val="20"/>
          <w:szCs w:val="20"/>
        </w:rPr>
        <w:t xml:space="preserve"> </w:t>
      </w:r>
    </w:p>
    <w:p w14:paraId="4E920967" w14:textId="77777777" w:rsidR="00D42000" w:rsidRDefault="00D42000" w:rsidP="3EE66962">
      <w:pPr>
        <w:pStyle w:val="K-Nadpis3"/>
        <w:rPr>
          <w:rFonts w:asciiTheme="minorHAnsi" w:eastAsiaTheme="minorEastAsia" w:hAnsiTheme="minorHAnsi" w:cstheme="minorBidi"/>
          <w:sz w:val="20"/>
          <w:szCs w:val="20"/>
        </w:rPr>
      </w:pPr>
    </w:p>
    <w:p w14:paraId="1FCE690A" w14:textId="335E954A" w:rsidR="002E19BA" w:rsidRDefault="2C7B4A3D" w:rsidP="3EE66962">
      <w:pPr>
        <w:pStyle w:val="K-Nadpis3"/>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b</w:t>
      </w:r>
      <w:r w:rsidR="4B6AF6CE" w:rsidRPr="3EE66962">
        <w:rPr>
          <w:rFonts w:asciiTheme="minorHAnsi" w:eastAsiaTheme="minorEastAsia" w:hAnsiTheme="minorHAnsi" w:cstheme="minorBidi"/>
          <w:sz w:val="20"/>
          <w:szCs w:val="20"/>
        </w:rPr>
        <w:t xml:space="preserve">) Popis </w:t>
      </w:r>
      <w:r w:rsidR="06242EE6" w:rsidRPr="3EE66962">
        <w:rPr>
          <w:rFonts w:asciiTheme="minorHAnsi" w:eastAsiaTheme="minorEastAsia" w:hAnsiTheme="minorHAnsi" w:cstheme="minorBidi"/>
          <w:sz w:val="20"/>
          <w:szCs w:val="20"/>
        </w:rPr>
        <w:t>investic</w:t>
      </w:r>
    </w:p>
    <w:p w14:paraId="182A7AA4" w14:textId="5B608FC5" w:rsidR="00C96099" w:rsidRPr="00A10C0C" w:rsidRDefault="0B52F686" w:rsidP="3EE66962">
      <w:pPr>
        <w:pStyle w:val="K-Nadpis3"/>
        <w:rPr>
          <w:rFonts w:asciiTheme="minorHAnsi" w:eastAsiaTheme="minorEastAsia" w:hAnsiTheme="minorHAnsi" w:cstheme="minorBidi"/>
          <w:b w:val="0"/>
          <w:sz w:val="20"/>
          <w:szCs w:val="20"/>
        </w:rPr>
      </w:pPr>
      <w:r w:rsidRPr="3EE66962">
        <w:rPr>
          <w:rFonts w:asciiTheme="minorHAnsi" w:eastAsiaTheme="minorEastAsia" w:hAnsiTheme="minorHAnsi" w:cstheme="minorBidi"/>
          <w:b w:val="0"/>
          <w:sz w:val="20"/>
          <w:szCs w:val="20"/>
        </w:rPr>
        <w:t xml:space="preserve">Komponenta je rozdělena do gesce dvou rezortů – Ministerstva pro místní rozvoj a Ministerstva průmyslu a obchodu. </w:t>
      </w:r>
      <w:r w:rsidR="096BA630" w:rsidRPr="3EE66962">
        <w:rPr>
          <w:rFonts w:asciiTheme="minorHAnsi" w:eastAsiaTheme="minorEastAsia" w:hAnsiTheme="minorHAnsi" w:cstheme="minorBidi"/>
          <w:b w:val="0"/>
          <w:sz w:val="20"/>
          <w:szCs w:val="20"/>
        </w:rPr>
        <w:t xml:space="preserve">Navrhovaná komponenta staví na kombinovaných investicích do regenerace </w:t>
      </w:r>
      <w:proofErr w:type="spellStart"/>
      <w:r w:rsidR="096BA630" w:rsidRPr="3EE66962">
        <w:rPr>
          <w:rFonts w:asciiTheme="minorHAnsi" w:eastAsiaTheme="minorEastAsia" w:hAnsiTheme="minorHAnsi" w:cstheme="minorBidi"/>
          <w:b w:val="0"/>
          <w:sz w:val="20"/>
          <w:szCs w:val="20"/>
        </w:rPr>
        <w:t>brownfieldů</w:t>
      </w:r>
      <w:proofErr w:type="spellEnd"/>
      <w:r w:rsidR="096BA630" w:rsidRPr="3EE66962">
        <w:rPr>
          <w:rFonts w:asciiTheme="minorHAnsi" w:eastAsiaTheme="minorEastAsia" w:hAnsiTheme="minorHAnsi" w:cstheme="minorBidi"/>
          <w:b w:val="0"/>
          <w:sz w:val="20"/>
          <w:szCs w:val="20"/>
        </w:rPr>
        <w:t xml:space="preserve"> </w:t>
      </w:r>
      <w:r w:rsidRPr="3EE66962">
        <w:rPr>
          <w:rFonts w:asciiTheme="minorHAnsi" w:eastAsiaTheme="minorEastAsia" w:hAnsiTheme="minorHAnsi" w:cstheme="minorBidi"/>
          <w:b w:val="0"/>
          <w:sz w:val="20"/>
          <w:szCs w:val="20"/>
        </w:rPr>
        <w:t xml:space="preserve">především ve vlastnictví </w:t>
      </w:r>
      <w:r w:rsidR="096BA630" w:rsidRPr="3EE66962">
        <w:rPr>
          <w:rFonts w:asciiTheme="minorHAnsi" w:eastAsiaTheme="minorEastAsia" w:hAnsiTheme="minorHAnsi" w:cstheme="minorBidi"/>
          <w:b w:val="0"/>
          <w:sz w:val="20"/>
          <w:szCs w:val="20"/>
        </w:rPr>
        <w:t>územn</w:t>
      </w:r>
      <w:r w:rsidR="20E78D4A" w:rsidRPr="3EE66962">
        <w:rPr>
          <w:rFonts w:asciiTheme="minorHAnsi" w:eastAsiaTheme="minorEastAsia" w:hAnsiTheme="minorHAnsi" w:cstheme="minorBidi"/>
          <w:b w:val="0"/>
          <w:sz w:val="20"/>
          <w:szCs w:val="20"/>
        </w:rPr>
        <w:t>ích</w:t>
      </w:r>
      <w:r w:rsidR="096BA630" w:rsidRPr="3EE66962">
        <w:rPr>
          <w:rFonts w:asciiTheme="minorHAnsi" w:eastAsiaTheme="minorEastAsia" w:hAnsiTheme="minorHAnsi" w:cstheme="minorBidi"/>
          <w:b w:val="0"/>
          <w:sz w:val="20"/>
          <w:szCs w:val="20"/>
        </w:rPr>
        <w:t xml:space="preserve"> </w:t>
      </w:r>
      <w:r w:rsidRPr="3EE66962">
        <w:rPr>
          <w:rFonts w:asciiTheme="minorHAnsi" w:eastAsiaTheme="minorEastAsia" w:hAnsiTheme="minorHAnsi" w:cstheme="minorBidi"/>
          <w:b w:val="0"/>
          <w:sz w:val="20"/>
          <w:szCs w:val="20"/>
        </w:rPr>
        <w:t xml:space="preserve">samosprávných </w:t>
      </w:r>
      <w:r w:rsidR="096BA630" w:rsidRPr="3EE66962">
        <w:rPr>
          <w:rFonts w:asciiTheme="minorHAnsi" w:eastAsiaTheme="minorEastAsia" w:hAnsiTheme="minorHAnsi" w:cstheme="minorBidi"/>
          <w:b w:val="0"/>
          <w:sz w:val="20"/>
          <w:szCs w:val="20"/>
        </w:rPr>
        <w:t>celk</w:t>
      </w:r>
      <w:r w:rsidRPr="3EE66962">
        <w:rPr>
          <w:rFonts w:asciiTheme="minorHAnsi" w:eastAsiaTheme="minorEastAsia" w:hAnsiTheme="minorHAnsi" w:cstheme="minorBidi"/>
          <w:b w:val="0"/>
          <w:sz w:val="20"/>
          <w:szCs w:val="20"/>
        </w:rPr>
        <w:t>ů</w:t>
      </w:r>
      <w:r w:rsidR="096BA630" w:rsidRPr="3EE66962">
        <w:rPr>
          <w:rFonts w:asciiTheme="minorHAnsi" w:eastAsiaTheme="minorEastAsia" w:hAnsiTheme="minorHAnsi" w:cstheme="minorBidi"/>
          <w:b w:val="0"/>
          <w:sz w:val="20"/>
          <w:szCs w:val="20"/>
        </w:rPr>
        <w:t xml:space="preserve">, které realizovanými investicemi budou zajišťovat často nedostatečnou občanskou vybavenost, připravovat prostředí pro podnikatelskou činnost a budou </w:t>
      </w:r>
      <w:r w:rsidRPr="3EE66962">
        <w:rPr>
          <w:rFonts w:asciiTheme="minorHAnsi" w:eastAsiaTheme="minorEastAsia" w:hAnsiTheme="minorHAnsi" w:cstheme="minorBidi"/>
          <w:b w:val="0"/>
          <w:sz w:val="20"/>
          <w:szCs w:val="20"/>
        </w:rPr>
        <w:t xml:space="preserve">tak </w:t>
      </w:r>
      <w:r w:rsidR="096BA630" w:rsidRPr="3EE66962">
        <w:rPr>
          <w:rFonts w:asciiTheme="minorHAnsi" w:eastAsiaTheme="minorEastAsia" w:hAnsiTheme="minorHAnsi" w:cstheme="minorBidi"/>
          <w:b w:val="0"/>
          <w:sz w:val="20"/>
          <w:szCs w:val="20"/>
        </w:rPr>
        <w:t xml:space="preserve">pečovat </w:t>
      </w:r>
      <w:r w:rsidRPr="3EE66962">
        <w:rPr>
          <w:rFonts w:asciiTheme="minorHAnsi" w:eastAsiaTheme="minorEastAsia" w:hAnsiTheme="minorHAnsi" w:cstheme="minorBidi"/>
          <w:b w:val="0"/>
          <w:sz w:val="20"/>
          <w:szCs w:val="20"/>
        </w:rPr>
        <w:t xml:space="preserve">o </w:t>
      </w:r>
      <w:r w:rsidR="096BA630" w:rsidRPr="3EE66962">
        <w:rPr>
          <w:rFonts w:asciiTheme="minorHAnsi" w:eastAsiaTheme="minorEastAsia" w:hAnsiTheme="minorHAnsi" w:cstheme="minorBidi"/>
          <w:b w:val="0"/>
          <w:sz w:val="20"/>
          <w:szCs w:val="20"/>
        </w:rPr>
        <w:t xml:space="preserve">všestranný rozvoj svého území a o potřeby svých občanů. Jednotlivé investice se vzájemně doplňují a budou tak vytvářet komplexní podporu pro přeměnu a znovuvyužití lokalit typu </w:t>
      </w:r>
      <w:proofErr w:type="spellStart"/>
      <w:r w:rsidR="096BA630" w:rsidRPr="3EE66962">
        <w:rPr>
          <w:rFonts w:asciiTheme="minorHAnsi" w:eastAsiaTheme="minorEastAsia" w:hAnsiTheme="minorHAnsi" w:cstheme="minorBidi"/>
          <w:b w:val="0"/>
          <w:sz w:val="20"/>
          <w:szCs w:val="20"/>
        </w:rPr>
        <w:t>brownfield</w:t>
      </w:r>
      <w:proofErr w:type="spellEnd"/>
      <w:r w:rsidR="096BA630" w:rsidRPr="3EE66962">
        <w:rPr>
          <w:rFonts w:asciiTheme="minorHAnsi" w:eastAsiaTheme="minorEastAsia" w:hAnsiTheme="minorHAnsi" w:cstheme="minorBidi"/>
          <w:b w:val="0"/>
          <w:sz w:val="20"/>
          <w:szCs w:val="20"/>
        </w:rPr>
        <w:t xml:space="preserve">. </w:t>
      </w:r>
      <w:r w:rsidR="5CE2A06B" w:rsidRPr="3EE66962">
        <w:rPr>
          <w:rFonts w:asciiTheme="minorHAnsi" w:eastAsiaTheme="minorEastAsia" w:hAnsiTheme="minorHAnsi" w:cstheme="minorBidi"/>
          <w:b w:val="0"/>
          <w:sz w:val="20"/>
          <w:szCs w:val="20"/>
        </w:rPr>
        <w:t xml:space="preserve"> </w:t>
      </w:r>
    </w:p>
    <w:p w14:paraId="01617B9F" w14:textId="77ED6239" w:rsidR="2EEEDD16" w:rsidRDefault="2EEEDD16" w:rsidP="3EE66962">
      <w:pPr>
        <w:spacing w:line="240" w:lineRule="auto"/>
        <w:rPr>
          <w:rFonts w:eastAsiaTheme="minorEastAsia"/>
          <w:sz w:val="20"/>
          <w:szCs w:val="20"/>
        </w:rPr>
      </w:pPr>
    </w:p>
    <w:p w14:paraId="3EAACAD4" w14:textId="06057C84" w:rsidR="003C04B2" w:rsidRDefault="13AA0695" w:rsidP="3D1952B0">
      <w:pPr>
        <w:pStyle w:val="K-Tabulka"/>
        <w:rPr>
          <w:rStyle w:val="K-TextChar"/>
          <w:rFonts w:asciiTheme="minorHAnsi" w:eastAsiaTheme="minorEastAsia" w:hAnsiTheme="minorHAnsi" w:cstheme="minorBidi"/>
          <w:sz w:val="20"/>
          <w:szCs w:val="20"/>
        </w:rPr>
      </w:pPr>
      <w:r w:rsidRPr="3D1952B0">
        <w:rPr>
          <w:rFonts w:asciiTheme="minorHAnsi" w:eastAsiaTheme="minorEastAsia" w:hAnsiTheme="minorHAnsi" w:cstheme="minorBidi"/>
          <w:sz w:val="20"/>
          <w:szCs w:val="20"/>
        </w:rPr>
        <w:t>2.8.1</w:t>
      </w:r>
      <w:r w:rsidR="32A499DB" w:rsidRPr="3D1952B0">
        <w:rPr>
          <w:rFonts w:asciiTheme="minorHAnsi" w:eastAsiaTheme="minorEastAsia" w:hAnsiTheme="minorHAnsi" w:cstheme="minorBidi"/>
          <w:sz w:val="20"/>
          <w:szCs w:val="20"/>
        </w:rPr>
        <w:t>.</w:t>
      </w:r>
      <w:r w:rsidR="54A75639" w:rsidRPr="3D1952B0">
        <w:rPr>
          <w:rFonts w:asciiTheme="minorHAnsi" w:eastAsiaTheme="minorEastAsia" w:hAnsiTheme="minorHAnsi" w:cstheme="minorBidi"/>
          <w:sz w:val="20"/>
          <w:szCs w:val="20"/>
        </w:rPr>
        <w:t xml:space="preserve"> </w:t>
      </w:r>
      <w:r w:rsidR="5D42C3E3" w:rsidRPr="3D1952B0">
        <w:rPr>
          <w:rStyle w:val="K-TextChar"/>
          <w:rFonts w:asciiTheme="minorHAnsi" w:eastAsiaTheme="minorEastAsia" w:hAnsiTheme="minorHAnsi" w:cstheme="minorBidi"/>
          <w:sz w:val="20"/>
          <w:szCs w:val="20"/>
        </w:rPr>
        <w:t xml:space="preserve">Investiční podpora regenerace specifických </w:t>
      </w:r>
      <w:proofErr w:type="spellStart"/>
      <w:r w:rsidR="5D42C3E3" w:rsidRPr="3D1952B0">
        <w:rPr>
          <w:rStyle w:val="K-TextChar"/>
          <w:rFonts w:asciiTheme="minorHAnsi" w:eastAsiaTheme="minorEastAsia" w:hAnsiTheme="minorHAnsi" w:cstheme="minorBidi"/>
          <w:sz w:val="20"/>
          <w:szCs w:val="20"/>
        </w:rPr>
        <w:t>brownfieldů</w:t>
      </w:r>
      <w:proofErr w:type="spellEnd"/>
      <w:r w:rsidR="5D42C3E3" w:rsidRPr="3D1952B0">
        <w:rPr>
          <w:rStyle w:val="K-TextChar"/>
          <w:rFonts w:asciiTheme="minorHAnsi" w:eastAsiaTheme="minorEastAsia" w:hAnsiTheme="minorHAnsi" w:cstheme="minorBidi"/>
          <w:sz w:val="20"/>
          <w:szCs w:val="20"/>
        </w:rPr>
        <w:t xml:space="preserve"> </w:t>
      </w:r>
    </w:p>
    <w:tbl>
      <w:tblPr>
        <w:tblStyle w:val="Mkatabulky"/>
        <w:tblW w:w="0" w:type="auto"/>
        <w:tblLook w:val="04A0" w:firstRow="1" w:lastRow="0" w:firstColumn="1" w:lastColumn="0" w:noHBand="0" w:noVBand="1"/>
      </w:tblPr>
      <w:tblGrid>
        <w:gridCol w:w="2405"/>
        <w:gridCol w:w="7223"/>
      </w:tblGrid>
      <w:tr w:rsidR="003C04B2" w14:paraId="66F27F0C" w14:textId="77777777" w:rsidTr="3D1952B0">
        <w:tc>
          <w:tcPr>
            <w:tcW w:w="2405" w:type="dxa"/>
          </w:tcPr>
          <w:p w14:paraId="39340F17" w14:textId="77777777" w:rsidR="003C04B2" w:rsidRPr="00852465" w:rsidRDefault="6B72B601"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Výzva</w:t>
            </w:r>
          </w:p>
        </w:tc>
        <w:tc>
          <w:tcPr>
            <w:tcW w:w="7223" w:type="dxa"/>
          </w:tcPr>
          <w:p w14:paraId="1D33CAA9" w14:textId="064A25A9" w:rsidR="003C04B2" w:rsidRDefault="096BA630" w:rsidP="3EE66962">
            <w:pPr>
              <w:pStyle w:val="K-Text"/>
              <w:spacing w:after="81" w:line="240" w:lineRule="auto"/>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Na území ČR se</w:t>
            </w:r>
            <w:r w:rsidR="449AB593" w:rsidRPr="3EE66962">
              <w:rPr>
                <w:rFonts w:asciiTheme="minorHAnsi" w:eastAsiaTheme="minorEastAsia" w:hAnsiTheme="minorHAnsi" w:cstheme="minorBidi"/>
                <w:sz w:val="20"/>
                <w:szCs w:val="20"/>
              </w:rPr>
              <w:t xml:space="preserve"> vyskytují rozsáhlé </w:t>
            </w:r>
            <w:proofErr w:type="spellStart"/>
            <w:r w:rsidR="449AB593" w:rsidRPr="3EE66962">
              <w:rPr>
                <w:rFonts w:asciiTheme="minorHAnsi" w:eastAsiaTheme="minorEastAsia" w:hAnsiTheme="minorHAnsi" w:cstheme="minorBidi"/>
                <w:sz w:val="20"/>
                <w:szCs w:val="20"/>
              </w:rPr>
              <w:t>brownfieldy</w:t>
            </w:r>
            <w:proofErr w:type="spellEnd"/>
            <w:r w:rsidRPr="3EE66962">
              <w:rPr>
                <w:rFonts w:asciiTheme="minorHAnsi" w:eastAsiaTheme="minorEastAsia" w:hAnsiTheme="minorHAnsi" w:cstheme="minorBidi"/>
                <w:sz w:val="20"/>
                <w:szCs w:val="20"/>
              </w:rPr>
              <w:t xml:space="preserve"> s větším množstvím různorodých objektů a potenciálně kontaminovaných ploch, s velkým počtem vlastníků, které jsou využív</w:t>
            </w:r>
            <w:r w:rsidR="0160D34E" w:rsidRPr="3EE66962">
              <w:rPr>
                <w:rFonts w:asciiTheme="minorHAnsi" w:eastAsiaTheme="minorEastAsia" w:hAnsiTheme="minorHAnsi" w:cstheme="minorBidi"/>
                <w:sz w:val="20"/>
                <w:szCs w:val="20"/>
              </w:rPr>
              <w:t>ány</w:t>
            </w:r>
            <w:r w:rsidRPr="3EE66962">
              <w:rPr>
                <w:rFonts w:asciiTheme="minorHAnsi" w:eastAsiaTheme="minorEastAsia" w:hAnsiTheme="minorHAnsi" w:cstheme="minorBidi"/>
                <w:sz w:val="20"/>
                <w:szCs w:val="20"/>
              </w:rPr>
              <w:t xml:space="preserve"> zpravidla jen ve velmi malém rozsahu. </w:t>
            </w:r>
            <w:r w:rsidR="1025F8C6" w:rsidRPr="3EE66962">
              <w:rPr>
                <w:rFonts w:asciiTheme="minorHAnsi" w:eastAsiaTheme="minorEastAsia" w:hAnsiTheme="minorHAnsi" w:cstheme="minorBidi"/>
                <w:sz w:val="20"/>
                <w:szCs w:val="20"/>
              </w:rPr>
              <w:t xml:space="preserve">Tyto velké areály se daří regenerovat jen velmi </w:t>
            </w:r>
            <w:r w:rsidR="1CA7919B" w:rsidRPr="3EE66962">
              <w:rPr>
                <w:rFonts w:asciiTheme="minorHAnsi" w:eastAsiaTheme="minorEastAsia" w:hAnsiTheme="minorHAnsi" w:cstheme="minorBidi"/>
                <w:sz w:val="20"/>
                <w:szCs w:val="20"/>
              </w:rPr>
              <w:t xml:space="preserve">obtížně. </w:t>
            </w:r>
            <w:r w:rsidR="3F610219" w:rsidRPr="3EE66962">
              <w:rPr>
                <w:rFonts w:asciiTheme="minorHAnsi" w:eastAsiaTheme="minorEastAsia" w:hAnsiTheme="minorHAnsi" w:cstheme="minorBidi"/>
                <w:sz w:val="20"/>
                <w:szCs w:val="20"/>
              </w:rPr>
              <w:t>Příkladem již realizovaného projektu je Dolní oblast Vítkovice, která se ze zanedbaného areálu přeměnila na rozvojovou zónu</w:t>
            </w:r>
            <w:r w:rsidR="754654CB" w:rsidRPr="3EE66962">
              <w:rPr>
                <w:rFonts w:asciiTheme="minorHAnsi" w:eastAsiaTheme="minorEastAsia" w:hAnsiTheme="minorHAnsi" w:cstheme="minorBidi"/>
                <w:sz w:val="20"/>
                <w:szCs w:val="20"/>
              </w:rPr>
              <w:t xml:space="preserve">. </w:t>
            </w:r>
          </w:p>
        </w:tc>
      </w:tr>
      <w:tr w:rsidR="003C04B2" w14:paraId="6EE13BF9" w14:textId="77777777" w:rsidTr="3D1952B0">
        <w:tc>
          <w:tcPr>
            <w:tcW w:w="2405" w:type="dxa"/>
          </w:tcPr>
          <w:p w14:paraId="0000DE68" w14:textId="77777777" w:rsidR="003C04B2" w:rsidRPr="00852465" w:rsidRDefault="6B72B601"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Cíl</w:t>
            </w:r>
          </w:p>
        </w:tc>
        <w:tc>
          <w:tcPr>
            <w:tcW w:w="7223" w:type="dxa"/>
          </w:tcPr>
          <w:p w14:paraId="3C60F69A" w14:textId="1B868B2E" w:rsidR="003C04B2" w:rsidRDefault="4BB3D575" w:rsidP="3D1952B0">
            <w:pPr>
              <w:pStyle w:val="K-Text"/>
              <w:spacing w:after="81" w:line="240" w:lineRule="auto"/>
              <w:rPr>
                <w:rFonts w:asciiTheme="minorHAnsi" w:eastAsiaTheme="minorEastAsia" w:hAnsiTheme="minorHAnsi" w:cstheme="minorBidi"/>
                <w:sz w:val="20"/>
                <w:szCs w:val="20"/>
              </w:rPr>
            </w:pPr>
            <w:r w:rsidRPr="3D1952B0">
              <w:rPr>
                <w:rFonts w:asciiTheme="minorHAnsi" w:eastAsiaTheme="minorEastAsia" w:hAnsiTheme="minorHAnsi" w:cstheme="minorBidi"/>
                <w:sz w:val="20"/>
                <w:szCs w:val="20"/>
              </w:rPr>
              <w:t>Cílem investice je podpořit projekty</w:t>
            </w:r>
            <w:r w:rsidR="257C12E9" w:rsidRPr="3D1952B0">
              <w:rPr>
                <w:rFonts w:asciiTheme="minorHAnsi" w:eastAsiaTheme="minorEastAsia" w:hAnsiTheme="minorHAnsi" w:cstheme="minorBidi"/>
                <w:sz w:val="20"/>
                <w:szCs w:val="20"/>
              </w:rPr>
              <w:t xml:space="preserve"> regenerace </w:t>
            </w:r>
            <w:proofErr w:type="spellStart"/>
            <w:r w:rsidR="257C12E9" w:rsidRPr="3D1952B0">
              <w:rPr>
                <w:rFonts w:asciiTheme="minorHAnsi" w:eastAsiaTheme="minorEastAsia" w:hAnsiTheme="minorHAnsi" w:cstheme="minorBidi"/>
                <w:sz w:val="20"/>
                <w:szCs w:val="20"/>
              </w:rPr>
              <w:t>brownfieldů</w:t>
            </w:r>
            <w:proofErr w:type="spellEnd"/>
            <w:r w:rsidR="257C12E9" w:rsidRPr="3D1952B0">
              <w:rPr>
                <w:rFonts w:asciiTheme="minorHAnsi" w:eastAsiaTheme="minorEastAsia" w:hAnsiTheme="minorHAnsi" w:cstheme="minorBidi"/>
                <w:sz w:val="20"/>
                <w:szCs w:val="20"/>
              </w:rPr>
              <w:t xml:space="preserve">, které budou zaměřeny na </w:t>
            </w:r>
            <w:r w:rsidRPr="3D1952B0">
              <w:rPr>
                <w:rFonts w:asciiTheme="minorHAnsi" w:eastAsiaTheme="minorEastAsia" w:hAnsiTheme="minorHAnsi" w:cstheme="minorBidi"/>
                <w:sz w:val="20"/>
                <w:szCs w:val="20"/>
              </w:rPr>
              <w:t xml:space="preserve">odstranění bariér a přípravě ploch pro další </w:t>
            </w:r>
            <w:r w:rsidR="257C12E9" w:rsidRPr="3D1952B0">
              <w:rPr>
                <w:rFonts w:asciiTheme="minorHAnsi" w:eastAsiaTheme="minorEastAsia" w:hAnsiTheme="minorHAnsi" w:cstheme="minorBidi"/>
                <w:sz w:val="20"/>
                <w:szCs w:val="20"/>
              </w:rPr>
              <w:t xml:space="preserve">multifunkční </w:t>
            </w:r>
            <w:r w:rsidRPr="3D1952B0">
              <w:rPr>
                <w:rFonts w:asciiTheme="minorHAnsi" w:eastAsiaTheme="minorEastAsia" w:hAnsiTheme="minorHAnsi" w:cstheme="minorBidi"/>
                <w:sz w:val="20"/>
                <w:szCs w:val="20"/>
              </w:rPr>
              <w:t>využití (včetně obnovy</w:t>
            </w:r>
            <w:r w:rsidR="748CE473" w:rsidRPr="3D1952B0">
              <w:rPr>
                <w:rFonts w:asciiTheme="minorHAnsi" w:eastAsiaTheme="minorEastAsia" w:hAnsiTheme="minorHAnsi" w:cstheme="minorBidi"/>
                <w:sz w:val="20"/>
                <w:szCs w:val="20"/>
              </w:rPr>
              <w:t xml:space="preserve"> </w:t>
            </w:r>
            <w:r w:rsidRPr="3D1952B0">
              <w:rPr>
                <w:rFonts w:asciiTheme="minorHAnsi" w:eastAsiaTheme="minorEastAsia" w:hAnsiTheme="minorHAnsi" w:cstheme="minorBidi"/>
                <w:sz w:val="20"/>
                <w:szCs w:val="20"/>
              </w:rPr>
              <w:t>a vybudování infrastruktury, demolice budov atd.)</w:t>
            </w:r>
            <w:r w:rsidR="257C12E9" w:rsidRPr="3D1952B0">
              <w:rPr>
                <w:rFonts w:asciiTheme="minorHAnsi" w:eastAsiaTheme="minorEastAsia" w:hAnsiTheme="minorHAnsi" w:cstheme="minorBidi"/>
                <w:sz w:val="20"/>
                <w:szCs w:val="20"/>
              </w:rPr>
              <w:t xml:space="preserve">. </w:t>
            </w:r>
            <w:r w:rsidR="59DD1FCA" w:rsidRPr="3D1952B0">
              <w:rPr>
                <w:rFonts w:asciiTheme="minorHAnsi" w:eastAsiaTheme="minorEastAsia" w:hAnsiTheme="minorHAnsi" w:cstheme="minorBidi"/>
                <w:sz w:val="20"/>
                <w:szCs w:val="20"/>
              </w:rPr>
              <w:t xml:space="preserve">V rámci investice nebudou podporovány sanace ekologické zátěže. </w:t>
            </w:r>
            <w:r w:rsidR="257C12E9" w:rsidRPr="3D1952B0">
              <w:rPr>
                <w:rFonts w:asciiTheme="minorHAnsi" w:eastAsiaTheme="minorEastAsia" w:hAnsiTheme="minorHAnsi" w:cstheme="minorBidi"/>
                <w:sz w:val="20"/>
                <w:szCs w:val="20"/>
              </w:rPr>
              <w:t xml:space="preserve">Podpora bude poskytovaná na </w:t>
            </w:r>
            <w:r w:rsidR="59DD1FCA" w:rsidRPr="3D1952B0">
              <w:rPr>
                <w:rFonts w:asciiTheme="minorHAnsi" w:eastAsiaTheme="minorEastAsia" w:hAnsiTheme="minorHAnsi" w:cstheme="minorBidi"/>
                <w:sz w:val="20"/>
                <w:szCs w:val="20"/>
              </w:rPr>
              <w:t xml:space="preserve">přípravu pozemků pro budoucí investice a samotné investiční projekty, které splní požadavky na zelený projekt v souvislosti s komponentou 4.1. </w:t>
            </w:r>
            <w:r w:rsidR="257C12E9" w:rsidRPr="3D1952B0">
              <w:rPr>
                <w:rFonts w:asciiTheme="minorHAnsi" w:eastAsiaTheme="minorEastAsia" w:hAnsiTheme="minorHAnsi" w:cstheme="minorBidi"/>
                <w:sz w:val="20"/>
                <w:szCs w:val="20"/>
              </w:rPr>
              <w:t xml:space="preserve">V rámci investice bude podpořeno </w:t>
            </w:r>
            <w:r w:rsidR="16E67F75" w:rsidRPr="3D1952B0">
              <w:rPr>
                <w:rFonts w:asciiTheme="minorHAnsi" w:eastAsiaTheme="minorEastAsia" w:hAnsiTheme="minorHAnsi" w:cstheme="minorBidi"/>
                <w:sz w:val="20"/>
                <w:szCs w:val="20"/>
              </w:rPr>
              <w:t>14</w:t>
            </w:r>
            <w:r w:rsidR="4903713A" w:rsidRPr="3D1952B0">
              <w:rPr>
                <w:rFonts w:asciiTheme="minorHAnsi" w:eastAsiaTheme="minorEastAsia" w:hAnsiTheme="minorHAnsi" w:cstheme="minorBidi"/>
                <w:sz w:val="20"/>
                <w:szCs w:val="20"/>
              </w:rPr>
              <w:t xml:space="preserve"> </w:t>
            </w:r>
            <w:r w:rsidR="257C12E9" w:rsidRPr="3D1952B0">
              <w:rPr>
                <w:rFonts w:asciiTheme="minorHAnsi" w:eastAsiaTheme="minorEastAsia" w:hAnsiTheme="minorHAnsi" w:cstheme="minorBidi"/>
                <w:sz w:val="20"/>
                <w:szCs w:val="20"/>
              </w:rPr>
              <w:t xml:space="preserve">projektů regenerace </w:t>
            </w:r>
            <w:proofErr w:type="spellStart"/>
            <w:r w:rsidR="257C12E9" w:rsidRPr="3D1952B0">
              <w:rPr>
                <w:rFonts w:asciiTheme="minorHAnsi" w:eastAsiaTheme="minorEastAsia" w:hAnsiTheme="minorHAnsi" w:cstheme="minorBidi"/>
                <w:sz w:val="20"/>
                <w:szCs w:val="20"/>
              </w:rPr>
              <w:t>brownfieldů</w:t>
            </w:r>
            <w:proofErr w:type="spellEnd"/>
            <w:r w:rsidR="257C12E9" w:rsidRPr="3D1952B0">
              <w:rPr>
                <w:rFonts w:asciiTheme="minorHAnsi" w:eastAsiaTheme="minorEastAsia" w:hAnsiTheme="minorHAnsi" w:cstheme="minorBidi"/>
                <w:sz w:val="20"/>
                <w:szCs w:val="20"/>
              </w:rPr>
              <w:t>.</w:t>
            </w:r>
            <w:r w:rsidR="748CE473" w:rsidRPr="3D1952B0">
              <w:rPr>
                <w:rFonts w:asciiTheme="minorHAnsi" w:eastAsiaTheme="minorEastAsia" w:hAnsiTheme="minorHAnsi" w:cstheme="minorBidi"/>
                <w:sz w:val="20"/>
                <w:szCs w:val="20"/>
              </w:rPr>
              <w:t xml:space="preserve"> </w:t>
            </w:r>
          </w:p>
        </w:tc>
      </w:tr>
      <w:tr w:rsidR="003C04B2" w14:paraId="712C9F7E" w14:textId="77777777" w:rsidTr="3D1952B0">
        <w:trPr>
          <w:trHeight w:val="20"/>
        </w:trPr>
        <w:tc>
          <w:tcPr>
            <w:tcW w:w="2405" w:type="dxa"/>
          </w:tcPr>
          <w:p w14:paraId="51C6B8C4" w14:textId="77777777" w:rsidR="003C04B2" w:rsidRPr="00852465" w:rsidRDefault="6B72B601"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Implementace</w:t>
            </w:r>
          </w:p>
        </w:tc>
        <w:tc>
          <w:tcPr>
            <w:tcW w:w="7223" w:type="dxa"/>
          </w:tcPr>
          <w:p w14:paraId="4FAB140A" w14:textId="1396122B" w:rsidR="00600A91" w:rsidRPr="002E5F4F" w:rsidRDefault="4A1FC5C2" w:rsidP="3D1952B0">
            <w:pPr>
              <w:pStyle w:val="K-TextInfo"/>
              <w:spacing w:after="81"/>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Jedná se o dotačně</w:t>
            </w:r>
            <w:r w:rsidR="122CD4C0" w:rsidRPr="3D1952B0">
              <w:rPr>
                <w:rFonts w:asciiTheme="minorHAnsi" w:eastAsiaTheme="minorEastAsia" w:hAnsiTheme="minorHAnsi" w:cstheme="minorBidi"/>
                <w:i w:val="0"/>
                <w:iCs w:val="0"/>
                <w:color w:val="auto"/>
                <w:sz w:val="20"/>
                <w:szCs w:val="20"/>
              </w:rPr>
              <w:t>-</w:t>
            </w:r>
            <w:r w:rsidRPr="3D1952B0">
              <w:rPr>
                <w:rFonts w:asciiTheme="minorHAnsi" w:eastAsiaTheme="minorEastAsia" w:hAnsiTheme="minorHAnsi" w:cstheme="minorBidi"/>
                <w:i w:val="0"/>
                <w:iCs w:val="0"/>
                <w:color w:val="auto"/>
                <w:sz w:val="20"/>
                <w:szCs w:val="20"/>
              </w:rPr>
              <w:t xml:space="preserve">úvěrový nástroj, který bude implementován prostřednictvím MMR a Státního fondu podpory investic (SFPI). </w:t>
            </w:r>
          </w:p>
        </w:tc>
      </w:tr>
      <w:tr w:rsidR="009B6BC3" w14:paraId="36DD2C4F" w14:textId="77777777" w:rsidTr="3D1952B0">
        <w:trPr>
          <w:trHeight w:val="70"/>
        </w:trPr>
        <w:tc>
          <w:tcPr>
            <w:tcW w:w="2405" w:type="dxa"/>
          </w:tcPr>
          <w:p w14:paraId="57EF9923" w14:textId="77777777" w:rsidR="009B6BC3" w:rsidRPr="00852465" w:rsidRDefault="7FA6BAAF"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Spolupráce a zapojení zúčastněných stran</w:t>
            </w:r>
          </w:p>
        </w:tc>
        <w:tc>
          <w:tcPr>
            <w:tcW w:w="7223" w:type="dxa"/>
          </w:tcPr>
          <w:p w14:paraId="1DD2B101" w14:textId="340CBDD2" w:rsidR="009B6BC3" w:rsidRDefault="009B6BC3" w:rsidP="3EE66962">
            <w:pPr>
              <w:pStyle w:val="K-Text"/>
              <w:spacing w:after="81" w:line="240" w:lineRule="auto"/>
              <w:rPr>
                <w:rFonts w:asciiTheme="minorHAnsi" w:eastAsiaTheme="minorEastAsia" w:hAnsiTheme="minorHAnsi" w:cstheme="minorBidi"/>
                <w:sz w:val="20"/>
                <w:szCs w:val="20"/>
              </w:rPr>
            </w:pPr>
          </w:p>
        </w:tc>
      </w:tr>
      <w:tr w:rsidR="009B6BC3" w14:paraId="36CED49A" w14:textId="77777777" w:rsidTr="3D1952B0">
        <w:tc>
          <w:tcPr>
            <w:tcW w:w="2405" w:type="dxa"/>
          </w:tcPr>
          <w:p w14:paraId="5DF9AE56" w14:textId="77777777" w:rsidR="009B6BC3" w:rsidRPr="00236F35" w:rsidRDefault="7FA6BAAF"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Překážky a rizika</w:t>
            </w:r>
          </w:p>
        </w:tc>
        <w:tc>
          <w:tcPr>
            <w:tcW w:w="7223" w:type="dxa"/>
          </w:tcPr>
          <w:p w14:paraId="4EA1F8B3" w14:textId="58D99EC7" w:rsidR="009B6BC3" w:rsidRPr="00236F35" w:rsidRDefault="23979474" w:rsidP="3EE66962">
            <w:pPr>
              <w:pStyle w:val="K-TextInfo"/>
              <w:spacing w:after="81"/>
              <w:rPr>
                <w:rFonts w:asciiTheme="minorHAnsi" w:eastAsiaTheme="minorEastAsia" w:hAnsiTheme="minorHAnsi" w:cstheme="minorBidi"/>
                <w:i w:val="0"/>
                <w:iCs w:val="0"/>
                <w:sz w:val="20"/>
                <w:szCs w:val="20"/>
              </w:rPr>
            </w:pPr>
            <w:r w:rsidRPr="3EE66962">
              <w:rPr>
                <w:rFonts w:asciiTheme="minorHAnsi" w:eastAsiaTheme="minorEastAsia" w:hAnsiTheme="minorHAnsi" w:cstheme="minorBidi"/>
                <w:i w:val="0"/>
                <w:iCs w:val="0"/>
                <w:color w:val="auto"/>
                <w:sz w:val="20"/>
                <w:szCs w:val="20"/>
              </w:rPr>
              <w:t>Nedostatečné investiční prostředky na straně obcí, složité administrativní procesy k získání stavebních povolení, existence ekologických zátěží a nutnost řešit sanaci, chybějící zkušenosti s multifunkčními objekty, omezení vyplývající z pravidel veřejné podpory, velké finanční a časové nároky na realizaci tohoto typu projektů</w:t>
            </w:r>
          </w:p>
        </w:tc>
      </w:tr>
      <w:tr w:rsidR="009B6BC3" w14:paraId="51984E84" w14:textId="77777777" w:rsidTr="3D1952B0">
        <w:tc>
          <w:tcPr>
            <w:tcW w:w="2405" w:type="dxa"/>
          </w:tcPr>
          <w:p w14:paraId="37BEEF2A" w14:textId="77777777" w:rsidR="009B6BC3" w:rsidRPr="00852465" w:rsidRDefault="7FA6BAAF"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Cílové skupiny populace a ekonomické subjekty</w:t>
            </w:r>
          </w:p>
        </w:tc>
        <w:tc>
          <w:tcPr>
            <w:tcW w:w="7223" w:type="dxa"/>
          </w:tcPr>
          <w:p w14:paraId="1C956396" w14:textId="1FCC009B" w:rsidR="009B6BC3" w:rsidRPr="00623F15" w:rsidRDefault="7FA6BAAF"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Územně samosprávné celky, malé a střední podniky, neziskové organizace – nebude rozdělená alokace mezi jednotlivé typy příjemců, žadatelem bude vlastník </w:t>
            </w:r>
            <w:proofErr w:type="spellStart"/>
            <w:r w:rsidRPr="3EE66962">
              <w:rPr>
                <w:rFonts w:asciiTheme="minorHAnsi" w:eastAsiaTheme="minorEastAsia" w:hAnsiTheme="minorHAnsi" w:cstheme="minorBidi"/>
                <w:i w:val="0"/>
                <w:iCs w:val="0"/>
                <w:color w:val="auto"/>
                <w:sz w:val="20"/>
                <w:szCs w:val="20"/>
              </w:rPr>
              <w:t>brownfieldu</w:t>
            </w:r>
            <w:proofErr w:type="spellEnd"/>
            <w:r w:rsidRPr="3EE66962">
              <w:rPr>
                <w:rFonts w:asciiTheme="minorHAnsi" w:eastAsiaTheme="minorEastAsia" w:hAnsiTheme="minorHAnsi" w:cstheme="minorBidi"/>
                <w:i w:val="0"/>
                <w:iCs w:val="0"/>
                <w:color w:val="auto"/>
                <w:sz w:val="20"/>
                <w:szCs w:val="20"/>
              </w:rPr>
              <w:t>, který bude vybrán transparentním procesem v</w:t>
            </w:r>
            <w:r w:rsidR="173CAF3B" w:rsidRPr="3EE66962">
              <w:rPr>
                <w:rFonts w:asciiTheme="minorHAnsi" w:eastAsiaTheme="minorEastAsia" w:hAnsiTheme="minorHAnsi" w:cstheme="minorBidi"/>
                <w:i w:val="0"/>
                <w:iCs w:val="0"/>
                <w:color w:val="auto"/>
                <w:sz w:val="20"/>
                <w:szCs w:val="20"/>
              </w:rPr>
              <w:t> </w:t>
            </w:r>
            <w:r w:rsidRPr="3EE66962">
              <w:rPr>
                <w:rFonts w:asciiTheme="minorHAnsi" w:eastAsiaTheme="minorEastAsia" w:hAnsiTheme="minorHAnsi" w:cstheme="minorBidi"/>
                <w:i w:val="0"/>
                <w:iCs w:val="0"/>
                <w:color w:val="auto"/>
                <w:sz w:val="20"/>
                <w:szCs w:val="20"/>
              </w:rPr>
              <w:t>území</w:t>
            </w:r>
            <w:r w:rsidR="173CAF3B" w:rsidRPr="3EE66962">
              <w:rPr>
                <w:rFonts w:asciiTheme="minorHAnsi" w:eastAsiaTheme="minorEastAsia" w:hAnsiTheme="minorHAnsi" w:cstheme="minorBidi"/>
                <w:i w:val="0"/>
                <w:iCs w:val="0"/>
                <w:color w:val="auto"/>
                <w:sz w:val="20"/>
                <w:szCs w:val="20"/>
              </w:rPr>
              <w:t>.</w:t>
            </w:r>
            <w:r w:rsidRPr="3EE66962">
              <w:rPr>
                <w:rFonts w:asciiTheme="minorHAnsi" w:eastAsiaTheme="minorEastAsia" w:hAnsiTheme="minorHAnsi" w:cstheme="minorBidi"/>
                <w:i w:val="0"/>
                <w:iCs w:val="0"/>
                <w:color w:val="auto"/>
                <w:sz w:val="20"/>
                <w:szCs w:val="20"/>
              </w:rPr>
              <w:t xml:space="preserve"> </w:t>
            </w:r>
          </w:p>
          <w:p w14:paraId="32E9E238" w14:textId="00BA514B" w:rsidR="009B6BC3" w:rsidRPr="00424533" w:rsidRDefault="7FA6BAAF"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Stavební firmy a další přidružené firmy, které budou zakázky realizovat</w:t>
            </w:r>
            <w:r w:rsidR="175B5762" w:rsidRPr="3EE66962">
              <w:rPr>
                <w:rFonts w:asciiTheme="minorHAnsi" w:eastAsiaTheme="minorEastAsia" w:hAnsiTheme="minorHAnsi" w:cstheme="minorBidi"/>
                <w:i w:val="0"/>
                <w:iCs w:val="0"/>
                <w:color w:val="auto"/>
                <w:sz w:val="20"/>
                <w:szCs w:val="20"/>
              </w:rPr>
              <w:t>.</w:t>
            </w:r>
          </w:p>
        </w:tc>
      </w:tr>
      <w:tr w:rsidR="009B6BC3" w14:paraId="2C54425D" w14:textId="77777777" w:rsidTr="3D1952B0">
        <w:tc>
          <w:tcPr>
            <w:tcW w:w="2405" w:type="dxa"/>
          </w:tcPr>
          <w:p w14:paraId="5B09056E" w14:textId="77777777" w:rsidR="009B6BC3" w:rsidRPr="00F16A79" w:rsidRDefault="7FA6BAAF"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Souhrnné náklady realizace financované z RRF za celé období</w:t>
            </w:r>
          </w:p>
        </w:tc>
        <w:tc>
          <w:tcPr>
            <w:tcW w:w="7223" w:type="dxa"/>
          </w:tcPr>
          <w:p w14:paraId="13E9D243" w14:textId="143AFE96" w:rsidR="009B6BC3" w:rsidRPr="00F16A79" w:rsidRDefault="709080CB"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2 032</w:t>
            </w:r>
            <w:r w:rsidR="7FA6BAAF" w:rsidRPr="3EE66962">
              <w:rPr>
                <w:rFonts w:asciiTheme="minorHAnsi" w:eastAsiaTheme="minorEastAsia" w:hAnsiTheme="minorHAnsi" w:cstheme="minorBidi"/>
                <w:i w:val="0"/>
                <w:iCs w:val="0"/>
                <w:color w:val="auto"/>
                <w:sz w:val="20"/>
                <w:szCs w:val="20"/>
              </w:rPr>
              <w:t xml:space="preserve"> 000 000 Kč </w:t>
            </w:r>
          </w:p>
          <w:p w14:paraId="042220E2" w14:textId="37F92D68" w:rsidR="009B6BC3" w:rsidRPr="00F16A79" w:rsidRDefault="7FA6BAAF"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V současné době probíhá mapování vhodných objektů v území a zjišťování jejich připravenosti pro další investice. </w:t>
            </w:r>
          </w:p>
        </w:tc>
      </w:tr>
      <w:tr w:rsidR="009B6BC3" w14:paraId="2A5000E9" w14:textId="77777777" w:rsidTr="3D1952B0">
        <w:tc>
          <w:tcPr>
            <w:tcW w:w="2405" w:type="dxa"/>
          </w:tcPr>
          <w:p w14:paraId="3782AF78" w14:textId="77777777" w:rsidR="009B6BC3" w:rsidRPr="00F16A79" w:rsidRDefault="7FA6BAAF"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Dodržování pravidel státní podpory</w:t>
            </w:r>
          </w:p>
        </w:tc>
        <w:tc>
          <w:tcPr>
            <w:tcW w:w="7223" w:type="dxa"/>
          </w:tcPr>
          <w:p w14:paraId="5352F03E" w14:textId="23FFD0B5" w:rsidR="009B6BC3" w:rsidRPr="00F16A79" w:rsidRDefault="7FA6BAAF"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Předpoklad kombinace několika režimů veřejné podpory</w:t>
            </w:r>
          </w:p>
          <w:p w14:paraId="79D196F4" w14:textId="2F6ABCC6" w:rsidR="009B6BC3" w:rsidRPr="00D20EBE" w:rsidRDefault="7FA6BAAF" w:rsidP="3EE66962">
            <w:pPr>
              <w:pStyle w:val="K-TextInfo"/>
              <w:numPr>
                <w:ilvl w:val="0"/>
                <w:numId w:val="62"/>
              </w:numPr>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na základě rozhodnutí Komise ze dne 27. 3. 2014 o státní podpoře SA.36346 mimo rámec veřejné podpory</w:t>
            </w:r>
            <w:r w:rsidR="175B5762" w:rsidRPr="3EE66962">
              <w:rPr>
                <w:rFonts w:asciiTheme="minorHAnsi" w:eastAsiaTheme="minorEastAsia" w:hAnsiTheme="minorHAnsi" w:cstheme="minorBidi"/>
                <w:i w:val="0"/>
                <w:iCs w:val="0"/>
                <w:color w:val="auto"/>
                <w:sz w:val="20"/>
                <w:szCs w:val="20"/>
              </w:rPr>
              <w:t>,</w:t>
            </w:r>
          </w:p>
          <w:p w14:paraId="2B926596" w14:textId="6A9AEF6C" w:rsidR="009B6BC3" w:rsidRPr="00F16A79" w:rsidRDefault="7FA6BAAF" w:rsidP="3EE66962">
            <w:pPr>
              <w:pStyle w:val="K-TextInfo"/>
              <w:numPr>
                <w:ilvl w:val="0"/>
                <w:numId w:val="62"/>
              </w:numPr>
              <w:spacing w:after="81"/>
              <w:rPr>
                <w:rFonts w:asciiTheme="minorHAnsi" w:eastAsiaTheme="minorEastAsia" w:hAnsiTheme="minorHAnsi" w:cstheme="minorBidi"/>
                <w:sz w:val="20"/>
                <w:szCs w:val="20"/>
              </w:rPr>
            </w:pPr>
            <w:r w:rsidRPr="3EE66962">
              <w:rPr>
                <w:rFonts w:asciiTheme="minorHAnsi" w:eastAsiaTheme="minorEastAsia" w:hAnsiTheme="minorHAnsi" w:cstheme="minorBidi"/>
                <w:i w:val="0"/>
                <w:iCs w:val="0"/>
                <w:color w:val="auto"/>
                <w:sz w:val="20"/>
                <w:szCs w:val="20"/>
              </w:rPr>
              <w:t>GBER 53, 55, 56</w:t>
            </w:r>
            <w:r w:rsidR="175B5762" w:rsidRPr="3EE66962">
              <w:rPr>
                <w:rFonts w:asciiTheme="minorHAnsi" w:eastAsiaTheme="minorEastAsia" w:hAnsiTheme="minorHAnsi" w:cstheme="minorBidi"/>
                <w:i w:val="0"/>
                <w:iCs w:val="0"/>
                <w:color w:val="auto"/>
                <w:sz w:val="20"/>
                <w:szCs w:val="20"/>
              </w:rPr>
              <w:t>.</w:t>
            </w:r>
            <w:r w:rsidRPr="3EE66962">
              <w:rPr>
                <w:rFonts w:asciiTheme="minorHAnsi" w:eastAsiaTheme="minorEastAsia" w:hAnsiTheme="minorHAnsi" w:cstheme="minorBidi"/>
                <w:sz w:val="20"/>
                <w:szCs w:val="20"/>
                <w:shd w:val="clear" w:color="auto" w:fill="E6E6E6"/>
              </w:rPr>
              <w:t xml:space="preserve"> </w:t>
            </w:r>
          </w:p>
        </w:tc>
      </w:tr>
      <w:tr w:rsidR="009B6BC3" w14:paraId="4C60424C" w14:textId="77777777" w:rsidTr="3D1952B0">
        <w:tc>
          <w:tcPr>
            <w:tcW w:w="2405" w:type="dxa"/>
          </w:tcPr>
          <w:p w14:paraId="5A3FC72E" w14:textId="77777777" w:rsidR="009B6BC3" w:rsidRPr="00852465" w:rsidRDefault="7FA6BAAF"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Uveďte dobu implementace</w:t>
            </w:r>
          </w:p>
        </w:tc>
        <w:tc>
          <w:tcPr>
            <w:tcW w:w="7223" w:type="dxa"/>
          </w:tcPr>
          <w:p w14:paraId="5BC91610" w14:textId="4F500675" w:rsidR="009B6BC3" w:rsidRPr="00365135" w:rsidRDefault="25C265F6"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Všechny projekty budou </w:t>
            </w:r>
            <w:proofErr w:type="spellStart"/>
            <w:r w:rsidRPr="3EE66962">
              <w:rPr>
                <w:rFonts w:asciiTheme="minorHAnsi" w:eastAsiaTheme="minorEastAsia" w:hAnsiTheme="minorHAnsi" w:cstheme="minorBidi"/>
                <w:i w:val="0"/>
                <w:iCs w:val="0"/>
                <w:color w:val="auto"/>
                <w:sz w:val="20"/>
                <w:szCs w:val="20"/>
              </w:rPr>
              <w:t>zasmluvněny</w:t>
            </w:r>
            <w:proofErr w:type="spellEnd"/>
            <w:r w:rsidRPr="3EE66962">
              <w:rPr>
                <w:rFonts w:asciiTheme="minorHAnsi" w:eastAsiaTheme="minorEastAsia" w:hAnsiTheme="minorHAnsi" w:cstheme="minorBidi"/>
                <w:i w:val="0"/>
                <w:iCs w:val="0"/>
                <w:color w:val="auto"/>
                <w:sz w:val="20"/>
                <w:szCs w:val="20"/>
              </w:rPr>
              <w:t xml:space="preserve"> do konce roku 2023 a realizovány od roku 202</w:t>
            </w:r>
            <w:r w:rsidR="529D8576" w:rsidRPr="3EE66962">
              <w:rPr>
                <w:rFonts w:asciiTheme="minorHAnsi" w:eastAsiaTheme="minorEastAsia" w:hAnsiTheme="minorHAnsi" w:cstheme="minorBidi"/>
                <w:i w:val="0"/>
                <w:iCs w:val="0"/>
                <w:color w:val="auto"/>
                <w:sz w:val="20"/>
                <w:szCs w:val="20"/>
              </w:rPr>
              <w:t>1</w:t>
            </w:r>
            <w:r w:rsidRPr="3EE66962">
              <w:rPr>
                <w:rFonts w:asciiTheme="minorHAnsi" w:eastAsiaTheme="minorEastAsia" w:hAnsiTheme="minorHAnsi" w:cstheme="minorBidi"/>
                <w:i w:val="0"/>
                <w:iCs w:val="0"/>
                <w:color w:val="auto"/>
                <w:sz w:val="20"/>
                <w:szCs w:val="20"/>
              </w:rPr>
              <w:t xml:space="preserve"> do konce roku 2025.</w:t>
            </w:r>
          </w:p>
        </w:tc>
      </w:tr>
    </w:tbl>
    <w:p w14:paraId="717309A2" w14:textId="3EAAAA0D" w:rsidR="3D5D2481" w:rsidRDefault="3D5D2481" w:rsidP="3EE66962">
      <w:pPr>
        <w:pStyle w:val="K-Tabulka"/>
        <w:rPr>
          <w:rFonts w:eastAsia="Calibri"/>
        </w:rPr>
      </w:pPr>
    </w:p>
    <w:p w14:paraId="2EBC6F17" w14:textId="5019DEBD" w:rsidR="00707A39" w:rsidRDefault="464E72F7" w:rsidP="00654847">
      <w:pPr>
        <w:pStyle w:val="K-Tabulka"/>
        <w:rPr>
          <w:rFonts w:asciiTheme="minorHAnsi" w:eastAsiaTheme="minorEastAsia" w:hAnsiTheme="minorHAnsi" w:cstheme="minorBidi"/>
          <w:sz w:val="20"/>
          <w:szCs w:val="20"/>
        </w:rPr>
      </w:pPr>
      <w:bookmarkStart w:id="0" w:name="_GoBack"/>
      <w:bookmarkEnd w:id="0"/>
      <w:r w:rsidRPr="3D1952B0">
        <w:rPr>
          <w:rFonts w:asciiTheme="minorHAnsi" w:eastAsiaTheme="minorEastAsia" w:hAnsiTheme="minorHAnsi" w:cstheme="minorBidi"/>
          <w:sz w:val="20"/>
          <w:szCs w:val="20"/>
        </w:rPr>
        <w:lastRenderedPageBreak/>
        <w:t xml:space="preserve">2.8.2 </w:t>
      </w:r>
      <w:r w:rsidR="091E9F6A" w:rsidRPr="3D1952B0">
        <w:rPr>
          <w:rFonts w:asciiTheme="minorHAnsi" w:eastAsiaTheme="minorEastAsia" w:hAnsiTheme="minorHAnsi" w:cstheme="minorBidi"/>
          <w:sz w:val="20"/>
          <w:szCs w:val="20"/>
        </w:rPr>
        <w:t xml:space="preserve">Investiční podpora regenerace </w:t>
      </w:r>
      <w:proofErr w:type="spellStart"/>
      <w:r w:rsidR="091E9F6A" w:rsidRPr="3D1952B0">
        <w:rPr>
          <w:rFonts w:asciiTheme="minorHAnsi" w:eastAsiaTheme="minorEastAsia" w:hAnsiTheme="minorHAnsi" w:cstheme="minorBidi"/>
          <w:sz w:val="20"/>
          <w:szCs w:val="20"/>
        </w:rPr>
        <w:t>brownfieldů</w:t>
      </w:r>
      <w:proofErr w:type="spellEnd"/>
      <w:r w:rsidR="091E9F6A" w:rsidRPr="3D1952B0">
        <w:rPr>
          <w:rFonts w:asciiTheme="minorHAnsi" w:eastAsiaTheme="minorEastAsia" w:hAnsiTheme="minorHAnsi" w:cstheme="minorBidi"/>
          <w:sz w:val="20"/>
          <w:szCs w:val="20"/>
        </w:rPr>
        <w:t xml:space="preserve"> ve vlastnictví obcí a krajů pro nepodnikatelské využití </w:t>
      </w:r>
    </w:p>
    <w:tbl>
      <w:tblPr>
        <w:tblStyle w:val="Mkatabulky"/>
        <w:tblW w:w="0" w:type="auto"/>
        <w:tblLook w:val="04A0" w:firstRow="1" w:lastRow="0" w:firstColumn="1" w:lastColumn="0" w:noHBand="0" w:noVBand="1"/>
      </w:tblPr>
      <w:tblGrid>
        <w:gridCol w:w="2405"/>
        <w:gridCol w:w="7223"/>
      </w:tblGrid>
      <w:tr w:rsidR="00D169DE" w14:paraId="6BEACA60" w14:textId="77777777" w:rsidTr="3D1952B0">
        <w:tc>
          <w:tcPr>
            <w:tcW w:w="2405" w:type="dxa"/>
          </w:tcPr>
          <w:p w14:paraId="2D505018" w14:textId="77777777" w:rsidR="00D169DE" w:rsidRPr="00852465"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Výzva</w:t>
            </w:r>
          </w:p>
        </w:tc>
        <w:tc>
          <w:tcPr>
            <w:tcW w:w="7223" w:type="dxa"/>
          </w:tcPr>
          <w:p w14:paraId="7D1D664E" w14:textId="247261BC" w:rsidR="00D169DE" w:rsidRDefault="2E692846" w:rsidP="3D1952B0">
            <w:pPr>
              <w:pStyle w:val="Normlnweb"/>
              <w:spacing w:before="68" w:after="68"/>
              <w:jc w:val="both"/>
              <w:rPr>
                <w:rFonts w:asciiTheme="minorHAnsi" w:eastAsiaTheme="minorEastAsia" w:hAnsiTheme="minorHAnsi" w:cstheme="minorBidi"/>
                <w:sz w:val="20"/>
                <w:szCs w:val="20"/>
              </w:rPr>
            </w:pPr>
            <w:r w:rsidRPr="3D1952B0">
              <w:rPr>
                <w:rFonts w:asciiTheme="minorHAnsi" w:eastAsiaTheme="minorEastAsia" w:hAnsiTheme="minorHAnsi" w:cstheme="minorBidi"/>
                <w:sz w:val="20"/>
                <w:szCs w:val="20"/>
              </w:rPr>
              <w:t xml:space="preserve">Na území obcí se nachází velký počet objektů typu </w:t>
            </w:r>
            <w:proofErr w:type="spellStart"/>
            <w:r w:rsidRPr="3D1952B0">
              <w:rPr>
                <w:rFonts w:asciiTheme="minorHAnsi" w:eastAsiaTheme="minorEastAsia" w:hAnsiTheme="minorHAnsi" w:cstheme="minorBidi"/>
                <w:sz w:val="20"/>
                <w:szCs w:val="20"/>
              </w:rPr>
              <w:t>brownfield</w:t>
            </w:r>
            <w:proofErr w:type="spellEnd"/>
            <w:r w:rsidRPr="3D1952B0">
              <w:rPr>
                <w:rFonts w:asciiTheme="minorHAnsi" w:eastAsiaTheme="minorEastAsia" w:hAnsiTheme="minorHAnsi" w:cstheme="minorBidi"/>
                <w:sz w:val="20"/>
                <w:szCs w:val="20"/>
              </w:rPr>
              <w:t xml:space="preserve">, které jsou dlouhodobě nevyužívané a chátrají. Obce a kraje jako vlastníci těchto budov většinou nemají dostatek finančních prostředků pro to, aby území regenerovaly. V určitých typech území ani neexistuje potenciál </w:t>
            </w:r>
            <w:proofErr w:type="spellStart"/>
            <w:r w:rsidRPr="3D1952B0">
              <w:rPr>
                <w:rFonts w:asciiTheme="minorHAnsi" w:eastAsiaTheme="minorEastAsia" w:hAnsiTheme="minorHAnsi" w:cstheme="minorBidi"/>
                <w:sz w:val="20"/>
                <w:szCs w:val="20"/>
              </w:rPr>
              <w:t>brownfieldy</w:t>
            </w:r>
            <w:proofErr w:type="spellEnd"/>
            <w:r w:rsidRPr="3D1952B0">
              <w:rPr>
                <w:rFonts w:asciiTheme="minorHAnsi" w:eastAsiaTheme="minorEastAsia" w:hAnsiTheme="minorHAnsi" w:cstheme="minorBidi"/>
                <w:sz w:val="20"/>
                <w:szCs w:val="20"/>
              </w:rPr>
              <w:t xml:space="preserve"> regenerovat tržně. Pokud získají obce a kraje impuls v podobě finanční podpory, mohou regenerac</w:t>
            </w:r>
            <w:r w:rsidR="565714CA" w:rsidRPr="3D1952B0">
              <w:rPr>
                <w:rFonts w:asciiTheme="minorHAnsi" w:eastAsiaTheme="minorEastAsia" w:hAnsiTheme="minorHAnsi" w:cstheme="minorBidi"/>
                <w:sz w:val="20"/>
                <w:szCs w:val="20"/>
              </w:rPr>
              <w:t>í</w:t>
            </w:r>
            <w:r w:rsidRPr="3D1952B0">
              <w:rPr>
                <w:rFonts w:asciiTheme="minorHAnsi" w:eastAsiaTheme="minorEastAsia" w:hAnsiTheme="minorHAnsi" w:cstheme="minorBidi"/>
                <w:sz w:val="20"/>
                <w:szCs w:val="20"/>
              </w:rPr>
              <w:t xml:space="preserve"> </w:t>
            </w:r>
            <w:proofErr w:type="spellStart"/>
            <w:r w:rsidRPr="3D1952B0">
              <w:rPr>
                <w:rFonts w:asciiTheme="minorHAnsi" w:eastAsiaTheme="minorEastAsia" w:hAnsiTheme="minorHAnsi" w:cstheme="minorBidi"/>
                <w:sz w:val="20"/>
                <w:szCs w:val="20"/>
              </w:rPr>
              <w:t>brownfieldu</w:t>
            </w:r>
            <w:proofErr w:type="spellEnd"/>
            <w:r w:rsidRPr="3D1952B0">
              <w:rPr>
                <w:rFonts w:asciiTheme="minorHAnsi" w:eastAsiaTheme="minorEastAsia" w:hAnsiTheme="minorHAnsi" w:cstheme="minorBidi"/>
                <w:sz w:val="20"/>
                <w:szCs w:val="20"/>
              </w:rPr>
              <w:t xml:space="preserve"> vyřešit problém nedostatečné občanské vybavenosti, zvýšit nabídku nemovitostí pro rozvoj podnikání ad. </w:t>
            </w:r>
          </w:p>
        </w:tc>
      </w:tr>
      <w:tr w:rsidR="00D169DE" w14:paraId="3CBB09C2" w14:textId="77777777" w:rsidTr="3D1952B0">
        <w:tc>
          <w:tcPr>
            <w:tcW w:w="2405" w:type="dxa"/>
          </w:tcPr>
          <w:p w14:paraId="2962B173" w14:textId="77777777" w:rsidR="00D169DE" w:rsidRPr="00852465"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Cíl</w:t>
            </w:r>
          </w:p>
        </w:tc>
        <w:tc>
          <w:tcPr>
            <w:tcW w:w="7223" w:type="dxa"/>
          </w:tcPr>
          <w:p w14:paraId="4A3E43E5" w14:textId="77777777" w:rsidR="00D169DE" w:rsidRPr="006C28D8" w:rsidRDefault="52666465"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Cílem je přispět k regeneraci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které jsou ve vlastnictví územních samosprávných celků tak, aby díky ní území mohla sloužit pro potřeby občanské vybavenosti. Z degradované lokality tak vznikne např. škola, kulturní dům, sportoviště, obecní úřad nebo veřejně přístupný park. </w:t>
            </w:r>
          </w:p>
          <w:p w14:paraId="51BF8E18" w14:textId="5BA3163A" w:rsidR="00D169DE" w:rsidRDefault="2E692846" w:rsidP="3D1952B0">
            <w:pPr>
              <w:pStyle w:val="K-TextInfo"/>
              <w:spacing w:after="81"/>
              <w:rPr>
                <w:rFonts w:asciiTheme="minorHAnsi" w:eastAsiaTheme="minorEastAsia" w:hAnsiTheme="minorHAnsi" w:cstheme="minorBidi"/>
                <w:sz w:val="20"/>
                <w:szCs w:val="20"/>
              </w:rPr>
            </w:pPr>
            <w:r w:rsidRPr="3D1952B0">
              <w:rPr>
                <w:rFonts w:asciiTheme="minorHAnsi" w:eastAsiaTheme="minorEastAsia" w:hAnsiTheme="minorHAnsi" w:cstheme="minorBidi"/>
                <w:i w:val="0"/>
                <w:iCs w:val="0"/>
                <w:color w:val="auto"/>
                <w:sz w:val="20"/>
                <w:szCs w:val="20"/>
              </w:rPr>
              <w:t xml:space="preserve">V rámci investice bude podpořeno </w:t>
            </w:r>
            <w:r w:rsidR="6FFD122F" w:rsidRPr="3D1952B0">
              <w:rPr>
                <w:rFonts w:asciiTheme="minorHAnsi" w:eastAsiaTheme="minorEastAsia" w:hAnsiTheme="minorHAnsi" w:cstheme="minorBidi"/>
                <w:i w:val="0"/>
                <w:iCs w:val="0"/>
                <w:color w:val="auto"/>
                <w:sz w:val="20"/>
                <w:szCs w:val="20"/>
              </w:rPr>
              <w:t>45</w:t>
            </w:r>
            <w:r w:rsidRPr="3D1952B0">
              <w:rPr>
                <w:rFonts w:asciiTheme="minorHAnsi" w:eastAsiaTheme="minorEastAsia" w:hAnsiTheme="minorHAnsi" w:cstheme="minorBidi"/>
                <w:i w:val="0"/>
                <w:iCs w:val="0"/>
                <w:color w:val="auto"/>
                <w:sz w:val="20"/>
                <w:szCs w:val="20"/>
              </w:rPr>
              <w:t xml:space="preserve"> projektů regenerace </w:t>
            </w:r>
            <w:proofErr w:type="spellStart"/>
            <w:r w:rsidRPr="3D1952B0">
              <w:rPr>
                <w:rFonts w:asciiTheme="minorHAnsi" w:eastAsiaTheme="minorEastAsia" w:hAnsiTheme="minorHAnsi" w:cstheme="minorBidi"/>
                <w:i w:val="0"/>
                <w:iCs w:val="0"/>
                <w:color w:val="auto"/>
                <w:sz w:val="20"/>
                <w:szCs w:val="20"/>
              </w:rPr>
              <w:t>brownfieldů</w:t>
            </w:r>
            <w:proofErr w:type="spellEnd"/>
            <w:r w:rsidRPr="3D1952B0">
              <w:rPr>
                <w:rFonts w:asciiTheme="minorHAnsi" w:eastAsiaTheme="minorEastAsia" w:hAnsiTheme="minorHAnsi" w:cstheme="minorBidi"/>
                <w:i w:val="0"/>
                <w:iCs w:val="0"/>
                <w:color w:val="auto"/>
                <w:sz w:val="20"/>
                <w:szCs w:val="20"/>
              </w:rPr>
              <w:t xml:space="preserve"> pro nepodnikatelské využití</w:t>
            </w:r>
            <w:r w:rsidR="7E115F1D" w:rsidRPr="3D1952B0">
              <w:rPr>
                <w:rFonts w:asciiTheme="minorHAnsi" w:eastAsiaTheme="minorEastAsia" w:hAnsiTheme="minorHAnsi" w:cstheme="minorBidi"/>
                <w:i w:val="0"/>
                <w:iCs w:val="0"/>
                <w:color w:val="auto"/>
                <w:sz w:val="20"/>
                <w:szCs w:val="20"/>
              </w:rPr>
              <w:t xml:space="preserve"> (dojde k regeneraci 94 000 m</w:t>
            </w:r>
            <w:r w:rsidR="7E115F1D" w:rsidRPr="00654847">
              <w:rPr>
                <w:rFonts w:asciiTheme="minorHAnsi" w:eastAsiaTheme="minorEastAsia" w:hAnsiTheme="minorHAnsi" w:cstheme="minorBidi"/>
                <w:i w:val="0"/>
                <w:iCs w:val="0"/>
                <w:color w:val="auto"/>
                <w:sz w:val="20"/>
                <w:szCs w:val="20"/>
                <w:vertAlign w:val="superscript"/>
              </w:rPr>
              <w:t>2</w:t>
            </w:r>
            <w:r w:rsidR="7E115F1D" w:rsidRPr="3D1952B0">
              <w:rPr>
                <w:rFonts w:asciiTheme="minorHAnsi" w:eastAsiaTheme="minorEastAsia" w:hAnsiTheme="minorHAnsi" w:cstheme="minorBidi"/>
                <w:i w:val="0"/>
                <w:iCs w:val="0"/>
                <w:color w:val="auto"/>
                <w:sz w:val="20"/>
                <w:szCs w:val="20"/>
              </w:rPr>
              <w:t xml:space="preserve"> zastavené plochy)</w:t>
            </w:r>
            <w:r w:rsidRPr="3D1952B0">
              <w:rPr>
                <w:rFonts w:asciiTheme="minorHAnsi" w:eastAsiaTheme="minorEastAsia" w:hAnsiTheme="minorHAnsi" w:cstheme="minorBidi"/>
                <w:i w:val="0"/>
                <w:iCs w:val="0"/>
                <w:color w:val="auto"/>
                <w:sz w:val="20"/>
                <w:szCs w:val="20"/>
              </w:rPr>
              <w:t>.</w:t>
            </w:r>
            <w:r w:rsidRPr="3D1952B0">
              <w:rPr>
                <w:rFonts w:asciiTheme="minorHAnsi" w:eastAsiaTheme="minorEastAsia" w:hAnsiTheme="minorHAnsi" w:cstheme="minorBidi"/>
                <w:sz w:val="20"/>
                <w:szCs w:val="20"/>
              </w:rPr>
              <w:t xml:space="preserve"> </w:t>
            </w:r>
          </w:p>
        </w:tc>
      </w:tr>
      <w:tr w:rsidR="00D169DE" w14:paraId="20E82A39" w14:textId="77777777" w:rsidTr="3D1952B0">
        <w:tc>
          <w:tcPr>
            <w:tcW w:w="2405" w:type="dxa"/>
          </w:tcPr>
          <w:p w14:paraId="6E72258D" w14:textId="77777777" w:rsidR="00D169DE" w:rsidRPr="00852465"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Implementace</w:t>
            </w:r>
          </w:p>
        </w:tc>
        <w:tc>
          <w:tcPr>
            <w:tcW w:w="7223" w:type="dxa"/>
          </w:tcPr>
          <w:p w14:paraId="2C177667" w14:textId="77777777" w:rsidR="00D169DE" w:rsidRDefault="52666465"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Jedná se o dotačně-úvěrový nástroj, který bude implementován prostřednictvím MMR a Státního fondu podpory investic (SFPI). </w:t>
            </w:r>
          </w:p>
          <w:p w14:paraId="1B2621B7" w14:textId="77777777" w:rsidR="00D169DE" w:rsidRDefault="52666465"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MMR věcně zaštítí přípravu programu, který bude administrován v rámci SFPI. Každoročně budou vypisovány výzvy pro příjem žádostí, výběr projektů bude provádět SFPI na základě objektivních kritérií. </w:t>
            </w:r>
          </w:p>
        </w:tc>
      </w:tr>
      <w:tr w:rsidR="00D169DE" w14:paraId="7307A846" w14:textId="77777777" w:rsidTr="3D1952B0">
        <w:trPr>
          <w:trHeight w:val="70"/>
        </w:trPr>
        <w:tc>
          <w:tcPr>
            <w:tcW w:w="2405" w:type="dxa"/>
          </w:tcPr>
          <w:p w14:paraId="05A87DCA" w14:textId="77777777" w:rsidR="00D169DE" w:rsidRPr="00852465"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Spolupráce a zapojení zúčastněných stran</w:t>
            </w:r>
          </w:p>
        </w:tc>
        <w:tc>
          <w:tcPr>
            <w:tcW w:w="7223" w:type="dxa"/>
          </w:tcPr>
          <w:p w14:paraId="2BEE60E3" w14:textId="77777777" w:rsidR="00D169DE" w:rsidRPr="003C04B2" w:rsidRDefault="00D169DE" w:rsidP="3EE66962">
            <w:pPr>
              <w:pStyle w:val="K-TextInfo"/>
              <w:spacing w:after="81"/>
              <w:rPr>
                <w:rFonts w:asciiTheme="minorHAnsi" w:eastAsiaTheme="minorEastAsia" w:hAnsiTheme="minorHAnsi" w:cstheme="minorBidi"/>
                <w:i w:val="0"/>
                <w:iCs w:val="0"/>
                <w:sz w:val="20"/>
                <w:szCs w:val="20"/>
              </w:rPr>
            </w:pPr>
          </w:p>
        </w:tc>
      </w:tr>
      <w:tr w:rsidR="00D169DE" w14:paraId="5AA6C782" w14:textId="77777777" w:rsidTr="3D1952B0">
        <w:tc>
          <w:tcPr>
            <w:tcW w:w="2405" w:type="dxa"/>
          </w:tcPr>
          <w:p w14:paraId="07CF6E09" w14:textId="77777777" w:rsidR="00D169DE" w:rsidRPr="00852465"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Překážky a rizika</w:t>
            </w:r>
          </w:p>
        </w:tc>
        <w:tc>
          <w:tcPr>
            <w:tcW w:w="7223" w:type="dxa"/>
          </w:tcPr>
          <w:p w14:paraId="3BBCF243" w14:textId="77777777" w:rsidR="00D169DE" w:rsidRPr="00236F35" w:rsidRDefault="52666465"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Nedostatečné investiční prostředky na straně obcí, složité administrativní procesy k získání stavebních povolení, pokles příjmu obcí spojený s dopady pandemie COVID-19</w:t>
            </w:r>
          </w:p>
        </w:tc>
      </w:tr>
      <w:tr w:rsidR="00D169DE" w14:paraId="6EE95AEA" w14:textId="77777777" w:rsidTr="3D1952B0">
        <w:tc>
          <w:tcPr>
            <w:tcW w:w="2405" w:type="dxa"/>
          </w:tcPr>
          <w:p w14:paraId="4B40B7E4" w14:textId="77777777" w:rsidR="00D169DE" w:rsidRPr="00852465"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Cílové skupiny populace a ekonomické subjekty</w:t>
            </w:r>
          </w:p>
        </w:tc>
        <w:tc>
          <w:tcPr>
            <w:tcW w:w="7223" w:type="dxa"/>
          </w:tcPr>
          <w:p w14:paraId="0CDB94BA" w14:textId="77777777" w:rsidR="00D169DE" w:rsidRDefault="52666465"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Územně samosprávné celky jako příjemci podpory</w:t>
            </w:r>
          </w:p>
          <w:p w14:paraId="5EE55073" w14:textId="77777777" w:rsidR="00D169DE" w:rsidRPr="00236F35" w:rsidRDefault="52666465"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Stavební firmy a další přidružené firmy, které budou zakázky realizovat</w:t>
            </w:r>
          </w:p>
          <w:p w14:paraId="1E4C446A" w14:textId="77777777" w:rsidR="00D169DE" w:rsidRPr="00236F35" w:rsidRDefault="52666465"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Občané jako uživatelé zrekonstruované infrastruktury</w:t>
            </w:r>
          </w:p>
        </w:tc>
      </w:tr>
      <w:tr w:rsidR="00D169DE" w14:paraId="410C3AD3" w14:textId="77777777" w:rsidTr="3D1952B0">
        <w:tc>
          <w:tcPr>
            <w:tcW w:w="2405" w:type="dxa"/>
          </w:tcPr>
          <w:p w14:paraId="0951BCFF" w14:textId="77777777" w:rsidR="00D169DE" w:rsidRPr="00852465"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Souhrnné náklady realizace financované z RRF za celé období</w:t>
            </w:r>
          </w:p>
        </w:tc>
        <w:tc>
          <w:tcPr>
            <w:tcW w:w="7223" w:type="dxa"/>
          </w:tcPr>
          <w:p w14:paraId="1FCC2B06" w14:textId="5CBD83C6" w:rsidR="00D169DE" w:rsidRDefault="52666465"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800 000 000 Kč </w:t>
            </w:r>
          </w:p>
          <w:p w14:paraId="769B5B58" w14:textId="77777777" w:rsidR="00D169DE" w:rsidRPr="003C04B2" w:rsidRDefault="52666465" w:rsidP="3EE66962">
            <w:pPr>
              <w:pStyle w:val="K-TextInfo"/>
              <w:spacing w:after="81"/>
              <w:rPr>
                <w:rFonts w:asciiTheme="minorHAnsi" w:eastAsiaTheme="minorEastAsia" w:hAnsiTheme="minorHAnsi" w:cstheme="minorBidi"/>
                <w:i w:val="0"/>
                <w:iCs w:val="0"/>
                <w:sz w:val="20"/>
                <w:szCs w:val="20"/>
              </w:rPr>
            </w:pPr>
            <w:r w:rsidRPr="3EE66962">
              <w:rPr>
                <w:rFonts w:asciiTheme="minorHAnsi" w:eastAsiaTheme="minorEastAsia" w:hAnsiTheme="minorHAnsi" w:cstheme="minorBidi"/>
                <w:i w:val="0"/>
                <w:iCs w:val="0"/>
                <w:color w:val="auto"/>
                <w:sz w:val="20"/>
                <w:szCs w:val="20"/>
              </w:rPr>
              <w:t xml:space="preserve">Částka vychází ze zkušenosti z administrace programu Regenerace </w:t>
            </w:r>
            <w:proofErr w:type="spellStart"/>
            <w:r w:rsidRPr="3EE66962">
              <w:rPr>
                <w:rFonts w:asciiTheme="minorHAnsi" w:eastAsiaTheme="minorEastAsia" w:hAnsiTheme="minorHAnsi" w:cstheme="minorBidi"/>
                <w:i w:val="0"/>
                <w:iCs w:val="0"/>
                <w:color w:val="auto"/>
                <w:sz w:val="20"/>
                <w:szCs w:val="20"/>
              </w:rPr>
              <w:t>brownfieldů</w:t>
            </w:r>
            <w:proofErr w:type="spellEnd"/>
            <w:r w:rsidRPr="3EE66962">
              <w:rPr>
                <w:rFonts w:asciiTheme="minorHAnsi" w:eastAsiaTheme="minorEastAsia" w:hAnsiTheme="minorHAnsi" w:cstheme="minorBidi"/>
                <w:i w:val="0"/>
                <w:iCs w:val="0"/>
                <w:color w:val="auto"/>
                <w:sz w:val="20"/>
                <w:szCs w:val="20"/>
              </w:rPr>
              <w:t xml:space="preserve"> pro nepodnikatelské využití, které MMR v letech 2019 a 2020 administrovalo. Průměrná výše podpory se pohybovalo mezi 15–20 mil. Kč, v zásobníku připravených projektů je zhruba 200 projektů. V kombinaci se zdroji státního rozpočtu by mělo být možné realizovat většinu projektů připravených v této oblasti. </w:t>
            </w:r>
          </w:p>
        </w:tc>
      </w:tr>
      <w:tr w:rsidR="00D169DE" w14:paraId="471A1A7F" w14:textId="77777777" w:rsidTr="3D1952B0">
        <w:tc>
          <w:tcPr>
            <w:tcW w:w="2405" w:type="dxa"/>
          </w:tcPr>
          <w:p w14:paraId="0D39943C" w14:textId="77777777" w:rsidR="00D169DE" w:rsidRPr="00852465"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Dodržování pravidel státní podpory</w:t>
            </w:r>
          </w:p>
        </w:tc>
        <w:tc>
          <w:tcPr>
            <w:tcW w:w="7223" w:type="dxa"/>
          </w:tcPr>
          <w:p w14:paraId="74F884A1" w14:textId="77777777" w:rsidR="00D169DE"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 xml:space="preserve">Mimo rámec veřejné podpory </w:t>
            </w:r>
          </w:p>
          <w:p w14:paraId="7D051596" w14:textId="77777777" w:rsidR="00D169DE" w:rsidRDefault="52666465" w:rsidP="3EE66962">
            <w:pPr>
              <w:pStyle w:val="K-TextInfo"/>
              <w:spacing w:after="81"/>
              <w:rPr>
                <w:rFonts w:asciiTheme="minorHAnsi" w:eastAsiaTheme="minorEastAsia" w:hAnsiTheme="minorHAnsi" w:cstheme="minorBidi"/>
                <w:sz w:val="20"/>
                <w:szCs w:val="20"/>
              </w:rPr>
            </w:pPr>
            <w:r w:rsidRPr="3EE66962">
              <w:rPr>
                <w:rFonts w:asciiTheme="minorHAnsi" w:eastAsiaTheme="minorEastAsia" w:hAnsiTheme="minorHAnsi" w:cstheme="minorBidi"/>
                <w:i w:val="0"/>
                <w:iCs w:val="0"/>
                <w:color w:val="auto"/>
                <w:sz w:val="20"/>
                <w:szCs w:val="20"/>
              </w:rPr>
              <w:t xml:space="preserve">Občanské vybavení, které na území revitalizovaného </w:t>
            </w:r>
            <w:proofErr w:type="spellStart"/>
            <w:r w:rsidRPr="3EE66962">
              <w:rPr>
                <w:rFonts w:asciiTheme="minorHAnsi" w:eastAsiaTheme="minorEastAsia" w:hAnsiTheme="minorHAnsi" w:cstheme="minorBidi"/>
                <w:i w:val="0"/>
                <w:iCs w:val="0"/>
                <w:color w:val="auto"/>
                <w:sz w:val="20"/>
                <w:szCs w:val="20"/>
              </w:rPr>
              <w:t>brownfieldu</w:t>
            </w:r>
            <w:proofErr w:type="spellEnd"/>
            <w:r w:rsidRPr="3EE66962">
              <w:rPr>
                <w:rFonts w:asciiTheme="minorHAnsi" w:eastAsiaTheme="minorEastAsia" w:hAnsiTheme="minorHAnsi" w:cstheme="minorBidi"/>
                <w:i w:val="0"/>
                <w:iCs w:val="0"/>
                <w:color w:val="auto"/>
                <w:sz w:val="20"/>
                <w:szCs w:val="20"/>
              </w:rPr>
              <w:t xml:space="preserve"> vznikne, bude převážně </w:t>
            </w:r>
            <w:proofErr w:type="spellStart"/>
            <w:r w:rsidRPr="3EE66962">
              <w:rPr>
                <w:rFonts w:asciiTheme="minorHAnsi" w:eastAsiaTheme="minorEastAsia" w:hAnsiTheme="minorHAnsi" w:cstheme="minorBidi"/>
                <w:i w:val="0"/>
                <w:iCs w:val="0"/>
                <w:color w:val="auto"/>
                <w:sz w:val="20"/>
                <w:szCs w:val="20"/>
              </w:rPr>
              <w:t>nehospodářského</w:t>
            </w:r>
            <w:proofErr w:type="spellEnd"/>
            <w:r w:rsidRPr="3EE66962">
              <w:rPr>
                <w:rFonts w:asciiTheme="minorHAnsi" w:eastAsiaTheme="minorEastAsia" w:hAnsiTheme="minorHAnsi" w:cstheme="minorBidi"/>
                <w:i w:val="0"/>
                <w:iCs w:val="0"/>
                <w:color w:val="auto"/>
                <w:sz w:val="20"/>
                <w:szCs w:val="20"/>
              </w:rPr>
              <w:t xml:space="preserve"> a čistě lokálního charakteru. Služby, které budou v rámci podpořené infrastruktury nabízeny, budou součástí výkonu veřejné moci. Hospodářské využití vzniklého občanského vybavení bude povoleno pouze jako vedlejší podpůrná aktivita do 20 % využívané kapacity daného objektu a musí být stejného charakteru jako hlavní činnost. Dále bude umožněna podpora vzniku obvyklého zázemí občanského vybavení do 10 % kapacity revitalizovaného území, což dle sdělení Komise o pojmu státní podpora uvedeném v čl. 107 odst. 1 Smlouvy o fungování Evropské unie (2016/C 262/01), jmenovitě odst. 207, nepředstavuje veřejnou podporu ve smyslu čl. 107 odst. 1 Smlouvy o fungování Evropské unie. V hraničních případech bude individuálně posuzováno, zda předkládaný projekt nesplňuje definiční znaky veřejné podpory. V případě, že by poskytovatel dospěl k názoru, že projekt naplňuje znaky veřejné podpory, nebude takový projekt podpořen.</w:t>
            </w:r>
          </w:p>
        </w:tc>
      </w:tr>
      <w:tr w:rsidR="00D169DE" w14:paraId="048A3CBA" w14:textId="77777777" w:rsidTr="3D1952B0">
        <w:tc>
          <w:tcPr>
            <w:tcW w:w="2405" w:type="dxa"/>
          </w:tcPr>
          <w:p w14:paraId="4F774F7B" w14:textId="77777777" w:rsidR="00D169DE" w:rsidRPr="00852465"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Uveďte dobu implementace</w:t>
            </w:r>
          </w:p>
        </w:tc>
        <w:tc>
          <w:tcPr>
            <w:tcW w:w="7223" w:type="dxa"/>
          </w:tcPr>
          <w:p w14:paraId="2F30F741" w14:textId="1A759F10" w:rsidR="00D169DE" w:rsidRDefault="52666465"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 xml:space="preserve">Všechny projekty budou </w:t>
            </w:r>
            <w:proofErr w:type="spellStart"/>
            <w:r w:rsidRPr="3EE66962">
              <w:rPr>
                <w:rFonts w:asciiTheme="minorHAnsi" w:eastAsiaTheme="minorEastAsia" w:hAnsiTheme="minorHAnsi" w:cstheme="minorBidi"/>
                <w:sz w:val="20"/>
                <w:szCs w:val="20"/>
              </w:rPr>
              <w:t>zasmluvněny</w:t>
            </w:r>
            <w:proofErr w:type="spellEnd"/>
            <w:r w:rsidRPr="3EE66962">
              <w:rPr>
                <w:rFonts w:asciiTheme="minorHAnsi" w:eastAsiaTheme="minorEastAsia" w:hAnsiTheme="minorHAnsi" w:cstheme="minorBidi"/>
                <w:sz w:val="20"/>
                <w:szCs w:val="20"/>
              </w:rPr>
              <w:t xml:space="preserve"> do konce roku 2023 a realizovány od roku 202</w:t>
            </w:r>
            <w:r w:rsidR="734F62FE" w:rsidRPr="3EE66962">
              <w:rPr>
                <w:rFonts w:asciiTheme="minorHAnsi" w:eastAsiaTheme="minorEastAsia" w:hAnsiTheme="minorHAnsi" w:cstheme="minorBidi"/>
                <w:sz w:val="20"/>
                <w:szCs w:val="20"/>
              </w:rPr>
              <w:t>2</w:t>
            </w:r>
            <w:r w:rsidRPr="3EE66962">
              <w:rPr>
                <w:rFonts w:asciiTheme="minorHAnsi" w:eastAsiaTheme="minorEastAsia" w:hAnsiTheme="minorHAnsi" w:cstheme="minorBidi"/>
                <w:sz w:val="20"/>
                <w:szCs w:val="20"/>
              </w:rPr>
              <w:t xml:space="preserve"> do konce roku 2025.</w:t>
            </w:r>
          </w:p>
        </w:tc>
      </w:tr>
    </w:tbl>
    <w:p w14:paraId="123F03DC" w14:textId="7A74515E" w:rsidR="3D5D2481" w:rsidRDefault="3D5D2481" w:rsidP="3EE66962">
      <w:pPr>
        <w:pStyle w:val="K-Tabulka"/>
        <w:rPr>
          <w:rFonts w:eastAsia="Calibri"/>
        </w:rPr>
      </w:pPr>
    </w:p>
    <w:p w14:paraId="5F009925" w14:textId="0C1B5BEB" w:rsidR="3EE66962" w:rsidRDefault="3EE66962" w:rsidP="3EE66962">
      <w:pPr>
        <w:pStyle w:val="K-Tabulka"/>
        <w:rPr>
          <w:rFonts w:eastAsia="Calibri"/>
        </w:rPr>
      </w:pPr>
    </w:p>
    <w:p w14:paraId="37E4638B" w14:textId="531C2504" w:rsidR="003C04B2" w:rsidRDefault="64554424" w:rsidP="3D1952B0">
      <w:pPr>
        <w:pStyle w:val="K-Tabulka"/>
        <w:rPr>
          <w:rFonts w:asciiTheme="minorHAnsi" w:eastAsiaTheme="minorEastAsia" w:hAnsiTheme="minorHAnsi" w:cstheme="minorBidi"/>
          <w:sz w:val="20"/>
          <w:szCs w:val="20"/>
        </w:rPr>
      </w:pPr>
      <w:r w:rsidRPr="3D1952B0">
        <w:rPr>
          <w:rFonts w:asciiTheme="minorHAnsi" w:eastAsiaTheme="minorEastAsia" w:hAnsiTheme="minorHAnsi" w:cstheme="minorBidi"/>
          <w:sz w:val="20"/>
          <w:szCs w:val="20"/>
        </w:rPr>
        <w:lastRenderedPageBreak/>
        <w:t>2.8.3</w:t>
      </w:r>
      <w:r w:rsidR="4FD7BD45" w:rsidRPr="3D1952B0">
        <w:rPr>
          <w:rFonts w:asciiTheme="minorHAnsi" w:eastAsiaTheme="minorEastAsia" w:hAnsiTheme="minorHAnsi" w:cstheme="minorBidi"/>
          <w:sz w:val="20"/>
          <w:szCs w:val="20"/>
        </w:rPr>
        <w:t>.</w:t>
      </w:r>
      <w:r w:rsidR="54A75639" w:rsidRPr="3D1952B0">
        <w:rPr>
          <w:rFonts w:asciiTheme="minorHAnsi" w:eastAsiaTheme="minorEastAsia" w:hAnsiTheme="minorHAnsi" w:cstheme="minorBidi"/>
          <w:sz w:val="20"/>
          <w:szCs w:val="20"/>
        </w:rPr>
        <w:t xml:space="preserve"> </w:t>
      </w:r>
      <w:r w:rsidR="45EA9BD1" w:rsidRPr="3D1952B0">
        <w:rPr>
          <w:rFonts w:asciiTheme="minorHAnsi" w:eastAsiaTheme="minorEastAsia" w:hAnsiTheme="minorHAnsi" w:cstheme="minorBidi"/>
          <w:sz w:val="20"/>
          <w:szCs w:val="20"/>
        </w:rPr>
        <w:t>Investiční</w:t>
      </w:r>
      <w:r w:rsidR="54A75639" w:rsidRPr="3D1952B0">
        <w:rPr>
          <w:rFonts w:asciiTheme="minorHAnsi" w:eastAsiaTheme="minorEastAsia" w:hAnsiTheme="minorHAnsi" w:cstheme="minorBidi"/>
          <w:sz w:val="20"/>
          <w:szCs w:val="20"/>
        </w:rPr>
        <w:t xml:space="preserve"> podpora regenerace </w:t>
      </w:r>
      <w:proofErr w:type="spellStart"/>
      <w:r w:rsidR="54A75639" w:rsidRPr="3D1952B0">
        <w:rPr>
          <w:rFonts w:asciiTheme="minorHAnsi" w:eastAsiaTheme="minorEastAsia" w:hAnsiTheme="minorHAnsi" w:cstheme="minorBidi"/>
          <w:sz w:val="20"/>
          <w:szCs w:val="20"/>
        </w:rPr>
        <w:t>brownfieldů</w:t>
      </w:r>
      <w:proofErr w:type="spellEnd"/>
      <w:r w:rsidR="54A75639" w:rsidRPr="3D1952B0">
        <w:rPr>
          <w:rFonts w:asciiTheme="minorHAnsi" w:eastAsiaTheme="minorEastAsia" w:hAnsiTheme="minorHAnsi" w:cstheme="minorBidi"/>
          <w:sz w:val="20"/>
          <w:szCs w:val="20"/>
        </w:rPr>
        <w:t xml:space="preserve"> ve vlastnictví obcí a krajů pro podnikatelské využití</w:t>
      </w:r>
      <w:r w:rsidR="748CE473" w:rsidRPr="3D1952B0">
        <w:rPr>
          <w:rFonts w:asciiTheme="minorHAnsi" w:eastAsiaTheme="minorEastAsia" w:hAnsiTheme="minorHAnsi" w:cstheme="minorBidi"/>
          <w:sz w:val="20"/>
          <w:szCs w:val="20"/>
        </w:rPr>
        <w:t xml:space="preserve"> </w:t>
      </w:r>
    </w:p>
    <w:tbl>
      <w:tblPr>
        <w:tblStyle w:val="Mkatabulky"/>
        <w:tblW w:w="0" w:type="auto"/>
        <w:tblLook w:val="04A0" w:firstRow="1" w:lastRow="0" w:firstColumn="1" w:lastColumn="0" w:noHBand="0" w:noVBand="1"/>
      </w:tblPr>
      <w:tblGrid>
        <w:gridCol w:w="2405"/>
        <w:gridCol w:w="7223"/>
      </w:tblGrid>
      <w:tr w:rsidR="202C2362" w14:paraId="547BCA32" w14:textId="77777777" w:rsidTr="3D1952B0">
        <w:tc>
          <w:tcPr>
            <w:tcW w:w="2405" w:type="dxa"/>
          </w:tcPr>
          <w:p w14:paraId="44D80362" w14:textId="0D4A873B" w:rsidR="202C2362" w:rsidRDefault="27ED02C0"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Výzva</w:t>
            </w:r>
          </w:p>
        </w:tc>
        <w:tc>
          <w:tcPr>
            <w:tcW w:w="7223" w:type="dxa"/>
          </w:tcPr>
          <w:p w14:paraId="52108FBE" w14:textId="79C4DB5F" w:rsidR="202C2362" w:rsidRPr="008E750B" w:rsidRDefault="43F98640" w:rsidP="3D1952B0">
            <w:pPr>
              <w:pStyle w:val="K-TextInfo"/>
              <w:spacing w:after="81"/>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Zlepšení životního prostředí a socioekonomický</w:t>
            </w:r>
            <w:r w:rsidR="137F27B2" w:rsidRPr="3D1952B0">
              <w:rPr>
                <w:rFonts w:asciiTheme="minorHAnsi" w:eastAsiaTheme="minorEastAsia" w:hAnsiTheme="minorHAnsi" w:cstheme="minorBidi"/>
                <w:i w:val="0"/>
                <w:iCs w:val="0"/>
                <w:color w:val="auto"/>
                <w:sz w:val="20"/>
                <w:szCs w:val="20"/>
              </w:rPr>
              <w:t>c</w:t>
            </w:r>
            <w:r w:rsidRPr="3D1952B0">
              <w:rPr>
                <w:rFonts w:asciiTheme="minorHAnsi" w:eastAsiaTheme="minorEastAsia" w:hAnsiTheme="minorHAnsi" w:cstheme="minorBidi"/>
                <w:i w:val="0"/>
                <w:iCs w:val="0"/>
                <w:color w:val="auto"/>
                <w:sz w:val="20"/>
                <w:szCs w:val="20"/>
              </w:rPr>
              <w:t xml:space="preserve">h podmínek v obcích a městech pomocí regenerace lokalit typu </w:t>
            </w:r>
            <w:proofErr w:type="spellStart"/>
            <w:r w:rsidRPr="3D1952B0">
              <w:rPr>
                <w:rFonts w:asciiTheme="minorHAnsi" w:eastAsiaTheme="minorEastAsia" w:hAnsiTheme="minorHAnsi" w:cstheme="minorBidi"/>
                <w:i w:val="0"/>
                <w:iCs w:val="0"/>
                <w:color w:val="auto"/>
                <w:sz w:val="20"/>
                <w:szCs w:val="20"/>
              </w:rPr>
              <w:t>brownf</w:t>
            </w:r>
            <w:r w:rsidR="7D8278A2" w:rsidRPr="3D1952B0">
              <w:rPr>
                <w:rFonts w:asciiTheme="minorHAnsi" w:eastAsiaTheme="minorEastAsia" w:hAnsiTheme="minorHAnsi" w:cstheme="minorBidi"/>
                <w:i w:val="0"/>
                <w:iCs w:val="0"/>
                <w:color w:val="auto"/>
                <w:sz w:val="20"/>
                <w:szCs w:val="20"/>
              </w:rPr>
              <w:t>ields</w:t>
            </w:r>
            <w:proofErr w:type="spellEnd"/>
            <w:r w:rsidR="7D8278A2" w:rsidRPr="3D1952B0">
              <w:rPr>
                <w:rFonts w:asciiTheme="minorHAnsi" w:eastAsiaTheme="minorEastAsia" w:hAnsiTheme="minorHAnsi" w:cstheme="minorBidi"/>
                <w:i w:val="0"/>
                <w:iCs w:val="0"/>
                <w:color w:val="auto"/>
                <w:sz w:val="20"/>
                <w:szCs w:val="20"/>
              </w:rPr>
              <w:t>. Zchátralé a n</w:t>
            </w:r>
            <w:r w:rsidR="35C9D0A2" w:rsidRPr="3D1952B0">
              <w:rPr>
                <w:rFonts w:asciiTheme="minorHAnsi" w:eastAsiaTheme="minorEastAsia" w:hAnsiTheme="minorHAnsi" w:cstheme="minorBidi"/>
                <w:i w:val="0"/>
                <w:iCs w:val="0"/>
                <w:color w:val="auto"/>
                <w:sz w:val="20"/>
                <w:szCs w:val="20"/>
              </w:rPr>
              <w:t>e</w:t>
            </w:r>
            <w:r w:rsidR="7D8278A2" w:rsidRPr="3D1952B0">
              <w:rPr>
                <w:rFonts w:asciiTheme="minorHAnsi" w:eastAsiaTheme="minorEastAsia" w:hAnsiTheme="minorHAnsi" w:cstheme="minorBidi"/>
                <w:i w:val="0"/>
                <w:iCs w:val="0"/>
                <w:color w:val="auto"/>
                <w:sz w:val="20"/>
                <w:szCs w:val="20"/>
              </w:rPr>
              <w:t xml:space="preserve">využité lokality typu </w:t>
            </w:r>
            <w:proofErr w:type="spellStart"/>
            <w:r w:rsidR="7D8278A2" w:rsidRPr="3D1952B0">
              <w:rPr>
                <w:rFonts w:asciiTheme="minorHAnsi" w:eastAsiaTheme="minorEastAsia" w:hAnsiTheme="minorHAnsi" w:cstheme="minorBidi"/>
                <w:i w:val="0"/>
                <w:iCs w:val="0"/>
                <w:color w:val="auto"/>
                <w:sz w:val="20"/>
                <w:szCs w:val="20"/>
              </w:rPr>
              <w:t>brownfields</w:t>
            </w:r>
            <w:proofErr w:type="spellEnd"/>
            <w:r w:rsidR="7D8278A2" w:rsidRPr="3D1952B0">
              <w:rPr>
                <w:rFonts w:asciiTheme="minorHAnsi" w:eastAsiaTheme="minorEastAsia" w:hAnsiTheme="minorHAnsi" w:cstheme="minorBidi"/>
                <w:i w:val="0"/>
                <w:iCs w:val="0"/>
                <w:color w:val="auto"/>
                <w:sz w:val="20"/>
                <w:szCs w:val="20"/>
              </w:rPr>
              <w:t xml:space="preserve"> vznikají zejména tam, kde trh není scho</w:t>
            </w:r>
            <w:r w:rsidR="35C9D0A2" w:rsidRPr="3D1952B0">
              <w:rPr>
                <w:rFonts w:asciiTheme="minorHAnsi" w:eastAsiaTheme="minorEastAsia" w:hAnsiTheme="minorHAnsi" w:cstheme="minorBidi"/>
                <w:i w:val="0"/>
                <w:iCs w:val="0"/>
                <w:color w:val="auto"/>
                <w:sz w:val="20"/>
                <w:szCs w:val="20"/>
              </w:rPr>
              <w:t>pe</w:t>
            </w:r>
            <w:r w:rsidR="7D8278A2" w:rsidRPr="3D1952B0">
              <w:rPr>
                <w:rFonts w:asciiTheme="minorHAnsi" w:eastAsiaTheme="minorEastAsia" w:hAnsiTheme="minorHAnsi" w:cstheme="minorBidi"/>
                <w:i w:val="0"/>
                <w:iCs w:val="0"/>
                <w:color w:val="auto"/>
                <w:sz w:val="20"/>
                <w:szCs w:val="20"/>
              </w:rPr>
              <w:t>n samostatně vyřešit jejich regen</w:t>
            </w:r>
            <w:r w:rsidR="35C9D0A2" w:rsidRPr="3D1952B0">
              <w:rPr>
                <w:rFonts w:asciiTheme="minorHAnsi" w:eastAsiaTheme="minorEastAsia" w:hAnsiTheme="minorHAnsi" w:cstheme="minorBidi"/>
                <w:i w:val="0"/>
                <w:iCs w:val="0"/>
                <w:color w:val="auto"/>
                <w:sz w:val="20"/>
                <w:szCs w:val="20"/>
              </w:rPr>
              <w:t>e</w:t>
            </w:r>
            <w:r w:rsidR="7D8278A2" w:rsidRPr="3D1952B0">
              <w:rPr>
                <w:rFonts w:asciiTheme="minorHAnsi" w:eastAsiaTheme="minorEastAsia" w:hAnsiTheme="minorHAnsi" w:cstheme="minorBidi"/>
                <w:i w:val="0"/>
                <w:iCs w:val="0"/>
                <w:color w:val="auto"/>
                <w:sz w:val="20"/>
                <w:szCs w:val="20"/>
              </w:rPr>
              <w:t xml:space="preserve">raci a revitalizaci do </w:t>
            </w:r>
            <w:proofErr w:type="spellStart"/>
            <w:r w:rsidR="7D8278A2" w:rsidRPr="3D1952B0">
              <w:rPr>
                <w:rFonts w:asciiTheme="minorHAnsi" w:eastAsiaTheme="minorEastAsia" w:hAnsiTheme="minorHAnsi" w:cstheme="minorBidi"/>
                <w:i w:val="0"/>
                <w:iCs w:val="0"/>
                <w:color w:val="auto"/>
                <w:sz w:val="20"/>
                <w:szCs w:val="20"/>
              </w:rPr>
              <w:t>znovuschopného</w:t>
            </w:r>
            <w:proofErr w:type="spellEnd"/>
            <w:r w:rsidR="7D8278A2" w:rsidRPr="3D1952B0">
              <w:rPr>
                <w:rFonts w:asciiTheme="minorHAnsi" w:eastAsiaTheme="minorEastAsia" w:hAnsiTheme="minorHAnsi" w:cstheme="minorBidi"/>
                <w:i w:val="0"/>
                <w:iCs w:val="0"/>
                <w:color w:val="auto"/>
                <w:sz w:val="20"/>
                <w:szCs w:val="20"/>
              </w:rPr>
              <w:t xml:space="preserve"> provozu, případně jejich odstraněním z</w:t>
            </w:r>
            <w:r w:rsidR="411BBC04" w:rsidRPr="3D1952B0">
              <w:rPr>
                <w:rFonts w:asciiTheme="minorHAnsi" w:eastAsiaTheme="minorEastAsia" w:hAnsiTheme="minorHAnsi" w:cstheme="minorBidi"/>
                <w:i w:val="0"/>
                <w:iCs w:val="0"/>
                <w:color w:val="auto"/>
                <w:sz w:val="20"/>
                <w:szCs w:val="20"/>
              </w:rPr>
              <w:t xml:space="preserve">ískat nové plochy k podnikání a </w:t>
            </w:r>
            <w:r w:rsidR="35C9D0A2" w:rsidRPr="3D1952B0">
              <w:rPr>
                <w:rFonts w:asciiTheme="minorHAnsi" w:eastAsiaTheme="minorEastAsia" w:hAnsiTheme="minorHAnsi" w:cstheme="minorBidi"/>
                <w:i w:val="0"/>
                <w:iCs w:val="0"/>
                <w:color w:val="auto"/>
                <w:sz w:val="20"/>
                <w:szCs w:val="20"/>
              </w:rPr>
              <w:t>realizaci</w:t>
            </w:r>
            <w:r w:rsidR="411BBC04" w:rsidRPr="3D1952B0">
              <w:rPr>
                <w:rFonts w:asciiTheme="minorHAnsi" w:eastAsiaTheme="minorEastAsia" w:hAnsiTheme="minorHAnsi" w:cstheme="minorBidi"/>
                <w:i w:val="0"/>
                <w:iCs w:val="0"/>
                <w:color w:val="auto"/>
                <w:sz w:val="20"/>
                <w:szCs w:val="20"/>
              </w:rPr>
              <w:t xml:space="preserve"> </w:t>
            </w:r>
            <w:r w:rsidR="35C9D0A2" w:rsidRPr="3D1952B0">
              <w:rPr>
                <w:rFonts w:asciiTheme="minorHAnsi" w:eastAsiaTheme="minorEastAsia" w:hAnsiTheme="minorHAnsi" w:cstheme="minorBidi"/>
                <w:i w:val="0"/>
                <w:iCs w:val="0"/>
                <w:color w:val="auto"/>
                <w:sz w:val="20"/>
                <w:szCs w:val="20"/>
              </w:rPr>
              <w:t>podnikatelských</w:t>
            </w:r>
            <w:r w:rsidR="411BBC04" w:rsidRPr="3D1952B0">
              <w:rPr>
                <w:rFonts w:asciiTheme="minorHAnsi" w:eastAsiaTheme="minorEastAsia" w:hAnsiTheme="minorHAnsi" w:cstheme="minorBidi"/>
                <w:i w:val="0"/>
                <w:iCs w:val="0"/>
                <w:color w:val="auto"/>
                <w:sz w:val="20"/>
                <w:szCs w:val="20"/>
              </w:rPr>
              <w:t xml:space="preserve"> záměrů. Podporou regenerace těchto lokalit dojde zejména ke zlepšení životního prostřed</w:t>
            </w:r>
            <w:r w:rsidR="430283DF" w:rsidRPr="3D1952B0">
              <w:rPr>
                <w:rFonts w:asciiTheme="minorHAnsi" w:eastAsiaTheme="minorEastAsia" w:hAnsiTheme="minorHAnsi" w:cstheme="minorBidi"/>
                <w:i w:val="0"/>
                <w:iCs w:val="0"/>
                <w:color w:val="auto"/>
                <w:sz w:val="20"/>
                <w:szCs w:val="20"/>
              </w:rPr>
              <w:t>í a přípravy nových ploch nebo</w:t>
            </w:r>
            <w:r w:rsidR="748CE473" w:rsidRPr="3D1952B0">
              <w:rPr>
                <w:rFonts w:asciiTheme="minorHAnsi" w:eastAsiaTheme="minorEastAsia" w:hAnsiTheme="minorHAnsi" w:cstheme="minorBidi"/>
                <w:i w:val="0"/>
                <w:iCs w:val="0"/>
                <w:color w:val="auto"/>
                <w:sz w:val="20"/>
                <w:szCs w:val="20"/>
              </w:rPr>
              <w:t xml:space="preserve"> </w:t>
            </w:r>
            <w:r w:rsidR="430283DF" w:rsidRPr="3D1952B0">
              <w:rPr>
                <w:rFonts w:asciiTheme="minorHAnsi" w:eastAsiaTheme="minorEastAsia" w:hAnsiTheme="minorHAnsi" w:cstheme="minorBidi"/>
                <w:i w:val="0"/>
                <w:iCs w:val="0"/>
                <w:color w:val="auto"/>
                <w:sz w:val="20"/>
                <w:szCs w:val="20"/>
              </w:rPr>
              <w:t xml:space="preserve">rekonstruovaných objektů vhodných k podnikatelskému využití. Tím i </w:t>
            </w:r>
            <w:r w:rsidR="6A8412EB" w:rsidRPr="3D1952B0">
              <w:rPr>
                <w:rFonts w:asciiTheme="minorHAnsi" w:eastAsiaTheme="minorEastAsia" w:hAnsiTheme="minorHAnsi" w:cstheme="minorBidi"/>
                <w:i w:val="0"/>
                <w:iCs w:val="0"/>
                <w:color w:val="auto"/>
                <w:sz w:val="20"/>
                <w:szCs w:val="20"/>
              </w:rPr>
              <w:t xml:space="preserve">ke </w:t>
            </w:r>
            <w:r w:rsidR="430283DF" w:rsidRPr="3D1952B0">
              <w:rPr>
                <w:rFonts w:asciiTheme="minorHAnsi" w:eastAsiaTheme="minorEastAsia" w:hAnsiTheme="minorHAnsi" w:cstheme="minorBidi"/>
                <w:i w:val="0"/>
                <w:iCs w:val="0"/>
                <w:color w:val="auto"/>
                <w:sz w:val="20"/>
                <w:szCs w:val="20"/>
              </w:rPr>
              <w:t>vzniku nových pracovních příležitostí, snižování soci</w:t>
            </w:r>
            <w:r w:rsidR="44CEA176" w:rsidRPr="3D1952B0">
              <w:rPr>
                <w:rFonts w:asciiTheme="minorHAnsi" w:eastAsiaTheme="minorEastAsia" w:hAnsiTheme="minorHAnsi" w:cstheme="minorBidi"/>
                <w:i w:val="0"/>
                <w:iCs w:val="0"/>
                <w:color w:val="auto"/>
                <w:sz w:val="20"/>
                <w:szCs w:val="20"/>
              </w:rPr>
              <w:t>álních disparit a zvyšování ekonomického potenciálu</w:t>
            </w:r>
            <w:r w:rsidR="748CE473" w:rsidRPr="3D1952B0">
              <w:rPr>
                <w:rFonts w:asciiTheme="minorHAnsi" w:eastAsiaTheme="minorEastAsia" w:hAnsiTheme="minorHAnsi" w:cstheme="minorBidi"/>
                <w:i w:val="0"/>
                <w:iCs w:val="0"/>
                <w:color w:val="auto"/>
                <w:sz w:val="20"/>
                <w:szCs w:val="20"/>
              </w:rPr>
              <w:t xml:space="preserve"> </w:t>
            </w:r>
            <w:r w:rsidR="44CEA176" w:rsidRPr="3D1952B0">
              <w:rPr>
                <w:rFonts w:asciiTheme="minorHAnsi" w:eastAsiaTheme="minorEastAsia" w:hAnsiTheme="minorHAnsi" w:cstheme="minorBidi"/>
                <w:i w:val="0"/>
                <w:iCs w:val="0"/>
                <w:color w:val="auto"/>
                <w:sz w:val="20"/>
                <w:szCs w:val="20"/>
              </w:rPr>
              <w:t>zejména na úrovni m</w:t>
            </w:r>
            <w:r w:rsidR="35C9D0A2" w:rsidRPr="3D1952B0">
              <w:rPr>
                <w:rFonts w:asciiTheme="minorHAnsi" w:eastAsiaTheme="minorEastAsia" w:hAnsiTheme="minorHAnsi" w:cstheme="minorBidi"/>
                <w:i w:val="0"/>
                <w:iCs w:val="0"/>
                <w:color w:val="auto"/>
                <w:sz w:val="20"/>
                <w:szCs w:val="20"/>
              </w:rPr>
              <w:t>i</w:t>
            </w:r>
            <w:r w:rsidR="44CEA176" w:rsidRPr="3D1952B0">
              <w:rPr>
                <w:rFonts w:asciiTheme="minorHAnsi" w:eastAsiaTheme="minorEastAsia" w:hAnsiTheme="minorHAnsi" w:cstheme="minorBidi"/>
                <w:i w:val="0"/>
                <w:iCs w:val="0"/>
                <w:color w:val="auto"/>
                <w:sz w:val="20"/>
                <w:szCs w:val="20"/>
              </w:rPr>
              <w:t>kroregionů.</w:t>
            </w:r>
          </w:p>
        </w:tc>
      </w:tr>
      <w:tr w:rsidR="202C2362" w14:paraId="099F52CA" w14:textId="77777777" w:rsidTr="3D1952B0">
        <w:tc>
          <w:tcPr>
            <w:tcW w:w="2405" w:type="dxa"/>
          </w:tcPr>
          <w:p w14:paraId="72CB4B12" w14:textId="10FDBFDD" w:rsidR="202C2362" w:rsidRDefault="27ED02C0"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Cíl</w:t>
            </w:r>
          </w:p>
        </w:tc>
        <w:tc>
          <w:tcPr>
            <w:tcW w:w="7223" w:type="dxa"/>
          </w:tcPr>
          <w:p w14:paraId="7758A572" w14:textId="20FFC143" w:rsidR="00244534" w:rsidRDefault="1CFACBED" w:rsidP="3D1952B0">
            <w:pPr>
              <w:pStyle w:val="K-TextInfo"/>
              <w:spacing w:after="81"/>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 xml:space="preserve">Pomocí dotačního nástroje </w:t>
            </w:r>
            <w:r w:rsidR="5EDD667F" w:rsidRPr="3D1952B0">
              <w:rPr>
                <w:rFonts w:asciiTheme="minorHAnsi" w:eastAsiaTheme="minorEastAsia" w:hAnsiTheme="minorHAnsi" w:cstheme="minorBidi"/>
                <w:i w:val="0"/>
                <w:iCs w:val="0"/>
                <w:color w:val="auto"/>
                <w:sz w:val="20"/>
                <w:szCs w:val="20"/>
              </w:rPr>
              <w:t xml:space="preserve">proběhne </w:t>
            </w:r>
            <w:r w:rsidRPr="3D1952B0">
              <w:rPr>
                <w:rFonts w:asciiTheme="minorHAnsi" w:eastAsiaTheme="minorEastAsia" w:hAnsiTheme="minorHAnsi" w:cstheme="minorBidi"/>
                <w:i w:val="0"/>
                <w:iCs w:val="0"/>
                <w:color w:val="auto"/>
                <w:sz w:val="20"/>
                <w:szCs w:val="20"/>
              </w:rPr>
              <w:t>revitalizace zanedbaných lo</w:t>
            </w:r>
            <w:r w:rsidR="5EDD667F" w:rsidRPr="3D1952B0">
              <w:rPr>
                <w:rFonts w:asciiTheme="minorHAnsi" w:eastAsiaTheme="minorEastAsia" w:hAnsiTheme="minorHAnsi" w:cstheme="minorBidi"/>
                <w:i w:val="0"/>
                <w:iCs w:val="0"/>
                <w:color w:val="auto"/>
                <w:sz w:val="20"/>
                <w:szCs w:val="20"/>
              </w:rPr>
              <w:t xml:space="preserve">kalit </w:t>
            </w:r>
            <w:proofErr w:type="spellStart"/>
            <w:r w:rsidR="5EDD667F" w:rsidRPr="3D1952B0">
              <w:rPr>
                <w:rFonts w:asciiTheme="minorHAnsi" w:eastAsiaTheme="minorEastAsia" w:hAnsiTheme="minorHAnsi" w:cstheme="minorBidi"/>
                <w:i w:val="0"/>
                <w:iCs w:val="0"/>
                <w:color w:val="auto"/>
                <w:sz w:val="20"/>
                <w:szCs w:val="20"/>
              </w:rPr>
              <w:t>brownfieldů</w:t>
            </w:r>
            <w:proofErr w:type="spellEnd"/>
            <w:r w:rsidR="5EDD667F" w:rsidRPr="3D1952B0">
              <w:rPr>
                <w:rFonts w:asciiTheme="minorHAnsi" w:eastAsiaTheme="minorEastAsia" w:hAnsiTheme="minorHAnsi" w:cstheme="minorBidi"/>
                <w:i w:val="0"/>
                <w:iCs w:val="0"/>
                <w:color w:val="auto"/>
                <w:sz w:val="20"/>
                <w:szCs w:val="20"/>
              </w:rPr>
              <w:t xml:space="preserve"> včetně odstraně</w:t>
            </w:r>
            <w:r w:rsidRPr="3D1952B0">
              <w:rPr>
                <w:rFonts w:asciiTheme="minorHAnsi" w:eastAsiaTheme="minorEastAsia" w:hAnsiTheme="minorHAnsi" w:cstheme="minorBidi"/>
                <w:i w:val="0"/>
                <w:iCs w:val="0"/>
                <w:color w:val="auto"/>
                <w:sz w:val="20"/>
                <w:szCs w:val="20"/>
              </w:rPr>
              <w:t>ní ekologických zátěží</w:t>
            </w:r>
            <w:r w:rsidR="760264C5" w:rsidRPr="3D1952B0">
              <w:rPr>
                <w:rFonts w:asciiTheme="minorHAnsi" w:eastAsiaTheme="minorEastAsia" w:hAnsiTheme="minorHAnsi" w:cstheme="minorBidi"/>
                <w:i w:val="0"/>
                <w:iCs w:val="0"/>
                <w:color w:val="auto"/>
                <w:sz w:val="20"/>
                <w:szCs w:val="20"/>
              </w:rPr>
              <w:t xml:space="preserve"> </w:t>
            </w:r>
            <w:r w:rsidR="5EDD667F" w:rsidRPr="3D1952B0">
              <w:rPr>
                <w:rFonts w:asciiTheme="minorHAnsi" w:eastAsiaTheme="minorEastAsia" w:hAnsiTheme="minorHAnsi" w:cstheme="minorBidi"/>
                <w:i w:val="0"/>
                <w:iCs w:val="0"/>
                <w:color w:val="auto"/>
                <w:sz w:val="20"/>
                <w:szCs w:val="20"/>
              </w:rPr>
              <w:t xml:space="preserve">menšího rozsahu </w:t>
            </w:r>
            <w:r w:rsidRPr="3D1952B0">
              <w:rPr>
                <w:rFonts w:asciiTheme="minorHAnsi" w:eastAsiaTheme="minorEastAsia" w:hAnsiTheme="minorHAnsi" w:cstheme="minorBidi"/>
                <w:i w:val="0"/>
                <w:iCs w:val="0"/>
                <w:color w:val="auto"/>
                <w:sz w:val="20"/>
                <w:szCs w:val="20"/>
              </w:rPr>
              <w:t>ve vlastnictví mun</w:t>
            </w:r>
            <w:r w:rsidR="6096E797" w:rsidRPr="3D1952B0">
              <w:rPr>
                <w:rFonts w:asciiTheme="minorHAnsi" w:eastAsiaTheme="minorEastAsia" w:hAnsiTheme="minorHAnsi" w:cstheme="minorBidi"/>
                <w:i w:val="0"/>
                <w:iCs w:val="0"/>
                <w:color w:val="auto"/>
                <w:sz w:val="20"/>
                <w:szCs w:val="20"/>
              </w:rPr>
              <w:t xml:space="preserve">icipalit zejména pro podnikatelské využití (v omezené míře pro </w:t>
            </w:r>
            <w:r w:rsidR="7B67F19D" w:rsidRPr="3D1952B0">
              <w:rPr>
                <w:rFonts w:asciiTheme="minorHAnsi" w:eastAsiaTheme="minorEastAsia" w:hAnsiTheme="minorHAnsi" w:cstheme="minorBidi"/>
                <w:i w:val="0"/>
                <w:iCs w:val="0"/>
                <w:color w:val="auto"/>
                <w:sz w:val="20"/>
                <w:szCs w:val="20"/>
              </w:rPr>
              <w:t>nepodnikatelské</w:t>
            </w:r>
            <w:r w:rsidR="6096E797" w:rsidRPr="3D1952B0">
              <w:rPr>
                <w:rFonts w:asciiTheme="minorHAnsi" w:eastAsiaTheme="minorEastAsia" w:hAnsiTheme="minorHAnsi" w:cstheme="minorBidi"/>
                <w:i w:val="0"/>
                <w:iCs w:val="0"/>
                <w:color w:val="auto"/>
                <w:sz w:val="20"/>
                <w:szCs w:val="20"/>
              </w:rPr>
              <w:t xml:space="preserve"> využití). </w:t>
            </w:r>
            <w:r w:rsidR="4DDDF634" w:rsidRPr="3D1952B0">
              <w:rPr>
                <w:rFonts w:asciiTheme="minorHAnsi" w:eastAsiaTheme="minorEastAsia" w:hAnsiTheme="minorHAnsi" w:cstheme="minorBidi"/>
                <w:i w:val="0"/>
                <w:iCs w:val="0"/>
                <w:color w:val="auto"/>
                <w:sz w:val="20"/>
                <w:szCs w:val="20"/>
              </w:rPr>
              <w:t>Zároveň bude kladen důraz na důsledné</w:t>
            </w:r>
            <w:r w:rsidR="614ECA9B" w:rsidRPr="3D1952B0">
              <w:rPr>
                <w:rFonts w:asciiTheme="minorHAnsi" w:eastAsiaTheme="minorEastAsia" w:hAnsiTheme="minorHAnsi" w:cstheme="minorBidi"/>
                <w:i w:val="0"/>
                <w:iCs w:val="0"/>
                <w:color w:val="auto"/>
                <w:sz w:val="20"/>
                <w:szCs w:val="20"/>
              </w:rPr>
              <w:t xml:space="preserve"> </w:t>
            </w:r>
            <w:r w:rsidR="2601CE64" w:rsidRPr="3D1952B0">
              <w:rPr>
                <w:rFonts w:asciiTheme="minorHAnsi" w:eastAsiaTheme="minorEastAsia" w:hAnsiTheme="minorHAnsi" w:cstheme="minorBidi"/>
                <w:i w:val="0"/>
                <w:iCs w:val="0"/>
                <w:color w:val="auto"/>
                <w:sz w:val="20"/>
                <w:szCs w:val="20"/>
              </w:rPr>
              <w:t xml:space="preserve">dodržování zásad </w:t>
            </w:r>
            <w:r w:rsidR="7B67F19D" w:rsidRPr="3D1952B0">
              <w:rPr>
                <w:rFonts w:asciiTheme="minorHAnsi" w:eastAsiaTheme="minorEastAsia" w:hAnsiTheme="minorHAnsi" w:cstheme="minorBidi"/>
                <w:i w:val="0"/>
                <w:iCs w:val="0"/>
                <w:color w:val="auto"/>
                <w:sz w:val="20"/>
                <w:szCs w:val="20"/>
              </w:rPr>
              <w:t>realizace</w:t>
            </w:r>
            <w:r w:rsidR="2601CE64" w:rsidRPr="3D1952B0">
              <w:rPr>
                <w:rFonts w:asciiTheme="minorHAnsi" w:eastAsiaTheme="minorEastAsia" w:hAnsiTheme="minorHAnsi" w:cstheme="minorBidi"/>
                <w:i w:val="0"/>
                <w:iCs w:val="0"/>
                <w:color w:val="auto"/>
                <w:sz w:val="20"/>
                <w:szCs w:val="20"/>
              </w:rPr>
              <w:t xml:space="preserve"> modrozelené infrastruktur</w:t>
            </w:r>
            <w:r w:rsidR="7D62D1DC" w:rsidRPr="3D1952B0">
              <w:rPr>
                <w:rFonts w:asciiTheme="minorHAnsi" w:eastAsiaTheme="minorEastAsia" w:hAnsiTheme="minorHAnsi" w:cstheme="minorBidi"/>
                <w:i w:val="0"/>
                <w:iCs w:val="0"/>
                <w:color w:val="auto"/>
                <w:sz w:val="20"/>
                <w:szCs w:val="20"/>
              </w:rPr>
              <w:t>y</w:t>
            </w:r>
            <w:r w:rsidR="2500968E" w:rsidRPr="3D1952B0">
              <w:rPr>
                <w:rFonts w:asciiTheme="minorHAnsi" w:eastAsiaTheme="minorEastAsia" w:hAnsiTheme="minorHAnsi" w:cstheme="minorBidi"/>
                <w:i w:val="0"/>
                <w:iCs w:val="0"/>
                <w:color w:val="auto"/>
                <w:sz w:val="20"/>
                <w:szCs w:val="20"/>
              </w:rPr>
              <w:t xml:space="preserve"> a energetický</w:t>
            </w:r>
            <w:r w:rsidR="38334E45" w:rsidRPr="3D1952B0">
              <w:rPr>
                <w:rFonts w:asciiTheme="minorHAnsi" w:eastAsiaTheme="minorEastAsia" w:hAnsiTheme="minorHAnsi" w:cstheme="minorBidi"/>
                <w:i w:val="0"/>
                <w:iCs w:val="0"/>
                <w:color w:val="auto"/>
                <w:sz w:val="20"/>
                <w:szCs w:val="20"/>
              </w:rPr>
              <w:t>c</w:t>
            </w:r>
            <w:r w:rsidR="2500968E" w:rsidRPr="3D1952B0">
              <w:rPr>
                <w:rFonts w:asciiTheme="minorHAnsi" w:eastAsiaTheme="minorEastAsia" w:hAnsiTheme="minorHAnsi" w:cstheme="minorBidi"/>
                <w:i w:val="0"/>
                <w:iCs w:val="0"/>
                <w:color w:val="auto"/>
                <w:sz w:val="20"/>
                <w:szCs w:val="20"/>
              </w:rPr>
              <w:t>h úspor</w:t>
            </w:r>
            <w:r w:rsidR="3EA0D1E4" w:rsidRPr="3D1952B0">
              <w:rPr>
                <w:rFonts w:asciiTheme="minorHAnsi" w:eastAsiaTheme="minorEastAsia" w:hAnsiTheme="minorHAnsi" w:cstheme="minorBidi"/>
                <w:i w:val="0"/>
                <w:iCs w:val="0"/>
                <w:color w:val="auto"/>
                <w:sz w:val="20"/>
                <w:szCs w:val="20"/>
              </w:rPr>
              <w:t>.</w:t>
            </w:r>
            <w:r w:rsidR="3EDA3818" w:rsidRPr="3D1952B0">
              <w:rPr>
                <w:rFonts w:asciiTheme="minorHAnsi" w:eastAsiaTheme="minorEastAsia" w:hAnsiTheme="minorHAnsi" w:cstheme="minorBidi"/>
                <w:i w:val="0"/>
                <w:iCs w:val="0"/>
                <w:color w:val="auto"/>
                <w:sz w:val="20"/>
                <w:szCs w:val="20"/>
              </w:rPr>
              <w:t xml:space="preserve"> </w:t>
            </w:r>
          </w:p>
          <w:p w14:paraId="0994CAB9" w14:textId="71F7D034" w:rsidR="202C2362" w:rsidRPr="008E750B" w:rsidRDefault="2DFFF012" w:rsidP="3D1952B0">
            <w:pPr>
              <w:pStyle w:val="K-TextInfo"/>
              <w:spacing w:after="81"/>
              <w:rPr>
                <w:rFonts w:asciiTheme="minorHAnsi" w:eastAsiaTheme="minorEastAsia" w:hAnsiTheme="minorHAnsi" w:cstheme="minorBidi"/>
                <w:i w:val="0"/>
                <w:iCs w:val="0"/>
                <w:color w:val="auto"/>
                <w:sz w:val="20"/>
                <w:szCs w:val="20"/>
              </w:rPr>
            </w:pPr>
            <w:r w:rsidRPr="3D1952B0">
              <w:rPr>
                <w:rFonts w:asciiTheme="minorHAnsi" w:eastAsiaTheme="minorEastAsia" w:hAnsiTheme="minorHAnsi" w:cstheme="minorBidi"/>
                <w:i w:val="0"/>
                <w:iCs w:val="0"/>
                <w:color w:val="auto"/>
                <w:sz w:val="20"/>
                <w:szCs w:val="20"/>
              </w:rPr>
              <w:t>V</w:t>
            </w:r>
            <w:r w:rsidR="4860132C" w:rsidRPr="3D1952B0">
              <w:rPr>
                <w:rFonts w:asciiTheme="minorHAnsi" w:eastAsiaTheme="minorEastAsia" w:hAnsiTheme="minorHAnsi" w:cstheme="minorBidi"/>
                <w:i w:val="0"/>
                <w:iCs w:val="0"/>
                <w:color w:val="auto"/>
                <w:sz w:val="20"/>
                <w:szCs w:val="20"/>
              </w:rPr>
              <w:t xml:space="preserve"> rámci investice </w:t>
            </w:r>
            <w:r w:rsidRPr="3D1952B0">
              <w:rPr>
                <w:rFonts w:asciiTheme="minorHAnsi" w:eastAsiaTheme="minorEastAsia" w:hAnsiTheme="minorHAnsi" w:cstheme="minorBidi"/>
                <w:i w:val="0"/>
                <w:iCs w:val="0"/>
                <w:color w:val="auto"/>
                <w:sz w:val="20"/>
                <w:szCs w:val="20"/>
              </w:rPr>
              <w:t>bude</w:t>
            </w:r>
            <w:r w:rsidR="2D1F04AD" w:rsidRPr="3D1952B0">
              <w:rPr>
                <w:rFonts w:asciiTheme="minorHAnsi" w:eastAsiaTheme="minorEastAsia" w:hAnsiTheme="minorHAnsi" w:cstheme="minorBidi"/>
                <w:i w:val="0"/>
                <w:iCs w:val="0"/>
                <w:color w:val="auto"/>
                <w:sz w:val="20"/>
                <w:szCs w:val="20"/>
              </w:rPr>
              <w:t xml:space="preserve"> podpořeno </w:t>
            </w:r>
            <w:r w:rsidR="7ED50269" w:rsidRPr="3D1952B0">
              <w:rPr>
                <w:rFonts w:asciiTheme="minorHAnsi" w:eastAsiaTheme="minorEastAsia" w:hAnsiTheme="minorHAnsi" w:cstheme="minorBidi"/>
                <w:i w:val="0"/>
                <w:iCs w:val="0"/>
                <w:color w:val="auto"/>
                <w:sz w:val="20"/>
                <w:szCs w:val="20"/>
              </w:rPr>
              <w:t>20</w:t>
            </w:r>
            <w:r w:rsidR="42CB2DAE" w:rsidRPr="3D1952B0">
              <w:rPr>
                <w:rFonts w:asciiTheme="minorHAnsi" w:eastAsiaTheme="minorEastAsia" w:hAnsiTheme="minorHAnsi" w:cstheme="minorBidi"/>
                <w:i w:val="0"/>
                <w:iCs w:val="0"/>
                <w:color w:val="auto"/>
                <w:sz w:val="20"/>
                <w:szCs w:val="20"/>
              </w:rPr>
              <w:t xml:space="preserve"> </w:t>
            </w:r>
            <w:r w:rsidR="2D1F04AD" w:rsidRPr="3D1952B0">
              <w:rPr>
                <w:rFonts w:asciiTheme="minorHAnsi" w:eastAsiaTheme="minorEastAsia" w:hAnsiTheme="minorHAnsi" w:cstheme="minorBidi"/>
                <w:i w:val="0"/>
                <w:iCs w:val="0"/>
                <w:color w:val="auto"/>
                <w:sz w:val="20"/>
                <w:szCs w:val="20"/>
              </w:rPr>
              <w:t>projektů revitaliza</w:t>
            </w:r>
            <w:r w:rsidRPr="3D1952B0">
              <w:rPr>
                <w:rFonts w:asciiTheme="minorHAnsi" w:eastAsiaTheme="minorEastAsia" w:hAnsiTheme="minorHAnsi" w:cstheme="minorBidi"/>
                <w:i w:val="0"/>
                <w:iCs w:val="0"/>
                <w:color w:val="auto"/>
                <w:sz w:val="20"/>
                <w:szCs w:val="20"/>
              </w:rPr>
              <w:t xml:space="preserve">ce lokalit </w:t>
            </w:r>
            <w:proofErr w:type="spellStart"/>
            <w:r w:rsidRPr="3D1952B0">
              <w:rPr>
                <w:rFonts w:asciiTheme="minorHAnsi" w:eastAsiaTheme="minorEastAsia" w:hAnsiTheme="minorHAnsi" w:cstheme="minorBidi"/>
                <w:i w:val="0"/>
                <w:iCs w:val="0"/>
                <w:color w:val="auto"/>
                <w:sz w:val="20"/>
                <w:szCs w:val="20"/>
              </w:rPr>
              <w:t>brownfieldů</w:t>
            </w:r>
            <w:proofErr w:type="spellEnd"/>
            <w:r w:rsidR="4860132C" w:rsidRPr="3D1952B0">
              <w:rPr>
                <w:rFonts w:asciiTheme="minorHAnsi" w:eastAsiaTheme="minorEastAsia" w:hAnsiTheme="minorHAnsi" w:cstheme="minorBidi"/>
                <w:i w:val="0"/>
                <w:iCs w:val="0"/>
                <w:color w:val="auto"/>
                <w:sz w:val="20"/>
                <w:szCs w:val="20"/>
              </w:rPr>
              <w:t xml:space="preserve"> pro podnikatelské využití</w:t>
            </w:r>
            <w:r w:rsidR="79251938" w:rsidRPr="3D1952B0">
              <w:rPr>
                <w:rFonts w:asciiTheme="minorHAnsi" w:eastAsiaTheme="minorEastAsia" w:hAnsiTheme="minorHAnsi" w:cstheme="minorBidi"/>
                <w:i w:val="0"/>
                <w:iCs w:val="0"/>
                <w:color w:val="auto"/>
                <w:sz w:val="20"/>
                <w:szCs w:val="20"/>
              </w:rPr>
              <w:t xml:space="preserve"> (dojde k regeneraci 76 000 m</w:t>
            </w:r>
            <w:r w:rsidR="79251938" w:rsidRPr="00654847">
              <w:rPr>
                <w:rFonts w:asciiTheme="minorHAnsi" w:eastAsiaTheme="minorEastAsia" w:hAnsiTheme="minorHAnsi" w:cstheme="minorBidi"/>
                <w:i w:val="0"/>
                <w:iCs w:val="0"/>
                <w:color w:val="auto"/>
                <w:sz w:val="20"/>
                <w:szCs w:val="20"/>
                <w:vertAlign w:val="superscript"/>
              </w:rPr>
              <w:t>3</w:t>
            </w:r>
            <w:r w:rsidR="79251938" w:rsidRPr="3D1952B0">
              <w:rPr>
                <w:rFonts w:asciiTheme="minorHAnsi" w:eastAsiaTheme="minorEastAsia" w:hAnsiTheme="minorHAnsi" w:cstheme="minorBidi"/>
                <w:i w:val="0"/>
                <w:iCs w:val="0"/>
                <w:color w:val="auto"/>
                <w:sz w:val="20"/>
                <w:szCs w:val="20"/>
              </w:rPr>
              <w:t>)</w:t>
            </w:r>
            <w:r w:rsidR="4860132C" w:rsidRPr="3D1952B0">
              <w:rPr>
                <w:rFonts w:asciiTheme="minorHAnsi" w:eastAsiaTheme="minorEastAsia" w:hAnsiTheme="minorHAnsi" w:cstheme="minorBidi"/>
                <w:i w:val="0"/>
                <w:iCs w:val="0"/>
                <w:color w:val="auto"/>
                <w:sz w:val="20"/>
                <w:szCs w:val="20"/>
              </w:rPr>
              <w:t xml:space="preserve">. </w:t>
            </w:r>
          </w:p>
        </w:tc>
      </w:tr>
      <w:tr w:rsidR="202C2362" w14:paraId="692BCC3C" w14:textId="77777777" w:rsidTr="3D1952B0">
        <w:tc>
          <w:tcPr>
            <w:tcW w:w="2405" w:type="dxa"/>
          </w:tcPr>
          <w:p w14:paraId="57B9FF05" w14:textId="5393D2F8" w:rsidR="202C2362" w:rsidRDefault="27ED02C0"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Implementace</w:t>
            </w:r>
          </w:p>
        </w:tc>
        <w:tc>
          <w:tcPr>
            <w:tcW w:w="7223" w:type="dxa"/>
          </w:tcPr>
          <w:p w14:paraId="50BC45D9" w14:textId="49581E32" w:rsidR="202C2362" w:rsidRPr="008E750B" w:rsidRDefault="27ED02C0"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Dotační program MPO</w:t>
            </w:r>
          </w:p>
        </w:tc>
      </w:tr>
      <w:tr w:rsidR="202C2362" w14:paraId="462E0F22" w14:textId="77777777" w:rsidTr="3D1952B0">
        <w:trPr>
          <w:trHeight w:val="70"/>
        </w:trPr>
        <w:tc>
          <w:tcPr>
            <w:tcW w:w="2405" w:type="dxa"/>
          </w:tcPr>
          <w:p w14:paraId="3D5FD734" w14:textId="32423FFF" w:rsidR="202C2362" w:rsidRDefault="27ED02C0"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Spolupráce a zapojení zúčastněných stran</w:t>
            </w:r>
          </w:p>
        </w:tc>
        <w:tc>
          <w:tcPr>
            <w:tcW w:w="7223" w:type="dxa"/>
          </w:tcPr>
          <w:p w14:paraId="5BE0B734" w14:textId="56D3C193" w:rsidR="202C2362" w:rsidRPr="008E750B" w:rsidRDefault="151FF2DB"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Podnikatelské subjekty zejména malí a střední podnikatelé a místní firmy a občané jako uživatelé nově zrekonstruované infrastruktury. </w:t>
            </w:r>
          </w:p>
        </w:tc>
      </w:tr>
      <w:tr w:rsidR="202C2362" w14:paraId="4DA57990" w14:textId="77777777" w:rsidTr="3D1952B0">
        <w:tc>
          <w:tcPr>
            <w:tcW w:w="2405" w:type="dxa"/>
          </w:tcPr>
          <w:p w14:paraId="4C3EE7E3" w14:textId="1A84B1CC" w:rsidR="202C2362" w:rsidRDefault="27ED02C0"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Překážky a rizika</w:t>
            </w:r>
          </w:p>
        </w:tc>
        <w:tc>
          <w:tcPr>
            <w:tcW w:w="7223" w:type="dxa"/>
          </w:tcPr>
          <w:p w14:paraId="19297181" w14:textId="68726BF5" w:rsidR="202C2362" w:rsidRPr="008E750B" w:rsidRDefault="5ADA7602"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Nedostatečné investiční prostředky na straně obcí</w:t>
            </w:r>
            <w:r w:rsidR="6061C8EF" w:rsidRPr="3EE66962">
              <w:rPr>
                <w:rFonts w:asciiTheme="minorHAnsi" w:eastAsiaTheme="minorEastAsia" w:hAnsiTheme="minorHAnsi" w:cstheme="minorBidi"/>
                <w:i w:val="0"/>
                <w:iCs w:val="0"/>
                <w:color w:val="auto"/>
                <w:sz w:val="20"/>
                <w:szCs w:val="20"/>
              </w:rPr>
              <w:t xml:space="preserve"> zvláště v souvislosti s pandemií CO</w:t>
            </w:r>
            <w:r w:rsidR="38B5710F" w:rsidRPr="3EE66962">
              <w:rPr>
                <w:rFonts w:asciiTheme="minorHAnsi" w:eastAsiaTheme="minorEastAsia" w:hAnsiTheme="minorHAnsi" w:cstheme="minorBidi"/>
                <w:i w:val="0"/>
                <w:iCs w:val="0"/>
                <w:color w:val="auto"/>
                <w:sz w:val="20"/>
                <w:szCs w:val="20"/>
              </w:rPr>
              <w:t>V</w:t>
            </w:r>
            <w:r w:rsidR="6061C8EF" w:rsidRPr="3EE66962">
              <w:rPr>
                <w:rFonts w:asciiTheme="minorHAnsi" w:eastAsiaTheme="minorEastAsia" w:hAnsiTheme="minorHAnsi" w:cstheme="minorBidi"/>
                <w:i w:val="0"/>
                <w:iCs w:val="0"/>
                <w:color w:val="auto"/>
                <w:sz w:val="20"/>
                <w:szCs w:val="20"/>
              </w:rPr>
              <w:t>ID 19</w:t>
            </w:r>
            <w:r w:rsidRPr="3EE66962">
              <w:rPr>
                <w:rFonts w:asciiTheme="minorHAnsi" w:eastAsiaTheme="minorEastAsia" w:hAnsiTheme="minorHAnsi" w:cstheme="minorBidi"/>
                <w:i w:val="0"/>
                <w:iCs w:val="0"/>
                <w:color w:val="auto"/>
                <w:sz w:val="20"/>
                <w:szCs w:val="20"/>
              </w:rPr>
              <w:t>, složité administrativní procesy k získání stavebních povolení</w:t>
            </w:r>
          </w:p>
        </w:tc>
      </w:tr>
      <w:tr w:rsidR="202C2362" w14:paraId="6A19C288" w14:textId="77777777" w:rsidTr="3D1952B0">
        <w:tc>
          <w:tcPr>
            <w:tcW w:w="2405" w:type="dxa"/>
          </w:tcPr>
          <w:p w14:paraId="1F9ACE4E" w14:textId="322A58E7" w:rsidR="202C2362" w:rsidRDefault="27ED02C0"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Cílové skupiny populace a ekonomické subjekty</w:t>
            </w:r>
          </w:p>
        </w:tc>
        <w:tc>
          <w:tcPr>
            <w:tcW w:w="7223" w:type="dxa"/>
          </w:tcPr>
          <w:p w14:paraId="57667508" w14:textId="12D76C4B" w:rsidR="008437CD" w:rsidRPr="008E750B" w:rsidRDefault="151FF2DB"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Územně samosprávné celky jako příjemci podpory</w:t>
            </w:r>
          </w:p>
        </w:tc>
      </w:tr>
      <w:tr w:rsidR="202C2362" w14:paraId="352ED28B" w14:textId="77777777" w:rsidTr="3D1952B0">
        <w:tc>
          <w:tcPr>
            <w:tcW w:w="2405" w:type="dxa"/>
          </w:tcPr>
          <w:p w14:paraId="06B806D9" w14:textId="2F562376" w:rsidR="202C2362" w:rsidRDefault="27ED02C0"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Souhrnné náklady realizace financované z RRF za celé období</w:t>
            </w:r>
          </w:p>
        </w:tc>
        <w:tc>
          <w:tcPr>
            <w:tcW w:w="7223" w:type="dxa"/>
          </w:tcPr>
          <w:p w14:paraId="2DE6E180" w14:textId="24608856" w:rsidR="202C2362" w:rsidRPr="008E750B" w:rsidRDefault="11ADA1C7" w:rsidP="02FE81AC">
            <w:pPr>
              <w:pStyle w:val="K-TextInfo"/>
              <w:spacing w:after="81"/>
              <w:rPr>
                <w:rFonts w:asciiTheme="minorHAnsi" w:eastAsiaTheme="minorEastAsia" w:hAnsiTheme="minorHAnsi" w:cstheme="minorBidi"/>
                <w:i w:val="0"/>
                <w:iCs w:val="0"/>
                <w:color w:val="auto"/>
                <w:sz w:val="20"/>
                <w:szCs w:val="20"/>
              </w:rPr>
            </w:pPr>
            <w:r w:rsidRPr="02FE81AC">
              <w:rPr>
                <w:rFonts w:asciiTheme="minorHAnsi" w:eastAsiaTheme="minorEastAsia" w:hAnsiTheme="minorHAnsi" w:cstheme="minorBidi"/>
                <w:i w:val="0"/>
                <w:iCs w:val="0"/>
                <w:color w:val="auto"/>
                <w:sz w:val="20"/>
                <w:szCs w:val="20"/>
              </w:rPr>
              <w:t xml:space="preserve">Je předpoklad </w:t>
            </w:r>
            <w:r w:rsidR="7A73377F" w:rsidRPr="02FE81AC">
              <w:rPr>
                <w:rFonts w:asciiTheme="minorHAnsi" w:eastAsiaTheme="minorEastAsia" w:hAnsiTheme="minorHAnsi" w:cstheme="minorBidi"/>
                <w:i w:val="0"/>
                <w:iCs w:val="0"/>
                <w:color w:val="auto"/>
                <w:sz w:val="20"/>
                <w:szCs w:val="20"/>
              </w:rPr>
              <w:t>realizace</w:t>
            </w:r>
            <w:r w:rsidRPr="02FE81AC">
              <w:rPr>
                <w:rFonts w:asciiTheme="minorHAnsi" w:eastAsiaTheme="minorEastAsia" w:hAnsiTheme="minorHAnsi" w:cstheme="minorBidi"/>
                <w:i w:val="0"/>
                <w:iCs w:val="0"/>
                <w:color w:val="auto"/>
                <w:sz w:val="20"/>
                <w:szCs w:val="20"/>
              </w:rPr>
              <w:t xml:space="preserve"> </w:t>
            </w:r>
            <w:r w:rsidR="3D2358CE" w:rsidRPr="02FE81AC">
              <w:rPr>
                <w:rFonts w:asciiTheme="minorHAnsi" w:eastAsiaTheme="minorEastAsia" w:hAnsiTheme="minorHAnsi" w:cstheme="minorBidi"/>
                <w:i w:val="0"/>
                <w:iCs w:val="0"/>
                <w:color w:val="auto"/>
                <w:sz w:val="20"/>
                <w:szCs w:val="20"/>
              </w:rPr>
              <w:t xml:space="preserve">cca </w:t>
            </w:r>
            <w:r w:rsidR="3A0E25D1" w:rsidRPr="02FE81AC">
              <w:rPr>
                <w:rFonts w:asciiTheme="minorHAnsi" w:eastAsiaTheme="minorEastAsia" w:hAnsiTheme="minorHAnsi" w:cstheme="minorBidi"/>
                <w:i w:val="0"/>
                <w:iCs w:val="0"/>
                <w:color w:val="auto"/>
                <w:sz w:val="20"/>
                <w:szCs w:val="20"/>
              </w:rPr>
              <w:t xml:space="preserve">20 </w:t>
            </w:r>
            <w:r w:rsidRPr="02FE81AC">
              <w:rPr>
                <w:rFonts w:asciiTheme="minorHAnsi" w:eastAsiaTheme="minorEastAsia" w:hAnsiTheme="minorHAnsi" w:cstheme="minorBidi"/>
                <w:i w:val="0"/>
                <w:iCs w:val="0"/>
                <w:color w:val="auto"/>
                <w:sz w:val="20"/>
                <w:szCs w:val="20"/>
              </w:rPr>
              <w:t>projektů</w:t>
            </w:r>
            <w:r w:rsidR="29920597" w:rsidRPr="02FE81AC">
              <w:rPr>
                <w:rFonts w:asciiTheme="minorHAnsi" w:eastAsiaTheme="minorEastAsia" w:hAnsiTheme="minorHAnsi" w:cstheme="minorBidi"/>
                <w:i w:val="0"/>
                <w:iCs w:val="0"/>
                <w:color w:val="auto"/>
                <w:sz w:val="20"/>
                <w:szCs w:val="20"/>
              </w:rPr>
              <w:t xml:space="preserve"> o celkové alokaci </w:t>
            </w:r>
            <w:r w:rsidR="712B8396" w:rsidRPr="02FE81AC">
              <w:rPr>
                <w:rFonts w:asciiTheme="minorHAnsi" w:eastAsiaTheme="minorEastAsia" w:hAnsiTheme="minorHAnsi" w:cstheme="minorBidi"/>
                <w:i w:val="0"/>
                <w:iCs w:val="0"/>
                <w:color w:val="auto"/>
                <w:sz w:val="20"/>
                <w:szCs w:val="20"/>
              </w:rPr>
              <w:t>5</w:t>
            </w:r>
            <w:r w:rsidR="43FC1A7D" w:rsidRPr="02FE81AC">
              <w:rPr>
                <w:rFonts w:asciiTheme="minorHAnsi" w:eastAsiaTheme="minorEastAsia" w:hAnsiTheme="minorHAnsi" w:cstheme="minorBidi"/>
                <w:i w:val="0"/>
                <w:iCs w:val="0"/>
                <w:color w:val="auto"/>
                <w:sz w:val="20"/>
                <w:szCs w:val="20"/>
              </w:rPr>
              <w:t xml:space="preserve">00 </w:t>
            </w:r>
            <w:r w:rsidR="29920597" w:rsidRPr="02FE81AC">
              <w:rPr>
                <w:rFonts w:asciiTheme="minorHAnsi" w:eastAsiaTheme="minorEastAsia" w:hAnsiTheme="minorHAnsi" w:cstheme="minorBidi"/>
                <w:i w:val="0"/>
                <w:iCs w:val="0"/>
                <w:color w:val="auto"/>
                <w:sz w:val="20"/>
                <w:szCs w:val="20"/>
              </w:rPr>
              <w:t>000 000 Kč</w:t>
            </w:r>
            <w:r w:rsidR="3A219B8A" w:rsidRPr="02FE81AC">
              <w:rPr>
                <w:rFonts w:asciiTheme="minorHAnsi" w:eastAsiaTheme="minorEastAsia" w:hAnsiTheme="minorHAnsi" w:cstheme="minorBidi"/>
                <w:i w:val="0"/>
                <w:iCs w:val="0"/>
                <w:color w:val="auto"/>
                <w:sz w:val="20"/>
                <w:szCs w:val="20"/>
              </w:rPr>
              <w:t>, kdy dojde k regeneraci 76 000 m3 obestavěného prostoru</w:t>
            </w:r>
            <w:r w:rsidR="29920597" w:rsidRPr="02FE81AC">
              <w:rPr>
                <w:rFonts w:asciiTheme="minorHAnsi" w:eastAsiaTheme="minorEastAsia" w:hAnsiTheme="minorHAnsi" w:cstheme="minorBidi"/>
                <w:i w:val="0"/>
                <w:iCs w:val="0"/>
                <w:color w:val="auto"/>
                <w:sz w:val="20"/>
                <w:szCs w:val="20"/>
              </w:rPr>
              <w:t xml:space="preserve">. Předpokládaný </w:t>
            </w:r>
            <w:r w:rsidR="1FDE0067" w:rsidRPr="02FE81AC">
              <w:rPr>
                <w:rFonts w:asciiTheme="minorHAnsi" w:eastAsiaTheme="minorEastAsia" w:hAnsiTheme="minorHAnsi" w:cstheme="minorBidi"/>
                <w:i w:val="0"/>
                <w:iCs w:val="0"/>
                <w:color w:val="auto"/>
                <w:sz w:val="20"/>
                <w:szCs w:val="20"/>
              </w:rPr>
              <w:t xml:space="preserve">počet </w:t>
            </w:r>
            <w:r w:rsidR="6E03EBCF" w:rsidRPr="02FE81AC">
              <w:rPr>
                <w:rFonts w:asciiTheme="minorHAnsi" w:eastAsiaTheme="minorEastAsia" w:hAnsiTheme="minorHAnsi" w:cstheme="minorBidi"/>
                <w:i w:val="0"/>
                <w:iCs w:val="0"/>
                <w:color w:val="auto"/>
                <w:sz w:val="20"/>
                <w:szCs w:val="20"/>
              </w:rPr>
              <w:t xml:space="preserve">projektů </w:t>
            </w:r>
            <w:r w:rsidR="129607BA" w:rsidRPr="02FE81AC">
              <w:rPr>
                <w:rFonts w:asciiTheme="minorHAnsi" w:eastAsiaTheme="minorEastAsia" w:hAnsiTheme="minorHAnsi" w:cstheme="minorBidi"/>
                <w:i w:val="0"/>
                <w:iCs w:val="0"/>
                <w:color w:val="auto"/>
                <w:sz w:val="20"/>
                <w:szCs w:val="20"/>
              </w:rPr>
              <w:t xml:space="preserve">i alokovaná částka vychází z výše uvedených analýz absorpční kapacity zejména z dat agentury </w:t>
            </w:r>
            <w:proofErr w:type="spellStart"/>
            <w:r w:rsidR="129607BA" w:rsidRPr="02FE81AC">
              <w:rPr>
                <w:rFonts w:asciiTheme="minorHAnsi" w:eastAsiaTheme="minorEastAsia" w:hAnsiTheme="minorHAnsi" w:cstheme="minorBidi"/>
                <w:i w:val="0"/>
                <w:iCs w:val="0"/>
                <w:color w:val="auto"/>
                <w:sz w:val="20"/>
                <w:szCs w:val="20"/>
              </w:rPr>
              <w:t>CzechInvest</w:t>
            </w:r>
            <w:proofErr w:type="spellEnd"/>
            <w:r w:rsidR="2E03E5B2" w:rsidRPr="02FE81AC">
              <w:rPr>
                <w:rFonts w:asciiTheme="minorHAnsi" w:eastAsiaTheme="minorEastAsia" w:hAnsiTheme="minorHAnsi" w:cstheme="minorBidi"/>
                <w:i w:val="0"/>
                <w:iCs w:val="0"/>
                <w:color w:val="auto"/>
                <w:sz w:val="20"/>
                <w:szCs w:val="20"/>
              </w:rPr>
              <w:t>. Nákl</w:t>
            </w:r>
            <w:r w:rsidR="08DF7E05" w:rsidRPr="02FE81AC">
              <w:rPr>
                <w:rFonts w:asciiTheme="minorHAnsi" w:eastAsiaTheme="minorEastAsia" w:hAnsiTheme="minorHAnsi" w:cstheme="minorBidi"/>
                <w:i w:val="0"/>
                <w:iCs w:val="0"/>
                <w:color w:val="auto"/>
                <w:sz w:val="20"/>
                <w:szCs w:val="20"/>
              </w:rPr>
              <w:t>a</w:t>
            </w:r>
            <w:r w:rsidR="2E03E5B2" w:rsidRPr="02FE81AC">
              <w:rPr>
                <w:rFonts w:asciiTheme="minorHAnsi" w:eastAsiaTheme="minorEastAsia" w:hAnsiTheme="minorHAnsi" w:cstheme="minorBidi"/>
                <w:i w:val="0"/>
                <w:iCs w:val="0"/>
                <w:color w:val="auto"/>
                <w:sz w:val="20"/>
                <w:szCs w:val="20"/>
              </w:rPr>
              <w:t>d</w:t>
            </w:r>
            <w:r w:rsidR="08DF7E05" w:rsidRPr="02FE81AC">
              <w:rPr>
                <w:rFonts w:asciiTheme="minorHAnsi" w:eastAsiaTheme="minorEastAsia" w:hAnsiTheme="minorHAnsi" w:cstheme="minorBidi"/>
                <w:i w:val="0"/>
                <w:iCs w:val="0"/>
                <w:color w:val="auto"/>
                <w:sz w:val="20"/>
                <w:szCs w:val="20"/>
              </w:rPr>
              <w:t>y</w:t>
            </w:r>
            <w:r w:rsidR="129607BA" w:rsidRPr="02FE81AC">
              <w:rPr>
                <w:rFonts w:asciiTheme="minorHAnsi" w:eastAsiaTheme="minorEastAsia" w:hAnsiTheme="minorHAnsi" w:cstheme="minorBidi"/>
                <w:i w:val="0"/>
                <w:iCs w:val="0"/>
                <w:color w:val="auto"/>
                <w:sz w:val="20"/>
                <w:szCs w:val="20"/>
              </w:rPr>
              <w:t xml:space="preserve"> </w:t>
            </w:r>
            <w:r w:rsidR="6E03EBCF" w:rsidRPr="02FE81AC">
              <w:rPr>
                <w:rFonts w:asciiTheme="minorHAnsi" w:eastAsiaTheme="minorEastAsia" w:hAnsiTheme="minorHAnsi" w:cstheme="minorBidi"/>
                <w:i w:val="0"/>
                <w:iCs w:val="0"/>
                <w:color w:val="auto"/>
                <w:sz w:val="20"/>
                <w:szCs w:val="20"/>
              </w:rPr>
              <w:t>ze zkušenosti již realizovaných projekt</w:t>
            </w:r>
            <w:r w:rsidR="1F53E4C3" w:rsidRPr="02FE81AC">
              <w:rPr>
                <w:rFonts w:asciiTheme="minorHAnsi" w:eastAsiaTheme="minorEastAsia" w:hAnsiTheme="minorHAnsi" w:cstheme="minorBidi"/>
                <w:i w:val="0"/>
                <w:iCs w:val="0"/>
                <w:color w:val="auto"/>
                <w:sz w:val="20"/>
                <w:szCs w:val="20"/>
              </w:rPr>
              <w:t>ů</w:t>
            </w:r>
            <w:r w:rsidR="6E03EBCF" w:rsidRPr="02FE81AC">
              <w:rPr>
                <w:rFonts w:asciiTheme="minorHAnsi" w:eastAsiaTheme="minorEastAsia" w:hAnsiTheme="minorHAnsi" w:cstheme="minorBidi"/>
                <w:i w:val="0"/>
                <w:iCs w:val="0"/>
                <w:color w:val="auto"/>
                <w:sz w:val="20"/>
                <w:szCs w:val="20"/>
              </w:rPr>
              <w:t xml:space="preserve"> v rámci programu Regenerace a podnikatelské využití </w:t>
            </w:r>
            <w:proofErr w:type="spellStart"/>
            <w:r w:rsidR="6E03EBCF" w:rsidRPr="02FE81AC">
              <w:rPr>
                <w:rFonts w:asciiTheme="minorHAnsi" w:eastAsiaTheme="minorEastAsia" w:hAnsiTheme="minorHAnsi" w:cstheme="minorBidi"/>
                <w:i w:val="0"/>
                <w:iCs w:val="0"/>
                <w:color w:val="auto"/>
                <w:sz w:val="20"/>
                <w:szCs w:val="20"/>
              </w:rPr>
              <w:t>brownfieldů</w:t>
            </w:r>
            <w:proofErr w:type="spellEnd"/>
            <w:r w:rsidR="6E03EBCF" w:rsidRPr="02FE81AC">
              <w:rPr>
                <w:rFonts w:asciiTheme="minorHAnsi" w:eastAsiaTheme="minorEastAsia" w:hAnsiTheme="minorHAnsi" w:cstheme="minorBidi"/>
                <w:i w:val="0"/>
                <w:iCs w:val="0"/>
                <w:color w:val="auto"/>
                <w:sz w:val="20"/>
                <w:szCs w:val="20"/>
              </w:rPr>
              <w:t>,</w:t>
            </w:r>
            <w:r w:rsidR="0A634395" w:rsidRPr="02FE81AC">
              <w:rPr>
                <w:rFonts w:asciiTheme="minorHAnsi" w:eastAsiaTheme="minorEastAsia" w:hAnsiTheme="minorHAnsi" w:cstheme="minorBidi"/>
                <w:i w:val="0"/>
                <w:iCs w:val="0"/>
                <w:color w:val="auto"/>
                <w:sz w:val="20"/>
                <w:szCs w:val="20"/>
              </w:rPr>
              <w:t xml:space="preserve"> pomocí kterého jsou realizovány regenerace lokalit typu </w:t>
            </w:r>
            <w:proofErr w:type="spellStart"/>
            <w:r w:rsidR="5CDEA5F6" w:rsidRPr="02FE81AC">
              <w:rPr>
                <w:rFonts w:asciiTheme="minorHAnsi" w:eastAsiaTheme="minorEastAsia" w:hAnsiTheme="minorHAnsi" w:cstheme="minorBidi"/>
                <w:i w:val="0"/>
                <w:iCs w:val="0"/>
                <w:color w:val="auto"/>
                <w:sz w:val="20"/>
                <w:szCs w:val="20"/>
              </w:rPr>
              <w:t>brownfields</w:t>
            </w:r>
            <w:proofErr w:type="spellEnd"/>
            <w:r w:rsidR="0A634395" w:rsidRPr="02FE81AC">
              <w:rPr>
                <w:rFonts w:asciiTheme="minorHAnsi" w:eastAsiaTheme="minorEastAsia" w:hAnsiTheme="minorHAnsi" w:cstheme="minorBidi"/>
                <w:i w:val="0"/>
                <w:iCs w:val="0"/>
                <w:color w:val="auto"/>
                <w:sz w:val="20"/>
                <w:szCs w:val="20"/>
              </w:rPr>
              <w:t xml:space="preserve"> pro podnikatel</w:t>
            </w:r>
            <w:r w:rsidR="0C856B5A" w:rsidRPr="02FE81AC">
              <w:rPr>
                <w:rFonts w:asciiTheme="minorHAnsi" w:eastAsiaTheme="minorEastAsia" w:hAnsiTheme="minorHAnsi" w:cstheme="minorBidi"/>
                <w:i w:val="0"/>
                <w:iCs w:val="0"/>
                <w:color w:val="auto"/>
                <w:sz w:val="20"/>
                <w:szCs w:val="20"/>
              </w:rPr>
              <w:t>ské využití od roku 2017. Náklady</w:t>
            </w:r>
            <w:r w:rsidR="7865B594" w:rsidRPr="02FE81AC">
              <w:rPr>
                <w:rFonts w:asciiTheme="minorHAnsi" w:eastAsiaTheme="minorEastAsia" w:hAnsiTheme="minorHAnsi" w:cstheme="minorBidi"/>
                <w:i w:val="0"/>
                <w:iCs w:val="0"/>
                <w:color w:val="auto"/>
                <w:sz w:val="20"/>
                <w:szCs w:val="20"/>
              </w:rPr>
              <w:t xml:space="preserve"> na jeden projekt </w:t>
            </w:r>
            <w:r w:rsidR="15B273E8" w:rsidRPr="02FE81AC">
              <w:rPr>
                <w:rFonts w:asciiTheme="minorHAnsi" w:eastAsiaTheme="minorEastAsia" w:hAnsiTheme="minorHAnsi" w:cstheme="minorBidi"/>
                <w:i w:val="0"/>
                <w:iCs w:val="0"/>
                <w:color w:val="auto"/>
                <w:sz w:val="20"/>
                <w:szCs w:val="20"/>
              </w:rPr>
              <w:t xml:space="preserve">se průměrně </w:t>
            </w:r>
            <w:r w:rsidR="7865B594" w:rsidRPr="02FE81AC">
              <w:rPr>
                <w:rFonts w:asciiTheme="minorHAnsi" w:eastAsiaTheme="minorEastAsia" w:hAnsiTheme="minorHAnsi" w:cstheme="minorBidi"/>
                <w:i w:val="0"/>
                <w:iCs w:val="0"/>
                <w:color w:val="auto"/>
                <w:sz w:val="20"/>
                <w:szCs w:val="20"/>
              </w:rPr>
              <w:t xml:space="preserve">pohybují </w:t>
            </w:r>
            <w:r w:rsidR="7F76E151" w:rsidRPr="02FE81AC">
              <w:rPr>
                <w:rFonts w:asciiTheme="minorHAnsi" w:eastAsiaTheme="minorEastAsia" w:hAnsiTheme="minorHAnsi" w:cstheme="minorBidi"/>
                <w:i w:val="0"/>
                <w:iCs w:val="0"/>
                <w:color w:val="auto"/>
                <w:sz w:val="20"/>
                <w:szCs w:val="20"/>
              </w:rPr>
              <w:t>20–30</w:t>
            </w:r>
            <w:r w:rsidR="7865B594" w:rsidRPr="02FE81AC">
              <w:rPr>
                <w:rFonts w:asciiTheme="minorHAnsi" w:eastAsiaTheme="minorEastAsia" w:hAnsiTheme="minorHAnsi" w:cstheme="minorBidi"/>
                <w:i w:val="0"/>
                <w:iCs w:val="0"/>
                <w:color w:val="auto"/>
                <w:sz w:val="20"/>
                <w:szCs w:val="20"/>
              </w:rPr>
              <w:t xml:space="preserve"> mil. Kč.</w:t>
            </w:r>
            <w:r w:rsidR="09A18377" w:rsidRPr="02FE81AC">
              <w:rPr>
                <w:rFonts w:asciiTheme="minorHAnsi" w:eastAsiaTheme="minorEastAsia" w:hAnsiTheme="minorHAnsi" w:cstheme="minorBidi"/>
                <w:i w:val="0"/>
                <w:iCs w:val="0"/>
                <w:color w:val="auto"/>
                <w:sz w:val="20"/>
                <w:szCs w:val="20"/>
              </w:rPr>
              <w:t xml:space="preserve"> </w:t>
            </w:r>
          </w:p>
        </w:tc>
      </w:tr>
      <w:tr w:rsidR="202C2362" w14:paraId="0340E525" w14:textId="77777777" w:rsidTr="3D1952B0">
        <w:tc>
          <w:tcPr>
            <w:tcW w:w="2405" w:type="dxa"/>
          </w:tcPr>
          <w:p w14:paraId="700E5009" w14:textId="4B619239" w:rsidR="202C2362" w:rsidRDefault="27ED02C0"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Dodržování pravidel státní podpory</w:t>
            </w:r>
          </w:p>
        </w:tc>
        <w:tc>
          <w:tcPr>
            <w:tcW w:w="7223" w:type="dxa"/>
          </w:tcPr>
          <w:p w14:paraId="3E21EAC9" w14:textId="77777777" w:rsidR="202C2362" w:rsidRDefault="27ED02C0"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GBER článek 56 </w:t>
            </w:r>
          </w:p>
          <w:p w14:paraId="64CE95B3" w14:textId="00CB0ADB" w:rsidR="009B6BC3" w:rsidRPr="008E750B" w:rsidRDefault="7F941C1C"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Podpora byla již takto </w:t>
            </w:r>
            <w:proofErr w:type="spellStart"/>
            <w:r w:rsidR="6329FE6C" w:rsidRPr="3EE66962">
              <w:rPr>
                <w:rFonts w:asciiTheme="minorHAnsi" w:eastAsiaTheme="minorEastAsia" w:hAnsiTheme="minorHAnsi" w:cstheme="minorBidi"/>
                <w:i w:val="0"/>
                <w:iCs w:val="0"/>
                <w:color w:val="auto"/>
                <w:sz w:val="20"/>
                <w:szCs w:val="20"/>
              </w:rPr>
              <w:t>pre</w:t>
            </w:r>
            <w:r w:rsidRPr="3EE66962">
              <w:rPr>
                <w:rFonts w:asciiTheme="minorHAnsi" w:eastAsiaTheme="minorEastAsia" w:hAnsiTheme="minorHAnsi" w:cstheme="minorBidi"/>
                <w:i w:val="0"/>
                <w:iCs w:val="0"/>
                <w:color w:val="auto"/>
                <w:sz w:val="20"/>
                <w:szCs w:val="20"/>
              </w:rPr>
              <w:t>notifikována</w:t>
            </w:r>
            <w:proofErr w:type="spellEnd"/>
            <w:r w:rsidRPr="3EE66962">
              <w:rPr>
                <w:rFonts w:asciiTheme="minorHAnsi" w:eastAsiaTheme="minorEastAsia" w:hAnsiTheme="minorHAnsi" w:cstheme="minorBidi"/>
                <w:i w:val="0"/>
                <w:iCs w:val="0"/>
                <w:color w:val="auto"/>
                <w:sz w:val="20"/>
                <w:szCs w:val="20"/>
              </w:rPr>
              <w:t xml:space="preserve"> </w:t>
            </w:r>
            <w:r w:rsidR="4FB75AE1" w:rsidRPr="3EE66962">
              <w:rPr>
                <w:rFonts w:asciiTheme="minorHAnsi" w:eastAsiaTheme="minorEastAsia" w:hAnsiTheme="minorHAnsi" w:cstheme="minorBidi"/>
                <w:i w:val="0"/>
                <w:iCs w:val="0"/>
                <w:color w:val="auto"/>
                <w:sz w:val="20"/>
                <w:szCs w:val="20"/>
              </w:rPr>
              <w:t>ze strany EK</w:t>
            </w:r>
            <w:r w:rsidRPr="3EE66962">
              <w:rPr>
                <w:rFonts w:asciiTheme="minorHAnsi" w:eastAsiaTheme="minorEastAsia" w:hAnsiTheme="minorHAnsi" w:cstheme="minorBidi"/>
                <w:i w:val="0"/>
                <w:iCs w:val="0"/>
                <w:color w:val="auto"/>
                <w:sz w:val="20"/>
                <w:szCs w:val="20"/>
              </w:rPr>
              <w:t xml:space="preserve">. </w:t>
            </w:r>
          </w:p>
          <w:p w14:paraId="149AD320" w14:textId="335DD5C2" w:rsidR="009B6BC3" w:rsidRPr="008E750B" w:rsidRDefault="65D2468E"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Dosud nebyly podporovány sanace </w:t>
            </w:r>
            <w:r w:rsidR="01741CC0" w:rsidRPr="3EE66962">
              <w:rPr>
                <w:rFonts w:asciiTheme="minorHAnsi" w:eastAsiaTheme="minorEastAsia" w:hAnsiTheme="minorHAnsi" w:cstheme="minorBidi"/>
                <w:i w:val="0"/>
                <w:iCs w:val="0"/>
                <w:color w:val="auto"/>
                <w:sz w:val="20"/>
                <w:szCs w:val="20"/>
              </w:rPr>
              <w:t>ekologických</w:t>
            </w:r>
            <w:r w:rsidRPr="3EE66962">
              <w:rPr>
                <w:rFonts w:asciiTheme="minorHAnsi" w:eastAsiaTheme="minorEastAsia" w:hAnsiTheme="minorHAnsi" w:cstheme="minorBidi"/>
                <w:i w:val="0"/>
                <w:iCs w:val="0"/>
                <w:color w:val="auto"/>
                <w:sz w:val="20"/>
                <w:szCs w:val="20"/>
              </w:rPr>
              <w:t xml:space="preserve"> zátěží. Je zvažováno </w:t>
            </w:r>
            <w:r w:rsidR="26E6BEAC" w:rsidRPr="3EE66962">
              <w:rPr>
                <w:rFonts w:asciiTheme="minorHAnsi" w:eastAsiaTheme="minorEastAsia" w:hAnsiTheme="minorHAnsi" w:cstheme="minorBidi"/>
                <w:i w:val="0"/>
                <w:iCs w:val="0"/>
                <w:color w:val="auto"/>
                <w:sz w:val="20"/>
                <w:szCs w:val="20"/>
              </w:rPr>
              <w:t>u</w:t>
            </w:r>
            <w:r w:rsidRPr="3EE66962">
              <w:rPr>
                <w:rFonts w:asciiTheme="minorHAnsi" w:eastAsiaTheme="minorEastAsia" w:hAnsiTheme="minorHAnsi" w:cstheme="minorBidi"/>
                <w:i w:val="0"/>
                <w:iCs w:val="0"/>
                <w:color w:val="auto"/>
                <w:sz w:val="20"/>
                <w:szCs w:val="20"/>
              </w:rPr>
              <w:t>možnit podporu ekologický</w:t>
            </w:r>
            <w:r w:rsidR="29D8F9A6" w:rsidRPr="3EE66962">
              <w:rPr>
                <w:rFonts w:asciiTheme="minorHAnsi" w:eastAsiaTheme="minorEastAsia" w:hAnsiTheme="minorHAnsi" w:cstheme="minorBidi"/>
                <w:i w:val="0"/>
                <w:iCs w:val="0"/>
                <w:color w:val="auto"/>
                <w:sz w:val="20"/>
                <w:szCs w:val="20"/>
              </w:rPr>
              <w:t>c</w:t>
            </w:r>
            <w:r w:rsidRPr="3EE66962">
              <w:rPr>
                <w:rFonts w:asciiTheme="minorHAnsi" w:eastAsiaTheme="minorEastAsia" w:hAnsiTheme="minorHAnsi" w:cstheme="minorBidi"/>
                <w:i w:val="0"/>
                <w:iCs w:val="0"/>
                <w:color w:val="auto"/>
                <w:sz w:val="20"/>
                <w:szCs w:val="20"/>
              </w:rPr>
              <w:t xml:space="preserve">h zátěží ale </w:t>
            </w:r>
            <w:r w:rsidR="6F1CBA1B" w:rsidRPr="3EE66962">
              <w:rPr>
                <w:rFonts w:asciiTheme="minorHAnsi" w:eastAsiaTheme="minorEastAsia" w:hAnsiTheme="minorHAnsi" w:cstheme="minorBidi"/>
                <w:i w:val="0"/>
                <w:iCs w:val="0"/>
                <w:color w:val="auto"/>
                <w:sz w:val="20"/>
                <w:szCs w:val="20"/>
              </w:rPr>
              <w:t>pouze</w:t>
            </w:r>
            <w:r w:rsidRPr="3EE66962">
              <w:rPr>
                <w:rFonts w:asciiTheme="minorHAnsi" w:eastAsiaTheme="minorEastAsia" w:hAnsiTheme="minorHAnsi" w:cstheme="minorBidi"/>
                <w:i w:val="0"/>
                <w:iCs w:val="0"/>
                <w:color w:val="auto"/>
                <w:sz w:val="20"/>
                <w:szCs w:val="20"/>
              </w:rPr>
              <w:t xml:space="preserve"> v omezeném rozsahu (asfalt</w:t>
            </w:r>
            <w:r w:rsidR="5AEABDA9" w:rsidRPr="3EE66962">
              <w:rPr>
                <w:rFonts w:asciiTheme="minorHAnsi" w:eastAsiaTheme="minorEastAsia" w:hAnsiTheme="minorHAnsi" w:cstheme="minorBidi"/>
                <w:i w:val="0"/>
                <w:iCs w:val="0"/>
                <w:color w:val="auto"/>
                <w:sz w:val="20"/>
                <w:szCs w:val="20"/>
              </w:rPr>
              <w:t>ové plochy</w:t>
            </w:r>
            <w:r w:rsidR="4FE4A18A" w:rsidRPr="3EE66962">
              <w:rPr>
                <w:rFonts w:asciiTheme="minorHAnsi" w:eastAsiaTheme="minorEastAsia" w:hAnsiTheme="minorHAnsi" w:cstheme="minorBidi"/>
                <w:i w:val="0"/>
                <w:iCs w:val="0"/>
                <w:color w:val="auto"/>
                <w:sz w:val="20"/>
                <w:szCs w:val="20"/>
              </w:rPr>
              <w:t xml:space="preserve">, konstrukce považované za nebezpečný odpad). Podpora </w:t>
            </w:r>
            <w:r w:rsidR="01A7A0F6" w:rsidRPr="3EE66962">
              <w:rPr>
                <w:rFonts w:asciiTheme="minorHAnsi" w:eastAsiaTheme="minorEastAsia" w:hAnsiTheme="minorHAnsi" w:cstheme="minorBidi"/>
                <w:i w:val="0"/>
                <w:iCs w:val="0"/>
                <w:color w:val="auto"/>
                <w:sz w:val="20"/>
                <w:szCs w:val="20"/>
              </w:rPr>
              <w:t xml:space="preserve">sanace </w:t>
            </w:r>
            <w:r w:rsidR="4FE4A18A" w:rsidRPr="3EE66962">
              <w:rPr>
                <w:rFonts w:asciiTheme="minorHAnsi" w:eastAsiaTheme="minorEastAsia" w:hAnsiTheme="minorHAnsi" w:cstheme="minorBidi"/>
                <w:i w:val="0"/>
                <w:iCs w:val="0"/>
                <w:color w:val="auto"/>
                <w:sz w:val="20"/>
                <w:szCs w:val="20"/>
              </w:rPr>
              <w:t>kontaminace (například ropnými látkami) nebude umožněna</w:t>
            </w:r>
            <w:r w:rsidR="5304BE1D" w:rsidRPr="3EE66962">
              <w:rPr>
                <w:rFonts w:asciiTheme="minorHAnsi" w:eastAsiaTheme="minorEastAsia" w:hAnsiTheme="minorHAnsi" w:cstheme="minorBidi"/>
                <w:i w:val="0"/>
                <w:iCs w:val="0"/>
                <w:color w:val="auto"/>
                <w:sz w:val="20"/>
                <w:szCs w:val="20"/>
              </w:rPr>
              <w:t xml:space="preserve">, neboť proces </w:t>
            </w:r>
            <w:r w:rsidR="2AAC7352" w:rsidRPr="3EE66962">
              <w:rPr>
                <w:rFonts w:asciiTheme="minorHAnsi" w:eastAsiaTheme="minorEastAsia" w:hAnsiTheme="minorHAnsi" w:cstheme="minorBidi"/>
                <w:i w:val="0"/>
                <w:iCs w:val="0"/>
                <w:color w:val="auto"/>
                <w:sz w:val="20"/>
                <w:szCs w:val="20"/>
              </w:rPr>
              <w:t>analýzy</w:t>
            </w:r>
            <w:r w:rsidR="5304BE1D" w:rsidRPr="3EE66962">
              <w:rPr>
                <w:rFonts w:asciiTheme="minorHAnsi" w:eastAsiaTheme="minorEastAsia" w:hAnsiTheme="minorHAnsi" w:cstheme="minorBidi"/>
                <w:i w:val="0"/>
                <w:iCs w:val="0"/>
                <w:color w:val="auto"/>
                <w:sz w:val="20"/>
                <w:szCs w:val="20"/>
              </w:rPr>
              <w:t xml:space="preserve"> rizik a sanačního průzkumu je časově náročný a nebylo by možné splnit cíle do roku 2025.</w:t>
            </w:r>
          </w:p>
        </w:tc>
      </w:tr>
      <w:tr w:rsidR="202C2362" w14:paraId="14C479C3" w14:textId="77777777" w:rsidTr="3D1952B0">
        <w:tc>
          <w:tcPr>
            <w:tcW w:w="2405" w:type="dxa"/>
          </w:tcPr>
          <w:p w14:paraId="3F986BF9" w14:textId="1DF85D5F" w:rsidR="202C2362" w:rsidRDefault="27ED02C0" w:rsidP="3EE66962">
            <w:pPr>
              <w:pStyle w:val="K-Text"/>
              <w:spacing w:after="81" w:line="240" w:lineRule="auto"/>
              <w:jc w:val="left"/>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Uveďte dobu implementace</w:t>
            </w:r>
          </w:p>
        </w:tc>
        <w:tc>
          <w:tcPr>
            <w:tcW w:w="7223" w:type="dxa"/>
          </w:tcPr>
          <w:p w14:paraId="4DF892B1" w14:textId="49D35493" w:rsidR="202C2362" w:rsidRPr="008E750B" w:rsidRDefault="3E81BD1F" w:rsidP="3EE66962">
            <w:pPr>
              <w:pStyle w:val="K-TextInfo"/>
              <w:spacing w:after="81"/>
              <w:rPr>
                <w:rFonts w:asciiTheme="minorHAnsi" w:eastAsiaTheme="minorEastAsia" w:hAnsiTheme="minorHAnsi" w:cstheme="minorBidi"/>
                <w:i w:val="0"/>
                <w:iCs w:val="0"/>
                <w:color w:val="auto"/>
                <w:sz w:val="20"/>
                <w:szCs w:val="20"/>
              </w:rPr>
            </w:pPr>
            <w:r w:rsidRPr="3EE66962">
              <w:rPr>
                <w:rFonts w:asciiTheme="minorHAnsi" w:eastAsiaTheme="minorEastAsia" w:hAnsiTheme="minorHAnsi" w:cstheme="minorBidi"/>
                <w:i w:val="0"/>
                <w:iCs w:val="0"/>
                <w:color w:val="auto"/>
                <w:sz w:val="20"/>
                <w:szCs w:val="20"/>
              </w:rPr>
              <w:t xml:space="preserve">Všechny projekty budou </w:t>
            </w:r>
            <w:proofErr w:type="spellStart"/>
            <w:r w:rsidRPr="3EE66962">
              <w:rPr>
                <w:rFonts w:asciiTheme="minorHAnsi" w:eastAsiaTheme="minorEastAsia" w:hAnsiTheme="minorHAnsi" w:cstheme="minorBidi"/>
                <w:i w:val="0"/>
                <w:iCs w:val="0"/>
                <w:color w:val="auto"/>
                <w:sz w:val="20"/>
                <w:szCs w:val="20"/>
              </w:rPr>
              <w:t>zasmluvněny</w:t>
            </w:r>
            <w:proofErr w:type="spellEnd"/>
            <w:r w:rsidRPr="3EE66962">
              <w:rPr>
                <w:rFonts w:asciiTheme="minorHAnsi" w:eastAsiaTheme="minorEastAsia" w:hAnsiTheme="minorHAnsi" w:cstheme="minorBidi"/>
                <w:i w:val="0"/>
                <w:iCs w:val="0"/>
                <w:color w:val="auto"/>
                <w:sz w:val="20"/>
                <w:szCs w:val="20"/>
              </w:rPr>
              <w:t xml:space="preserve"> do konce roku 2023 a realizovány od roku 2020 do konce roku 202</w:t>
            </w:r>
            <w:r w:rsidR="3A672832" w:rsidRPr="3EE66962">
              <w:rPr>
                <w:rFonts w:asciiTheme="minorHAnsi" w:eastAsiaTheme="minorEastAsia" w:hAnsiTheme="minorHAnsi" w:cstheme="minorBidi"/>
                <w:i w:val="0"/>
                <w:iCs w:val="0"/>
                <w:color w:val="auto"/>
                <w:sz w:val="20"/>
                <w:szCs w:val="20"/>
              </w:rPr>
              <w:t>5</w:t>
            </w:r>
            <w:r w:rsidRPr="3EE66962">
              <w:rPr>
                <w:rFonts w:asciiTheme="minorHAnsi" w:eastAsiaTheme="minorEastAsia" w:hAnsiTheme="minorHAnsi" w:cstheme="minorBidi"/>
                <w:i w:val="0"/>
                <w:iCs w:val="0"/>
                <w:color w:val="auto"/>
                <w:sz w:val="20"/>
                <w:szCs w:val="20"/>
              </w:rPr>
              <w:t>.</w:t>
            </w:r>
          </w:p>
        </w:tc>
      </w:tr>
    </w:tbl>
    <w:p w14:paraId="57CF0167" w14:textId="46178B2E" w:rsidR="000C0598" w:rsidRPr="00ED337B" w:rsidRDefault="000C0598" w:rsidP="3EE66962">
      <w:pPr>
        <w:pStyle w:val="K-Text"/>
        <w:spacing w:line="240" w:lineRule="auto"/>
        <w:rPr>
          <w:rFonts w:asciiTheme="minorHAnsi" w:eastAsiaTheme="minorEastAsia" w:hAnsiTheme="minorHAnsi" w:cstheme="minorBidi"/>
          <w:sz w:val="20"/>
          <w:szCs w:val="20"/>
        </w:rPr>
      </w:pPr>
    </w:p>
    <w:p w14:paraId="18CD8F50" w14:textId="36844C92" w:rsidR="4FCB85BE" w:rsidRDefault="4D4D7176" w:rsidP="3EE66962">
      <w:pPr>
        <w:spacing w:line="240" w:lineRule="auto"/>
        <w:rPr>
          <w:rFonts w:eastAsiaTheme="minorEastAsia"/>
          <w:b/>
          <w:bCs/>
          <w:sz w:val="20"/>
          <w:szCs w:val="20"/>
          <w:lang w:val="en-US"/>
        </w:rPr>
      </w:pPr>
      <w:r w:rsidRPr="3EE66962">
        <w:rPr>
          <w:rFonts w:eastAsiaTheme="minorEastAsia"/>
          <w:b/>
          <w:bCs/>
          <w:sz w:val="20"/>
          <w:szCs w:val="20"/>
          <w:lang w:val="en-US"/>
        </w:rPr>
        <w:t xml:space="preserve">4. </w:t>
      </w:r>
      <w:proofErr w:type="spellStart"/>
      <w:r w:rsidR="73284AAB" w:rsidRPr="3EE66962">
        <w:rPr>
          <w:rFonts w:eastAsiaTheme="minorEastAsia"/>
          <w:b/>
          <w:bCs/>
          <w:sz w:val="20"/>
          <w:szCs w:val="20"/>
          <w:lang w:val="en-US"/>
        </w:rPr>
        <w:t>Strategická</w:t>
      </w:r>
      <w:proofErr w:type="spellEnd"/>
      <w:r w:rsidR="73284AAB" w:rsidRPr="3EE66962">
        <w:rPr>
          <w:rFonts w:eastAsiaTheme="minorEastAsia"/>
          <w:b/>
          <w:bCs/>
          <w:sz w:val="20"/>
          <w:szCs w:val="20"/>
          <w:lang w:val="en-US"/>
        </w:rPr>
        <w:t xml:space="preserve"> </w:t>
      </w:r>
      <w:proofErr w:type="spellStart"/>
      <w:r w:rsidR="73284AAB" w:rsidRPr="3EE66962">
        <w:rPr>
          <w:rFonts w:eastAsiaTheme="minorEastAsia"/>
          <w:b/>
          <w:bCs/>
          <w:sz w:val="20"/>
          <w:szCs w:val="20"/>
          <w:lang w:val="en-US"/>
        </w:rPr>
        <w:t>autonomie</w:t>
      </w:r>
      <w:proofErr w:type="spellEnd"/>
      <w:r w:rsidR="73284AAB" w:rsidRPr="3EE66962">
        <w:rPr>
          <w:rFonts w:eastAsiaTheme="minorEastAsia"/>
          <w:b/>
          <w:bCs/>
          <w:sz w:val="20"/>
          <w:szCs w:val="20"/>
          <w:lang w:val="en-US"/>
        </w:rPr>
        <w:t xml:space="preserve"> a </w:t>
      </w:r>
      <w:proofErr w:type="spellStart"/>
      <w:r w:rsidR="73284AAB" w:rsidRPr="3EE66962">
        <w:rPr>
          <w:rFonts w:eastAsiaTheme="minorEastAsia"/>
          <w:b/>
          <w:bCs/>
          <w:sz w:val="20"/>
          <w:szCs w:val="20"/>
          <w:lang w:val="en-US"/>
        </w:rPr>
        <w:t>bezpečnostní</w:t>
      </w:r>
      <w:proofErr w:type="spellEnd"/>
      <w:r w:rsidR="73284AAB" w:rsidRPr="3EE66962">
        <w:rPr>
          <w:rFonts w:eastAsiaTheme="minorEastAsia"/>
          <w:b/>
          <w:bCs/>
          <w:sz w:val="20"/>
          <w:szCs w:val="20"/>
          <w:lang w:val="en-US"/>
        </w:rPr>
        <w:t xml:space="preserve"> </w:t>
      </w:r>
      <w:proofErr w:type="spellStart"/>
      <w:r w:rsidR="73284AAB" w:rsidRPr="3EE66962">
        <w:rPr>
          <w:rFonts w:eastAsiaTheme="minorEastAsia"/>
          <w:b/>
          <w:bCs/>
          <w:sz w:val="20"/>
          <w:szCs w:val="20"/>
          <w:lang w:val="en-US"/>
        </w:rPr>
        <w:t>problematika</w:t>
      </w:r>
      <w:proofErr w:type="spellEnd"/>
    </w:p>
    <w:p w14:paraId="06D383E9" w14:textId="7F01DE14" w:rsidR="4FCB85BE" w:rsidRPr="00F16A79" w:rsidRDefault="734BADF2" w:rsidP="3EE66962">
      <w:pPr>
        <w:spacing w:line="240" w:lineRule="auto"/>
        <w:rPr>
          <w:rFonts w:eastAsiaTheme="minorEastAsia"/>
          <w:sz w:val="20"/>
          <w:szCs w:val="20"/>
        </w:rPr>
      </w:pPr>
      <w:r w:rsidRPr="3EE66962">
        <w:rPr>
          <w:rFonts w:eastAsiaTheme="minorEastAsia"/>
          <w:sz w:val="20"/>
          <w:szCs w:val="20"/>
        </w:rPr>
        <w:t>Tato kapitola není pro danou komponentu relevantní.</w:t>
      </w:r>
    </w:p>
    <w:p w14:paraId="4E715A59" w14:textId="49367198" w:rsidR="3EE66962" w:rsidRDefault="3EE66962" w:rsidP="3EE66962">
      <w:pPr>
        <w:spacing w:line="240" w:lineRule="auto"/>
        <w:rPr>
          <w:rFonts w:eastAsiaTheme="minorEastAsia"/>
          <w:sz w:val="20"/>
          <w:szCs w:val="20"/>
        </w:rPr>
      </w:pPr>
    </w:p>
    <w:p w14:paraId="7E706DC2" w14:textId="4D286ABB" w:rsidR="4FCB85BE" w:rsidRPr="00F16A79" w:rsidRDefault="4D4D7176" w:rsidP="3EE66962">
      <w:pPr>
        <w:pStyle w:val="Nadpis2"/>
        <w:spacing w:after="240" w:line="240" w:lineRule="auto"/>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rPr>
        <w:t xml:space="preserve">5. </w:t>
      </w:r>
      <w:r w:rsidR="6F0F6E1D" w:rsidRPr="3EE66962">
        <w:rPr>
          <w:rFonts w:asciiTheme="minorHAnsi" w:eastAsiaTheme="minorEastAsia" w:hAnsiTheme="minorHAnsi" w:cstheme="minorBidi"/>
          <w:sz w:val="20"/>
          <w:szCs w:val="20"/>
        </w:rPr>
        <w:t>Přeshraniční projekty realizované více státy</w:t>
      </w:r>
    </w:p>
    <w:p w14:paraId="18DCD3C9" w14:textId="2ACE9BA8" w:rsidR="460B7F2B" w:rsidRDefault="460B7F2B" w:rsidP="3EE66962">
      <w:pPr>
        <w:spacing w:line="240" w:lineRule="auto"/>
        <w:rPr>
          <w:rFonts w:eastAsiaTheme="minorEastAsia"/>
          <w:sz w:val="20"/>
          <w:szCs w:val="20"/>
        </w:rPr>
      </w:pPr>
      <w:r w:rsidRPr="3EE66962">
        <w:rPr>
          <w:rFonts w:eastAsiaTheme="minorEastAsia"/>
          <w:sz w:val="20"/>
          <w:szCs w:val="20"/>
        </w:rPr>
        <w:t>Tato kapitola není pro danou komponentu relevantní.</w:t>
      </w:r>
    </w:p>
    <w:p w14:paraId="6A514FF5" w14:textId="212A54BA" w:rsidR="4FCB85BE" w:rsidRDefault="4D4D7176" w:rsidP="3EE66962">
      <w:pPr>
        <w:spacing w:line="240" w:lineRule="auto"/>
        <w:rPr>
          <w:rFonts w:eastAsiaTheme="minorEastAsia"/>
          <w:sz w:val="20"/>
          <w:szCs w:val="20"/>
        </w:rPr>
      </w:pPr>
      <w:r w:rsidRPr="3EE66962">
        <w:rPr>
          <w:rFonts w:eastAsiaTheme="minorEastAsia"/>
          <w:b/>
          <w:bCs/>
          <w:sz w:val="20"/>
          <w:szCs w:val="20"/>
          <w:lang w:val="en-US"/>
        </w:rPr>
        <w:t xml:space="preserve">6. </w:t>
      </w:r>
      <w:r w:rsidR="712F1E06" w:rsidRPr="3EE66962">
        <w:rPr>
          <w:rFonts w:eastAsiaTheme="minorEastAsia"/>
          <w:b/>
          <w:bCs/>
          <w:sz w:val="20"/>
          <w:szCs w:val="20"/>
        </w:rPr>
        <w:t>Zelený rozměr komponenty</w:t>
      </w:r>
    </w:p>
    <w:p w14:paraId="6C6E7C99" w14:textId="1020D250" w:rsidR="0CC70633" w:rsidRDefault="284292AD" w:rsidP="3D1952B0">
      <w:pPr>
        <w:pStyle w:val="00Body"/>
        <w:spacing w:line="240" w:lineRule="auto"/>
        <w:jc w:val="both"/>
        <w:rPr>
          <w:rFonts w:asciiTheme="minorHAnsi" w:eastAsiaTheme="minorEastAsia" w:hAnsiTheme="minorHAnsi" w:cstheme="minorBidi"/>
          <w:sz w:val="20"/>
        </w:rPr>
      </w:pPr>
      <w:r w:rsidRPr="3D1952B0">
        <w:rPr>
          <w:rFonts w:asciiTheme="minorHAnsi" w:eastAsiaTheme="minorEastAsia" w:hAnsiTheme="minorHAnsi" w:cstheme="minorBidi"/>
          <w:sz w:val="20"/>
        </w:rPr>
        <w:lastRenderedPageBreak/>
        <w:t xml:space="preserve">Regenerace </w:t>
      </w:r>
      <w:proofErr w:type="spellStart"/>
      <w:r w:rsidRPr="3D1952B0">
        <w:rPr>
          <w:rFonts w:asciiTheme="minorHAnsi" w:eastAsiaTheme="minorEastAsia" w:hAnsiTheme="minorHAnsi" w:cstheme="minorBidi"/>
          <w:sz w:val="20"/>
        </w:rPr>
        <w:t>brownfieldů</w:t>
      </w:r>
      <w:proofErr w:type="spellEnd"/>
      <w:r w:rsidRPr="3D1952B0">
        <w:rPr>
          <w:rFonts w:asciiTheme="minorHAnsi" w:eastAsiaTheme="minorEastAsia" w:hAnsiTheme="minorHAnsi" w:cstheme="minorBidi"/>
          <w:sz w:val="20"/>
        </w:rPr>
        <w:t xml:space="preserve"> a jejich rozvoj v mnoha ohledech přispěje k naplňování Zelené agendy. Podpořeny budou takové projekty regenerace a investiční záměry, které </w:t>
      </w:r>
      <w:r w:rsidR="25D494B3" w:rsidRPr="3D1952B0">
        <w:rPr>
          <w:rFonts w:asciiTheme="minorHAnsi" w:eastAsiaTheme="minorEastAsia" w:hAnsiTheme="minorHAnsi" w:cstheme="minorBidi"/>
          <w:sz w:val="20"/>
        </w:rPr>
        <w:t>se zaváží k</w:t>
      </w:r>
      <w:r w:rsidR="13CEE0D9" w:rsidRPr="3D1952B0">
        <w:rPr>
          <w:rFonts w:asciiTheme="minorHAnsi" w:eastAsiaTheme="minorEastAsia" w:hAnsiTheme="minorHAnsi" w:cstheme="minorBidi"/>
          <w:sz w:val="20"/>
        </w:rPr>
        <w:t>e vzniku přirozeného úložiště uhlíku</w:t>
      </w:r>
      <w:r w:rsidR="25D494B3" w:rsidRPr="3D1952B0">
        <w:rPr>
          <w:rFonts w:asciiTheme="minorHAnsi" w:eastAsiaTheme="minorEastAsia" w:hAnsiTheme="minorHAnsi" w:cstheme="minorBidi"/>
          <w:sz w:val="20"/>
        </w:rPr>
        <w:t xml:space="preserve"> </w:t>
      </w:r>
      <w:r w:rsidR="6BB648DA" w:rsidRPr="3D1952B0">
        <w:rPr>
          <w:rFonts w:asciiTheme="minorHAnsi" w:eastAsiaTheme="minorEastAsia" w:hAnsiTheme="minorHAnsi" w:cstheme="minorBidi"/>
          <w:sz w:val="20"/>
        </w:rPr>
        <w:t xml:space="preserve">a současně dojde k energeticky účinné renovaci budov. </w:t>
      </w:r>
    </w:p>
    <w:p w14:paraId="1A184309" w14:textId="3D8DC69E" w:rsidR="139C6541" w:rsidRDefault="1557CCB6" w:rsidP="3EE66962">
      <w:pPr>
        <w:pStyle w:val="00Body"/>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Komponentu vnímáme jako významný prvek reformních aktivit v rámci N</w:t>
      </w:r>
      <w:r w:rsidR="021BDAC8" w:rsidRPr="3EE66962">
        <w:rPr>
          <w:rFonts w:asciiTheme="minorHAnsi" w:eastAsiaTheme="minorEastAsia" w:hAnsiTheme="minorHAnsi" w:cstheme="minorBidi"/>
          <w:sz w:val="20"/>
        </w:rPr>
        <w:t>á</w:t>
      </w:r>
      <w:r w:rsidRPr="3EE66962">
        <w:rPr>
          <w:rFonts w:asciiTheme="minorHAnsi" w:eastAsiaTheme="minorEastAsia" w:hAnsiTheme="minorHAnsi" w:cstheme="minorBidi"/>
          <w:sz w:val="20"/>
        </w:rPr>
        <w:t xml:space="preserve">rodního plánu obnovy, které přispějí k zelené, uhlíkově neutrální ekonomice. </w:t>
      </w:r>
    </w:p>
    <w:p w14:paraId="13090C4A" w14:textId="2D6EF1DD" w:rsidR="00A64C60" w:rsidRPr="00886CC8" w:rsidRDefault="37541502" w:rsidP="3EE66962">
      <w:pPr>
        <w:pStyle w:val="00Body"/>
        <w:spacing w:line="240" w:lineRule="auto"/>
        <w:jc w:val="both"/>
        <w:rPr>
          <w:rFonts w:asciiTheme="minorHAnsi" w:eastAsiaTheme="minorEastAsia" w:hAnsiTheme="minorHAnsi" w:cstheme="minorBidi"/>
          <w:b/>
          <w:bCs/>
          <w:sz w:val="20"/>
        </w:rPr>
      </w:pPr>
      <w:r w:rsidRPr="3EE66962">
        <w:rPr>
          <w:rFonts w:asciiTheme="minorHAnsi" w:eastAsiaTheme="minorEastAsia" w:hAnsiTheme="minorHAnsi" w:cstheme="minorBidi"/>
          <w:b/>
          <w:bCs/>
          <w:sz w:val="20"/>
        </w:rPr>
        <w:t xml:space="preserve">Zelená agenda </w:t>
      </w:r>
    </w:p>
    <w:p w14:paraId="5D291E6A" w14:textId="77777777" w:rsidR="00A64C60" w:rsidRPr="00886CC8" w:rsidRDefault="37541502" w:rsidP="3EE66962">
      <w:pPr>
        <w:pStyle w:val="00Body"/>
        <w:numPr>
          <w:ilvl w:val="0"/>
          <w:numId w:val="33"/>
        </w:numPr>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 xml:space="preserve">Rekultivace části ploch </w:t>
      </w:r>
      <w:proofErr w:type="spellStart"/>
      <w:r w:rsidRPr="3EE66962">
        <w:rPr>
          <w:rFonts w:asciiTheme="minorHAnsi" w:eastAsiaTheme="minorEastAsia" w:hAnsiTheme="minorHAnsi" w:cstheme="minorBidi"/>
          <w:sz w:val="20"/>
        </w:rPr>
        <w:t>brownfieldů</w:t>
      </w:r>
      <w:proofErr w:type="spellEnd"/>
      <w:r w:rsidRPr="3EE66962">
        <w:rPr>
          <w:rFonts w:asciiTheme="minorHAnsi" w:eastAsiaTheme="minorEastAsia" w:hAnsiTheme="minorHAnsi" w:cstheme="minorBidi"/>
          <w:sz w:val="20"/>
        </w:rPr>
        <w:t xml:space="preserve"> pro jejich zakomponování do zelené infrastruktury sídel a krajiny má pozitivní vliv na adaptaci na klimatické změny snížením negativního vlivu zastavěných a vegetací nepokrytých ploch </w:t>
      </w:r>
      <w:proofErr w:type="spellStart"/>
      <w:r w:rsidRPr="3EE66962">
        <w:rPr>
          <w:rFonts w:asciiTheme="minorHAnsi" w:eastAsiaTheme="minorEastAsia" w:hAnsiTheme="minorHAnsi" w:cstheme="minorBidi"/>
          <w:sz w:val="20"/>
        </w:rPr>
        <w:t>brownfieldů</w:t>
      </w:r>
      <w:proofErr w:type="spellEnd"/>
      <w:r w:rsidRPr="3EE66962">
        <w:rPr>
          <w:rFonts w:asciiTheme="minorHAnsi" w:eastAsiaTheme="minorEastAsia" w:hAnsiTheme="minorHAnsi" w:cstheme="minorBidi"/>
          <w:sz w:val="20"/>
        </w:rPr>
        <w:t xml:space="preserve"> a na zvýšení pozitivních vlivů nové městské zeleně pro mikroklima městského prostředí, a to včetně lokální kvality městského obytného prostředí a kvality života obyvatel. </w:t>
      </w:r>
    </w:p>
    <w:p w14:paraId="0D80B6CE" w14:textId="4BD8BE16" w:rsidR="00A64C60" w:rsidRPr="00886CC8" w:rsidRDefault="47E97F16" w:rsidP="3EE66962">
      <w:pPr>
        <w:pStyle w:val="00Body"/>
        <w:numPr>
          <w:ilvl w:val="0"/>
          <w:numId w:val="33"/>
        </w:numPr>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Snížení</w:t>
      </w:r>
      <w:r w:rsidR="37541502" w:rsidRPr="3EE66962">
        <w:rPr>
          <w:rFonts w:asciiTheme="minorHAnsi" w:eastAsiaTheme="minorEastAsia" w:hAnsiTheme="minorHAnsi" w:cstheme="minorBidi"/>
          <w:sz w:val="20"/>
        </w:rPr>
        <w:t xml:space="preserve"> tlaku na zábor nezastavěných ploch v </w:t>
      </w:r>
      <w:proofErr w:type="spellStart"/>
      <w:r w:rsidR="37541502" w:rsidRPr="3EE66962">
        <w:rPr>
          <w:rFonts w:asciiTheme="minorHAnsi" w:eastAsiaTheme="minorEastAsia" w:hAnsiTheme="minorHAnsi" w:cstheme="minorBidi"/>
          <w:sz w:val="20"/>
        </w:rPr>
        <w:t>extravilánech</w:t>
      </w:r>
      <w:proofErr w:type="spellEnd"/>
      <w:r w:rsidR="37541502" w:rsidRPr="3EE66962">
        <w:rPr>
          <w:rFonts w:asciiTheme="minorHAnsi" w:eastAsiaTheme="minorEastAsia" w:hAnsiTheme="minorHAnsi" w:cstheme="minorBidi"/>
          <w:sz w:val="20"/>
        </w:rPr>
        <w:t xml:space="preserve"> </w:t>
      </w:r>
      <w:r w:rsidRPr="3EE66962">
        <w:rPr>
          <w:rFonts w:asciiTheme="minorHAnsi" w:eastAsiaTheme="minorEastAsia" w:hAnsiTheme="minorHAnsi" w:cstheme="minorBidi"/>
          <w:sz w:val="20"/>
        </w:rPr>
        <w:t>bude mít</w:t>
      </w:r>
      <w:r w:rsidR="37541502" w:rsidRPr="3EE66962">
        <w:rPr>
          <w:rFonts w:asciiTheme="minorHAnsi" w:eastAsiaTheme="minorEastAsia" w:hAnsiTheme="minorHAnsi" w:cstheme="minorBidi"/>
          <w:sz w:val="20"/>
        </w:rPr>
        <w:t xml:space="preserve"> kladný vliv na klimatickou změnu v důsledku udržení zelených ploch s vegetačním pokryvem, které by bez regenerace </w:t>
      </w:r>
      <w:proofErr w:type="spellStart"/>
      <w:r w:rsidR="37541502" w:rsidRPr="3EE66962">
        <w:rPr>
          <w:rFonts w:asciiTheme="minorHAnsi" w:eastAsiaTheme="minorEastAsia" w:hAnsiTheme="minorHAnsi" w:cstheme="minorBidi"/>
          <w:sz w:val="20"/>
        </w:rPr>
        <w:t>brownfieldů</w:t>
      </w:r>
      <w:proofErr w:type="spellEnd"/>
      <w:r w:rsidR="37541502" w:rsidRPr="3EE66962">
        <w:rPr>
          <w:rFonts w:asciiTheme="minorHAnsi" w:eastAsiaTheme="minorEastAsia" w:hAnsiTheme="minorHAnsi" w:cstheme="minorBidi"/>
          <w:sz w:val="20"/>
        </w:rPr>
        <w:t xml:space="preserve"> byly předmětem zastavění.</w:t>
      </w:r>
    </w:p>
    <w:p w14:paraId="1DF1BEB3" w14:textId="51DB907B" w:rsidR="00A64C60" w:rsidRPr="00886CC8" w:rsidRDefault="37541502" w:rsidP="3EE66962">
      <w:pPr>
        <w:pStyle w:val="00Body"/>
        <w:numPr>
          <w:ilvl w:val="0"/>
          <w:numId w:val="33"/>
        </w:numPr>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Menší zábor zastavěné plochy v </w:t>
      </w:r>
      <w:proofErr w:type="spellStart"/>
      <w:r w:rsidRPr="3EE66962">
        <w:rPr>
          <w:rFonts w:asciiTheme="minorHAnsi" w:eastAsiaTheme="minorEastAsia" w:hAnsiTheme="minorHAnsi" w:cstheme="minorBidi"/>
          <w:sz w:val="20"/>
        </w:rPr>
        <w:t>intravilánu</w:t>
      </w:r>
      <w:proofErr w:type="spellEnd"/>
      <w:r w:rsidRPr="3EE66962">
        <w:rPr>
          <w:rFonts w:asciiTheme="minorHAnsi" w:eastAsiaTheme="minorEastAsia" w:hAnsiTheme="minorHAnsi" w:cstheme="minorBidi"/>
          <w:sz w:val="20"/>
        </w:rPr>
        <w:t xml:space="preserve"> měst v porovnání s nově zastavovanými plochami mimo </w:t>
      </w:r>
      <w:proofErr w:type="spellStart"/>
      <w:r w:rsidRPr="3EE66962">
        <w:rPr>
          <w:rFonts w:asciiTheme="minorHAnsi" w:eastAsiaTheme="minorEastAsia" w:hAnsiTheme="minorHAnsi" w:cstheme="minorBidi"/>
          <w:sz w:val="20"/>
        </w:rPr>
        <w:t>intravilán</w:t>
      </w:r>
      <w:proofErr w:type="spellEnd"/>
      <w:r w:rsidRPr="3EE66962">
        <w:rPr>
          <w:rFonts w:asciiTheme="minorHAnsi" w:eastAsiaTheme="minorEastAsia" w:hAnsiTheme="minorHAnsi" w:cstheme="minorBidi"/>
          <w:sz w:val="20"/>
        </w:rPr>
        <w:t xml:space="preserve"> povede k ponechání většího rozsahu ploch s vegetačním pokryvem a tím </w:t>
      </w:r>
      <w:r w:rsidR="7F44F599" w:rsidRPr="3EE66962">
        <w:rPr>
          <w:rFonts w:asciiTheme="minorHAnsi" w:eastAsiaTheme="minorEastAsia" w:hAnsiTheme="minorHAnsi" w:cstheme="minorBidi"/>
          <w:sz w:val="20"/>
        </w:rPr>
        <w:t xml:space="preserve">pozitivně </w:t>
      </w:r>
      <w:r w:rsidR="0F04FDF7" w:rsidRPr="3EE66962">
        <w:rPr>
          <w:rFonts w:asciiTheme="minorHAnsi" w:eastAsiaTheme="minorEastAsia" w:hAnsiTheme="minorHAnsi" w:cstheme="minorBidi"/>
          <w:sz w:val="20"/>
        </w:rPr>
        <w:t xml:space="preserve">přispěje </w:t>
      </w:r>
      <w:r w:rsidR="7F44F599" w:rsidRPr="3EE66962">
        <w:rPr>
          <w:rFonts w:asciiTheme="minorHAnsi" w:eastAsiaTheme="minorEastAsia" w:hAnsiTheme="minorHAnsi" w:cstheme="minorBidi"/>
          <w:sz w:val="20"/>
        </w:rPr>
        <w:t xml:space="preserve">k </w:t>
      </w:r>
      <w:r w:rsidRPr="3EE66962">
        <w:rPr>
          <w:rFonts w:asciiTheme="minorHAnsi" w:eastAsiaTheme="minorEastAsia" w:hAnsiTheme="minorHAnsi" w:cstheme="minorBidi"/>
          <w:sz w:val="20"/>
        </w:rPr>
        <w:t>příznivější</w:t>
      </w:r>
      <w:r w:rsidR="7F44F599" w:rsidRPr="3EE66962">
        <w:rPr>
          <w:rFonts w:asciiTheme="minorHAnsi" w:eastAsiaTheme="minorEastAsia" w:hAnsiTheme="minorHAnsi" w:cstheme="minorBidi"/>
          <w:sz w:val="20"/>
        </w:rPr>
        <w:t>m klimatickým a ekologickým</w:t>
      </w:r>
      <w:r w:rsidRPr="3EE66962">
        <w:rPr>
          <w:rFonts w:asciiTheme="minorHAnsi" w:eastAsiaTheme="minorEastAsia" w:hAnsiTheme="minorHAnsi" w:cstheme="minorBidi"/>
          <w:sz w:val="20"/>
        </w:rPr>
        <w:t xml:space="preserve"> důsledk</w:t>
      </w:r>
      <w:r w:rsidR="7F44F599" w:rsidRPr="3EE66962">
        <w:rPr>
          <w:rFonts w:asciiTheme="minorHAnsi" w:eastAsiaTheme="minorEastAsia" w:hAnsiTheme="minorHAnsi" w:cstheme="minorBidi"/>
          <w:sz w:val="20"/>
        </w:rPr>
        <w:t>ům</w:t>
      </w:r>
      <w:r w:rsidRPr="3EE66962">
        <w:rPr>
          <w:rFonts w:asciiTheme="minorHAnsi" w:eastAsiaTheme="minorEastAsia" w:hAnsiTheme="minorHAnsi" w:cstheme="minorBidi"/>
          <w:sz w:val="20"/>
        </w:rPr>
        <w:t xml:space="preserve"> a ke kompakt</w:t>
      </w:r>
      <w:r w:rsidR="532C6324" w:rsidRPr="3EE66962">
        <w:rPr>
          <w:rFonts w:asciiTheme="minorHAnsi" w:eastAsiaTheme="minorEastAsia" w:hAnsiTheme="minorHAnsi" w:cstheme="minorBidi"/>
          <w:sz w:val="20"/>
        </w:rPr>
        <w:t>nější zástavbě, která lépe umožní</w:t>
      </w:r>
      <w:r w:rsidRPr="3EE66962">
        <w:rPr>
          <w:rFonts w:asciiTheme="minorHAnsi" w:eastAsiaTheme="minorEastAsia" w:hAnsiTheme="minorHAnsi" w:cstheme="minorBidi"/>
          <w:sz w:val="20"/>
        </w:rPr>
        <w:t xml:space="preserve"> realizaci energeticky úspornějších a účinnějších řešení.</w:t>
      </w:r>
    </w:p>
    <w:p w14:paraId="5E2DA5E7" w14:textId="77777777" w:rsidR="00A64C60" w:rsidRPr="00886CC8" w:rsidRDefault="37541502" w:rsidP="3EE66962">
      <w:pPr>
        <w:pStyle w:val="00Body"/>
        <w:numPr>
          <w:ilvl w:val="0"/>
          <w:numId w:val="33"/>
        </w:numPr>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 xml:space="preserve">Snížení energetické spotřeby využíváním lokalit v městském </w:t>
      </w:r>
      <w:proofErr w:type="spellStart"/>
      <w:r w:rsidRPr="3EE66962">
        <w:rPr>
          <w:rFonts w:asciiTheme="minorHAnsi" w:eastAsiaTheme="minorEastAsia" w:hAnsiTheme="minorHAnsi" w:cstheme="minorBidi"/>
          <w:sz w:val="20"/>
        </w:rPr>
        <w:t>intravilánu</w:t>
      </w:r>
      <w:proofErr w:type="spellEnd"/>
      <w:r w:rsidRPr="3EE66962">
        <w:rPr>
          <w:rFonts w:asciiTheme="minorHAnsi" w:eastAsiaTheme="minorEastAsia" w:hAnsiTheme="minorHAnsi" w:cstheme="minorBidi"/>
          <w:sz w:val="20"/>
        </w:rPr>
        <w:t xml:space="preserve"> v porovnání s rozvojem nových ploch v zázemí měst povede k nižší spotřebě energií a nižším emisím v souvislosti s dopravní obsluhou v porovnání s lokalitami mimo </w:t>
      </w:r>
      <w:proofErr w:type="spellStart"/>
      <w:r w:rsidRPr="3EE66962">
        <w:rPr>
          <w:rFonts w:asciiTheme="minorHAnsi" w:eastAsiaTheme="minorEastAsia" w:hAnsiTheme="minorHAnsi" w:cstheme="minorBidi"/>
          <w:sz w:val="20"/>
        </w:rPr>
        <w:t>intravilán</w:t>
      </w:r>
      <w:proofErr w:type="spellEnd"/>
      <w:r w:rsidRPr="3EE66962">
        <w:rPr>
          <w:rFonts w:asciiTheme="minorHAnsi" w:eastAsiaTheme="minorEastAsia" w:hAnsiTheme="minorHAnsi" w:cstheme="minorBidi"/>
          <w:sz w:val="20"/>
        </w:rPr>
        <w:t xml:space="preserve"> z důvodu menšího množství a délky přepravy osob, zboží a materiálu.</w:t>
      </w:r>
    </w:p>
    <w:p w14:paraId="2AC4A8B6" w14:textId="22749C2D" w:rsidR="00A64C60" w:rsidRDefault="12F5696C" w:rsidP="3EE66962">
      <w:pPr>
        <w:pStyle w:val="00Body"/>
        <w:numPr>
          <w:ilvl w:val="0"/>
          <w:numId w:val="33"/>
        </w:numPr>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 xml:space="preserve">Zvýšení energetické účinnosti </w:t>
      </w:r>
      <w:r w:rsidR="799EDCE8" w:rsidRPr="3EE66962">
        <w:rPr>
          <w:rFonts w:asciiTheme="minorHAnsi" w:eastAsiaTheme="minorEastAsia" w:hAnsiTheme="minorHAnsi" w:cstheme="minorBidi"/>
          <w:sz w:val="20"/>
        </w:rPr>
        <w:t xml:space="preserve">budov </w:t>
      </w:r>
      <w:r w:rsidRPr="3EE66962">
        <w:rPr>
          <w:rFonts w:asciiTheme="minorHAnsi" w:eastAsiaTheme="minorEastAsia" w:hAnsiTheme="minorHAnsi" w:cstheme="minorBidi"/>
          <w:sz w:val="20"/>
        </w:rPr>
        <w:t xml:space="preserve">bude dosaženo </w:t>
      </w:r>
      <w:r w:rsidR="7FD6285E" w:rsidRPr="3EE66962">
        <w:rPr>
          <w:rFonts w:asciiTheme="minorHAnsi" w:eastAsiaTheme="minorEastAsia" w:hAnsiTheme="minorHAnsi" w:cstheme="minorBidi"/>
          <w:sz w:val="20"/>
        </w:rPr>
        <w:t xml:space="preserve">buď výstavbou nových energeticky účinných budov na území </w:t>
      </w:r>
      <w:proofErr w:type="spellStart"/>
      <w:r w:rsidR="7FD6285E" w:rsidRPr="3EE66962">
        <w:rPr>
          <w:rFonts w:asciiTheme="minorHAnsi" w:eastAsiaTheme="minorEastAsia" w:hAnsiTheme="minorHAnsi" w:cstheme="minorBidi"/>
          <w:sz w:val="20"/>
        </w:rPr>
        <w:t>brownfieldů</w:t>
      </w:r>
      <w:proofErr w:type="spellEnd"/>
      <w:r w:rsidR="7FD6285E" w:rsidRPr="3EE66962">
        <w:rPr>
          <w:rFonts w:asciiTheme="minorHAnsi" w:eastAsiaTheme="minorEastAsia" w:hAnsiTheme="minorHAnsi" w:cstheme="minorBidi"/>
          <w:sz w:val="20"/>
        </w:rPr>
        <w:t xml:space="preserve"> jako náhrada starých energeticky neu</w:t>
      </w:r>
      <w:r w:rsidR="60CDACD2" w:rsidRPr="3EE66962">
        <w:rPr>
          <w:rFonts w:asciiTheme="minorHAnsi" w:eastAsiaTheme="minorEastAsia" w:hAnsiTheme="minorHAnsi" w:cstheme="minorBidi"/>
          <w:sz w:val="20"/>
        </w:rPr>
        <w:t>spokojivých nebo energeticky účinnou renovací tam, kde bude možné stávající budovy renovovat.</w:t>
      </w:r>
    </w:p>
    <w:p w14:paraId="6627FFFA" w14:textId="1BBCB0E7" w:rsidR="00A64C60" w:rsidRDefault="558B72A2" w:rsidP="3EE66962">
      <w:pPr>
        <w:pStyle w:val="00Body"/>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Pro investice z komponenty se vycházelo ze stanovené</w:t>
      </w:r>
      <w:r w:rsidR="2E20B499" w:rsidRPr="3EE66962">
        <w:rPr>
          <w:rFonts w:asciiTheme="minorHAnsi" w:eastAsiaTheme="minorEastAsia" w:hAnsiTheme="minorHAnsi" w:cstheme="minorBidi"/>
          <w:sz w:val="20"/>
        </w:rPr>
        <w:t>ho nařízení RRF, kde byly využity položky</w:t>
      </w:r>
      <w:r w:rsidR="68AEE255" w:rsidRPr="3EE66962">
        <w:rPr>
          <w:rFonts w:asciiTheme="minorHAnsi" w:eastAsiaTheme="minorEastAsia" w:hAnsiTheme="minorHAnsi" w:cstheme="minorBidi"/>
          <w:sz w:val="20"/>
        </w:rPr>
        <w:t>:</w:t>
      </w:r>
      <w:r w:rsidR="2E20B499" w:rsidRPr="3EE66962">
        <w:rPr>
          <w:rFonts w:asciiTheme="minorHAnsi" w:eastAsiaTheme="minorEastAsia" w:hAnsiTheme="minorHAnsi" w:cstheme="minorBidi"/>
          <w:sz w:val="20"/>
        </w:rPr>
        <w:t xml:space="preserve"> </w:t>
      </w:r>
    </w:p>
    <w:p w14:paraId="5AA3BDB5" w14:textId="420798C6" w:rsidR="56D29F30" w:rsidRDefault="1591D5B0" w:rsidP="3D1952B0">
      <w:pPr>
        <w:pStyle w:val="00Body"/>
        <w:numPr>
          <w:ilvl w:val="0"/>
          <w:numId w:val="1"/>
        </w:numPr>
        <w:spacing w:line="240" w:lineRule="auto"/>
        <w:jc w:val="both"/>
        <w:rPr>
          <w:rFonts w:asciiTheme="minorHAnsi" w:eastAsiaTheme="minorEastAsia" w:hAnsiTheme="minorHAnsi" w:cstheme="minorBidi"/>
          <w:sz w:val="20"/>
        </w:rPr>
      </w:pPr>
      <w:r w:rsidRPr="3D1952B0">
        <w:rPr>
          <w:rFonts w:asciiTheme="minorHAnsi" w:eastAsiaTheme="minorEastAsia" w:hAnsiTheme="minorHAnsi" w:cstheme="minorBidi"/>
          <w:sz w:val="20"/>
        </w:rPr>
        <w:t xml:space="preserve"> </w:t>
      </w:r>
      <w:proofErr w:type="gramStart"/>
      <w:r w:rsidRPr="3D1952B0">
        <w:rPr>
          <w:rFonts w:asciiTheme="minorHAnsi" w:eastAsiaTheme="minorEastAsia" w:hAnsiTheme="minorHAnsi" w:cstheme="minorBidi"/>
          <w:sz w:val="20"/>
        </w:rPr>
        <w:t>025b</w:t>
      </w:r>
      <w:proofErr w:type="gramEnd"/>
      <w:r w:rsidRPr="3D1952B0">
        <w:rPr>
          <w:rFonts w:asciiTheme="minorHAnsi" w:eastAsiaTheme="minorEastAsia" w:hAnsiTheme="minorHAnsi" w:cstheme="minorBidi"/>
          <w:sz w:val="20"/>
        </w:rPr>
        <w:t xml:space="preserve"> – Výstavba nových energeticky účinných budov</w:t>
      </w:r>
    </w:p>
    <w:p w14:paraId="5C024DD9" w14:textId="7EFD8BF2" w:rsidR="1591D5B0" w:rsidRDefault="1591D5B0" w:rsidP="3D1952B0">
      <w:pPr>
        <w:pStyle w:val="00Body"/>
        <w:numPr>
          <w:ilvl w:val="0"/>
          <w:numId w:val="1"/>
        </w:numPr>
        <w:spacing w:line="240" w:lineRule="auto"/>
        <w:jc w:val="both"/>
        <w:rPr>
          <w:rFonts w:asciiTheme="minorHAnsi" w:eastAsiaTheme="minorEastAsia" w:hAnsiTheme="minorHAnsi" w:cstheme="minorBidi"/>
          <w:sz w:val="20"/>
        </w:rPr>
      </w:pPr>
      <w:r w:rsidRPr="3D1952B0">
        <w:rPr>
          <w:rFonts w:asciiTheme="minorHAnsi" w:eastAsiaTheme="minorEastAsia" w:hAnsiTheme="minorHAnsi" w:cstheme="minorBidi"/>
          <w:sz w:val="20"/>
        </w:rPr>
        <w:t>026 – Energeticky účinná renovace nebo opatření na zvýšení energetické účinnosti veřejné infrastruktury, demonstrační projekty a podpůrná opatření</w:t>
      </w:r>
    </w:p>
    <w:p w14:paraId="7EBD96C7" w14:textId="617D448E" w:rsidR="00A64C60" w:rsidRDefault="681F20AC" w:rsidP="02FE81AC">
      <w:pPr>
        <w:pStyle w:val="00Body"/>
        <w:numPr>
          <w:ilvl w:val="0"/>
          <w:numId w:val="1"/>
        </w:numPr>
        <w:spacing w:line="240" w:lineRule="auto"/>
        <w:jc w:val="both"/>
        <w:rPr>
          <w:rFonts w:asciiTheme="minorHAnsi" w:eastAsiaTheme="minorEastAsia" w:hAnsiTheme="minorHAnsi" w:cstheme="minorBidi"/>
          <w:sz w:val="20"/>
        </w:rPr>
      </w:pPr>
      <w:proofErr w:type="gramStart"/>
      <w:r w:rsidRPr="02FE81AC">
        <w:rPr>
          <w:rFonts w:asciiTheme="minorHAnsi" w:eastAsiaTheme="minorEastAsia" w:hAnsiTheme="minorHAnsi" w:cstheme="minorBidi"/>
          <w:sz w:val="20"/>
        </w:rPr>
        <w:t>46a</w:t>
      </w:r>
      <w:proofErr w:type="gramEnd"/>
      <w:r w:rsidRPr="02FE81AC">
        <w:rPr>
          <w:rFonts w:asciiTheme="minorHAnsi" w:eastAsiaTheme="minorEastAsia" w:hAnsiTheme="minorHAnsi" w:cstheme="minorBidi"/>
          <w:sz w:val="20"/>
        </w:rPr>
        <w:t xml:space="preserve"> – Rekultivace průmyslových zón a kontaminovaných lokalit v</w:t>
      </w:r>
      <w:r w:rsidR="35405B05" w:rsidRPr="02FE81AC">
        <w:rPr>
          <w:rFonts w:asciiTheme="minorHAnsi" w:eastAsiaTheme="minorEastAsia" w:hAnsiTheme="minorHAnsi" w:cstheme="minorBidi"/>
          <w:sz w:val="20"/>
        </w:rPr>
        <w:t xml:space="preserve"> souladu s kritérii účinnosti</w:t>
      </w:r>
    </w:p>
    <w:p w14:paraId="68137817" w14:textId="1ABE45AA" w:rsidR="00A64C60" w:rsidRDefault="681F20AC" w:rsidP="3EE66962">
      <w:pPr>
        <w:pStyle w:val="00Body"/>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 xml:space="preserve">Všechny zvolené cíle mají environmentální cíl na úrovni 40 %. </w:t>
      </w:r>
    </w:p>
    <w:p w14:paraId="582A77E0" w14:textId="529A3911" w:rsidR="00A64C60" w:rsidRDefault="00A64C60" w:rsidP="3EE66962">
      <w:pPr>
        <w:pStyle w:val="00Body"/>
        <w:spacing w:line="240" w:lineRule="auto"/>
        <w:jc w:val="both"/>
        <w:rPr>
          <w:rFonts w:asciiTheme="minorHAnsi" w:eastAsiaTheme="minorEastAsia" w:hAnsiTheme="minorHAnsi" w:cstheme="minorBidi"/>
          <w:b/>
          <w:bCs/>
          <w:sz w:val="20"/>
        </w:rPr>
      </w:pPr>
    </w:p>
    <w:p w14:paraId="48D05418" w14:textId="2679336E" w:rsidR="00A64C60" w:rsidRDefault="09809706" w:rsidP="3EE66962">
      <w:pPr>
        <w:pStyle w:val="00Body"/>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b/>
          <w:bCs/>
          <w:sz w:val="20"/>
        </w:rPr>
        <w:t xml:space="preserve">Doporučení Rady EU pro ČR </w:t>
      </w:r>
    </w:p>
    <w:p w14:paraId="7B36F6DB" w14:textId="77777777" w:rsidR="00A64C60" w:rsidRDefault="37541502" w:rsidP="3EE66962">
      <w:pPr>
        <w:pStyle w:val="00Body"/>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Mimo to komponenta navazuje na doporučení Rady EU pro ČR v roce 2020, které varuje, že současná situace s sebou nese značné riziko, že se v Česku prohloubí regionální a územní rozdíly nebo že vzniknou nové územní rozdíly v rámci regionů, přičemž se mimo jiné ještě zhorší již pozorovaný trend prohlubování rozdílů mezi Karlovarským a Ústeckým krajem a zbytkem ČR. Komponenta cílí především na následující doporučení:</w:t>
      </w:r>
    </w:p>
    <w:p w14:paraId="06A91D1C" w14:textId="77777777" w:rsidR="00A64C60" w:rsidRDefault="37541502" w:rsidP="3EE66962">
      <w:pPr>
        <w:pStyle w:val="00Body"/>
        <w:numPr>
          <w:ilvl w:val="0"/>
          <w:numId w:val="35"/>
        </w:numPr>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předsunout veřejné investiční projekty ve vyšší fázi připravenosti a podpořit soukromé investice, aby se napomohlo hospodářskému oživení.</w:t>
      </w:r>
    </w:p>
    <w:p w14:paraId="20CE5DDE" w14:textId="5A023F6D" w:rsidR="00A64C60" w:rsidRDefault="37541502" w:rsidP="3EE66962">
      <w:pPr>
        <w:pStyle w:val="00Body"/>
        <w:numPr>
          <w:ilvl w:val="0"/>
          <w:numId w:val="35"/>
        </w:numPr>
        <w:spacing w:line="240" w:lineRule="auto"/>
        <w:jc w:val="both"/>
        <w:rPr>
          <w:rFonts w:asciiTheme="minorHAnsi" w:eastAsiaTheme="minorEastAsia" w:hAnsiTheme="minorHAnsi" w:cstheme="minorBidi"/>
          <w:sz w:val="20"/>
        </w:rPr>
      </w:pPr>
      <w:r w:rsidRPr="3EE66962">
        <w:rPr>
          <w:rFonts w:asciiTheme="minorHAnsi" w:eastAsiaTheme="minorEastAsia" w:hAnsiTheme="minorHAnsi" w:cstheme="minorBidi"/>
          <w:sz w:val="20"/>
        </w:rPr>
        <w:t>Zaměřit investice na ekologickou a digitální transformaci, účinné využívání energie, a to mimo jiné v uhelných regionech.</w:t>
      </w:r>
    </w:p>
    <w:p w14:paraId="2824B2D5" w14:textId="5A023F6D" w:rsidR="00F16A79" w:rsidRPr="00F43894" w:rsidRDefault="00F16A79" w:rsidP="3EE66962">
      <w:pPr>
        <w:pStyle w:val="00Body"/>
        <w:spacing w:line="240" w:lineRule="auto"/>
        <w:ind w:left="720"/>
        <w:jc w:val="both"/>
        <w:rPr>
          <w:rFonts w:asciiTheme="minorHAnsi" w:eastAsiaTheme="minorEastAsia" w:hAnsiTheme="minorHAnsi" w:cstheme="minorBidi"/>
          <w:sz w:val="20"/>
        </w:rPr>
      </w:pPr>
    </w:p>
    <w:p w14:paraId="56E7BAC1" w14:textId="1B57098D" w:rsidR="4FCB85BE" w:rsidRDefault="4FCB85BE" w:rsidP="3EE66962">
      <w:pPr>
        <w:pStyle w:val="00Body"/>
        <w:spacing w:line="240" w:lineRule="auto"/>
        <w:ind w:left="720"/>
        <w:jc w:val="both"/>
        <w:rPr>
          <w:sz w:val="20"/>
        </w:rPr>
      </w:pPr>
    </w:p>
    <w:p w14:paraId="2EF9433E" w14:textId="041C291F" w:rsidR="4FCB85BE" w:rsidRDefault="4FCB85BE" w:rsidP="3EE66962">
      <w:pPr>
        <w:pStyle w:val="00Body"/>
        <w:spacing w:line="240" w:lineRule="auto"/>
        <w:ind w:left="720"/>
        <w:jc w:val="both"/>
        <w:rPr>
          <w:sz w:val="20"/>
        </w:rPr>
      </w:pPr>
    </w:p>
    <w:p w14:paraId="063C8021" w14:textId="23897C19" w:rsidR="4FCB85BE" w:rsidRDefault="4D4D7176" w:rsidP="3EE66962">
      <w:pPr>
        <w:pStyle w:val="Nadpis2"/>
        <w:spacing w:after="240" w:line="240" w:lineRule="auto"/>
        <w:jc w:val="both"/>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lang w:val="en-US"/>
        </w:rPr>
        <w:lastRenderedPageBreak/>
        <w:t xml:space="preserve">7. </w:t>
      </w:r>
      <w:r w:rsidR="6F0F6E1D" w:rsidRPr="3EE66962">
        <w:rPr>
          <w:rFonts w:asciiTheme="minorHAnsi" w:eastAsiaTheme="minorEastAsia" w:hAnsiTheme="minorHAnsi" w:cstheme="minorBidi"/>
          <w:sz w:val="20"/>
          <w:szCs w:val="20"/>
        </w:rPr>
        <w:t xml:space="preserve">Digitální </w:t>
      </w:r>
      <w:r w:rsidR="41C2F529" w:rsidRPr="3EE66962">
        <w:rPr>
          <w:rFonts w:asciiTheme="minorHAnsi" w:eastAsiaTheme="minorEastAsia" w:hAnsiTheme="minorHAnsi" w:cstheme="minorBidi"/>
          <w:sz w:val="20"/>
          <w:szCs w:val="20"/>
        </w:rPr>
        <w:t xml:space="preserve">rozměr komponenty </w:t>
      </w:r>
    </w:p>
    <w:p w14:paraId="723FAA39" w14:textId="1E8554E8" w:rsidR="002C5EAE" w:rsidRPr="007A025B" w:rsidRDefault="47B283FF" w:rsidP="3EE66962">
      <w:pPr>
        <w:spacing w:line="240" w:lineRule="auto"/>
        <w:jc w:val="both"/>
        <w:rPr>
          <w:rFonts w:eastAsiaTheme="minorEastAsia"/>
          <w:sz w:val="20"/>
          <w:szCs w:val="20"/>
        </w:rPr>
      </w:pPr>
      <w:r w:rsidRPr="3EE66962">
        <w:rPr>
          <w:rFonts w:eastAsiaTheme="minorEastAsia"/>
          <w:sz w:val="20"/>
          <w:szCs w:val="20"/>
        </w:rPr>
        <w:t xml:space="preserve">Komponenta samostatně necílí na plnění digitálních cílů, naplnění digitálních cílů nebude podmínkou pro podporu projektů z této komponenty. Přesto mohou být také podpořené projekty, které k naplnění digitálních cílů přispějí. Při projektové přípravě budou projekty vznikat mj. v prostředí BIM. Zároveň u samotné realizace projektů dojde ke komplexní přípravě a regeneraci pozemků. Budou odstraněny zátěže a bude zavedena nová infrastruktura včetně datových kabelů. </w:t>
      </w:r>
    </w:p>
    <w:p w14:paraId="73641ADD" w14:textId="34BB842F" w:rsidR="4FCB85BE" w:rsidRDefault="4FCB85BE" w:rsidP="3EE66962">
      <w:pPr>
        <w:spacing w:line="240" w:lineRule="auto"/>
        <w:rPr>
          <w:rFonts w:eastAsiaTheme="minorEastAsia"/>
          <w:sz w:val="20"/>
          <w:szCs w:val="20"/>
        </w:rPr>
      </w:pPr>
    </w:p>
    <w:p w14:paraId="051A348D" w14:textId="6C6DB28E" w:rsidR="00F272CA" w:rsidRPr="00654847" w:rsidRDefault="4D4D7176" w:rsidP="3EE66962">
      <w:pPr>
        <w:spacing w:line="240" w:lineRule="auto"/>
        <w:rPr>
          <w:rFonts w:eastAsiaTheme="minorEastAsia"/>
          <w:sz w:val="20"/>
          <w:szCs w:val="20"/>
        </w:rPr>
      </w:pPr>
      <w:r w:rsidRPr="3EE66962">
        <w:rPr>
          <w:rFonts w:eastAsiaTheme="minorEastAsia"/>
          <w:b/>
          <w:bCs/>
          <w:sz w:val="20"/>
          <w:szCs w:val="20"/>
          <w:lang w:val="en-US"/>
        </w:rPr>
        <w:t>8.</w:t>
      </w:r>
      <w:r w:rsidRPr="00654847">
        <w:rPr>
          <w:rFonts w:eastAsiaTheme="minorEastAsia"/>
          <w:b/>
          <w:bCs/>
          <w:sz w:val="20"/>
          <w:szCs w:val="20"/>
        </w:rPr>
        <w:t xml:space="preserve"> </w:t>
      </w:r>
      <w:r w:rsidR="64F53797" w:rsidRPr="00654847">
        <w:rPr>
          <w:rFonts w:eastAsiaTheme="minorEastAsia"/>
          <w:b/>
          <w:bCs/>
          <w:sz w:val="20"/>
          <w:szCs w:val="20"/>
        </w:rPr>
        <w:t xml:space="preserve">Uplatnění zásady „významně </w:t>
      </w:r>
      <w:proofErr w:type="gramStart"/>
      <w:r w:rsidR="64F53797" w:rsidRPr="00654847">
        <w:rPr>
          <w:rFonts w:eastAsiaTheme="minorEastAsia"/>
          <w:b/>
          <w:bCs/>
          <w:sz w:val="20"/>
          <w:szCs w:val="20"/>
        </w:rPr>
        <w:t>nepoškozovat“</w:t>
      </w:r>
      <w:proofErr w:type="gramEnd"/>
    </w:p>
    <w:p w14:paraId="1CED768C" w14:textId="61D0F3A3" w:rsidR="00F272CA" w:rsidRDefault="04379303" w:rsidP="3EE66962">
      <w:pPr>
        <w:pStyle w:val="Nadpis2"/>
        <w:spacing w:line="240" w:lineRule="auto"/>
        <w:rPr>
          <w:rFonts w:asciiTheme="minorHAnsi" w:eastAsiaTheme="minorEastAsia" w:hAnsiTheme="minorHAnsi" w:cstheme="minorBidi"/>
          <w:b w:val="0"/>
          <w:sz w:val="20"/>
          <w:szCs w:val="20"/>
        </w:rPr>
      </w:pPr>
      <w:r w:rsidRPr="3EE66962">
        <w:rPr>
          <w:rFonts w:asciiTheme="minorHAnsi" w:eastAsiaTheme="minorEastAsia" w:hAnsiTheme="minorHAnsi" w:cstheme="minorBidi"/>
          <w:b w:val="0"/>
          <w:sz w:val="20"/>
          <w:szCs w:val="20"/>
        </w:rPr>
        <w:t xml:space="preserve">Více samostatná tabulka </w:t>
      </w:r>
    </w:p>
    <w:p w14:paraId="177CABB8" w14:textId="77777777" w:rsidR="004409D5" w:rsidRPr="004409D5" w:rsidRDefault="02A20A27" w:rsidP="3EE66962">
      <w:pPr>
        <w:spacing w:line="240" w:lineRule="auto"/>
        <w:jc w:val="both"/>
        <w:rPr>
          <w:rFonts w:eastAsiaTheme="minorEastAsia"/>
          <w:sz w:val="20"/>
          <w:szCs w:val="20"/>
        </w:rPr>
      </w:pPr>
      <w:r w:rsidRPr="3EE66962">
        <w:rPr>
          <w:rFonts w:eastAsiaTheme="minorEastAsia"/>
          <w:sz w:val="20"/>
          <w:szCs w:val="20"/>
        </w:rPr>
        <w:t xml:space="preserve">Reforma má pozitivní dopad na zmírňování změny klimatu a pozitivně přispívá ke snižování emisí skleníkových plynů. Díky přestavbě </w:t>
      </w:r>
      <w:proofErr w:type="spellStart"/>
      <w:r w:rsidRPr="3EE66962">
        <w:rPr>
          <w:rFonts w:eastAsiaTheme="minorEastAsia"/>
          <w:sz w:val="20"/>
          <w:szCs w:val="20"/>
        </w:rPr>
        <w:t>brownfields</w:t>
      </w:r>
      <w:proofErr w:type="spellEnd"/>
      <w:r w:rsidRPr="3EE66962">
        <w:rPr>
          <w:rFonts w:eastAsiaTheme="minorEastAsia"/>
          <w:sz w:val="20"/>
          <w:szCs w:val="20"/>
        </w:rPr>
        <w:t xml:space="preserve"> bude využití zelených ploch a bude mít pozitivní vliv na ochranu přírody a půdy; Plochy bez rozvojového potenciálu lze také přeměnit na zeleň. Rekonstrukce budov povede k vyššímu standardu energetické účinnosti, který také výrazně zvýší úspory energie.</w:t>
      </w:r>
    </w:p>
    <w:p w14:paraId="1F65E417" w14:textId="5F86977F" w:rsidR="004409D5" w:rsidRDefault="02A20A27" w:rsidP="3EE66962">
      <w:pPr>
        <w:spacing w:line="240" w:lineRule="auto"/>
        <w:jc w:val="both"/>
        <w:rPr>
          <w:rFonts w:eastAsiaTheme="minorEastAsia"/>
          <w:sz w:val="20"/>
          <w:szCs w:val="20"/>
        </w:rPr>
      </w:pPr>
      <w:r w:rsidRPr="3EE66962">
        <w:rPr>
          <w:rFonts w:eastAsiaTheme="minorEastAsia"/>
          <w:sz w:val="20"/>
          <w:szCs w:val="20"/>
        </w:rPr>
        <w:t xml:space="preserve">Projekt podporovaný z komponenty se bude řídit novou vyhláškou č. 264/2020 Sb. o energetické účinnosti budov. Projekty, které splňují vysoký standard energetické účinnosti a zahrnují modrozelenou infrastrukturu, budou mít při provádění vysokou prioritu. </w:t>
      </w:r>
    </w:p>
    <w:p w14:paraId="23AA73F1" w14:textId="17422416" w:rsidR="3D5D2481" w:rsidRDefault="3D5D2481" w:rsidP="3EE66962">
      <w:pPr>
        <w:pStyle w:val="Nadpis2"/>
        <w:spacing w:line="240" w:lineRule="auto"/>
        <w:rPr>
          <w:rFonts w:asciiTheme="minorHAnsi" w:eastAsiaTheme="minorEastAsia" w:hAnsiTheme="minorHAnsi" w:cstheme="minorBidi"/>
          <w:sz w:val="20"/>
          <w:szCs w:val="20"/>
          <w:lang w:val="en-US"/>
        </w:rPr>
      </w:pPr>
    </w:p>
    <w:p w14:paraId="22EC0406" w14:textId="3D4C80CA" w:rsidR="004409D5" w:rsidRDefault="02A20A27" w:rsidP="3EE66962">
      <w:pPr>
        <w:pStyle w:val="Nadpis2"/>
        <w:spacing w:after="240" w:line="240" w:lineRule="auto"/>
        <w:rPr>
          <w:rFonts w:asciiTheme="minorHAnsi" w:eastAsiaTheme="minorEastAsia" w:hAnsiTheme="minorHAnsi" w:cstheme="minorBidi"/>
          <w:sz w:val="20"/>
          <w:szCs w:val="20"/>
        </w:rPr>
      </w:pPr>
      <w:r w:rsidRPr="3EE66962">
        <w:rPr>
          <w:rFonts w:asciiTheme="minorHAnsi" w:eastAsiaTheme="minorEastAsia" w:hAnsiTheme="minorHAnsi" w:cstheme="minorBidi"/>
          <w:sz w:val="20"/>
          <w:szCs w:val="20"/>
          <w:lang w:val="en-US"/>
        </w:rPr>
        <w:t xml:space="preserve">9. </w:t>
      </w:r>
      <w:r w:rsidRPr="3EE66962">
        <w:rPr>
          <w:rFonts w:asciiTheme="minorHAnsi" w:eastAsiaTheme="minorEastAsia" w:hAnsiTheme="minorHAnsi" w:cstheme="minorBidi"/>
          <w:sz w:val="20"/>
          <w:szCs w:val="20"/>
        </w:rPr>
        <w:t xml:space="preserve">Milníky, cíle a harmonogram </w:t>
      </w:r>
    </w:p>
    <w:p w14:paraId="53632076" w14:textId="77777777" w:rsidR="004409D5" w:rsidRDefault="02A20A27" w:rsidP="3EE66962">
      <w:pPr>
        <w:spacing w:line="240" w:lineRule="auto"/>
        <w:jc w:val="both"/>
        <w:rPr>
          <w:rFonts w:eastAsiaTheme="minorEastAsia"/>
          <w:sz w:val="20"/>
          <w:szCs w:val="20"/>
        </w:rPr>
      </w:pPr>
      <w:r w:rsidRPr="3EE66962">
        <w:rPr>
          <w:rFonts w:eastAsiaTheme="minorEastAsia"/>
          <w:sz w:val="20"/>
          <w:szCs w:val="20"/>
        </w:rPr>
        <w:t xml:space="preserve">Více samostatná tabulka </w:t>
      </w:r>
    </w:p>
    <w:p w14:paraId="1CE1373F" w14:textId="77777777" w:rsidR="004409D5" w:rsidRPr="006F7E79" w:rsidRDefault="02A20A27" w:rsidP="3EE66962">
      <w:pPr>
        <w:spacing w:line="240" w:lineRule="auto"/>
        <w:rPr>
          <w:rFonts w:eastAsiaTheme="minorEastAsia"/>
          <w:sz w:val="20"/>
          <w:szCs w:val="20"/>
        </w:rPr>
      </w:pPr>
      <w:r w:rsidRPr="3EE66962">
        <w:rPr>
          <w:rFonts w:eastAsiaTheme="minorEastAsia"/>
          <w:sz w:val="20"/>
          <w:szCs w:val="20"/>
          <w:lang w:val="en-US"/>
        </w:rPr>
        <w:t xml:space="preserve"> </w:t>
      </w:r>
    </w:p>
    <w:p w14:paraId="07112057" w14:textId="30329AAC" w:rsidR="004409D5" w:rsidRDefault="02A20A27" w:rsidP="3EE66962">
      <w:pPr>
        <w:pStyle w:val="Nadpis2"/>
        <w:spacing w:after="240" w:line="240" w:lineRule="auto"/>
        <w:rPr>
          <w:rFonts w:asciiTheme="minorHAnsi" w:eastAsiaTheme="minorEastAsia" w:hAnsiTheme="minorHAnsi" w:cstheme="minorBidi"/>
          <w:sz w:val="20"/>
          <w:szCs w:val="20"/>
          <w:lang w:val="en-US"/>
        </w:rPr>
      </w:pPr>
      <w:r w:rsidRPr="3EE66962">
        <w:rPr>
          <w:rFonts w:asciiTheme="minorHAnsi" w:eastAsiaTheme="minorEastAsia" w:hAnsiTheme="minorHAnsi" w:cstheme="minorBidi"/>
          <w:sz w:val="20"/>
          <w:szCs w:val="20"/>
          <w:lang w:val="en-US"/>
        </w:rPr>
        <w:t xml:space="preserve">10. </w:t>
      </w:r>
      <w:r w:rsidRPr="3EE66962">
        <w:rPr>
          <w:rFonts w:asciiTheme="minorHAnsi" w:eastAsiaTheme="minorEastAsia" w:hAnsiTheme="minorHAnsi" w:cstheme="minorBidi"/>
          <w:sz w:val="20"/>
          <w:szCs w:val="20"/>
        </w:rPr>
        <w:t xml:space="preserve">Financování </w:t>
      </w:r>
      <w:r w:rsidRPr="3EE66962">
        <w:rPr>
          <w:rFonts w:asciiTheme="minorHAnsi" w:eastAsiaTheme="minorEastAsia" w:hAnsiTheme="minorHAnsi" w:cstheme="minorBidi"/>
          <w:sz w:val="20"/>
          <w:szCs w:val="20"/>
          <w:lang w:val="en-US"/>
        </w:rPr>
        <w:t xml:space="preserve">a costing </w:t>
      </w:r>
    </w:p>
    <w:p w14:paraId="371262C7" w14:textId="77777777" w:rsidR="004409D5" w:rsidRDefault="02A20A27" w:rsidP="3EE66962">
      <w:pPr>
        <w:spacing w:line="240" w:lineRule="auto"/>
        <w:jc w:val="both"/>
        <w:rPr>
          <w:rFonts w:eastAsiaTheme="minorEastAsia"/>
          <w:sz w:val="20"/>
          <w:szCs w:val="20"/>
        </w:rPr>
      </w:pPr>
      <w:r w:rsidRPr="3EE66962">
        <w:rPr>
          <w:rFonts w:eastAsiaTheme="minorEastAsia"/>
          <w:sz w:val="20"/>
          <w:szCs w:val="20"/>
        </w:rPr>
        <w:t xml:space="preserve">Více samostatná tabulka </w:t>
      </w:r>
      <w:proofErr w:type="spellStart"/>
      <w:r w:rsidRPr="3EE66962">
        <w:rPr>
          <w:rFonts w:eastAsiaTheme="minorEastAsia"/>
          <w:sz w:val="20"/>
          <w:szCs w:val="20"/>
        </w:rPr>
        <w:t>costing</w:t>
      </w:r>
      <w:proofErr w:type="spellEnd"/>
      <w:r w:rsidRPr="3EE66962">
        <w:rPr>
          <w:rFonts w:eastAsiaTheme="minorEastAsia"/>
          <w:sz w:val="20"/>
          <w:szCs w:val="20"/>
        </w:rPr>
        <w:t xml:space="preserve">, odhady nákladů byly provedeny na základě výsledků již dříve podpořených aktivit. </w:t>
      </w:r>
    </w:p>
    <w:p w14:paraId="64E6F029" w14:textId="77777777" w:rsidR="004A3027" w:rsidRDefault="004A3027" w:rsidP="3EE66962">
      <w:pPr>
        <w:spacing w:line="240" w:lineRule="auto"/>
        <w:ind w:left="10" w:hanging="10"/>
        <w:jc w:val="both"/>
        <w:rPr>
          <w:rFonts w:eastAsiaTheme="minorEastAsia"/>
          <w:i/>
          <w:iCs/>
          <w:sz w:val="20"/>
          <w:szCs w:val="20"/>
          <w:lang w:val="en-US"/>
        </w:rPr>
      </w:pPr>
    </w:p>
    <w:p w14:paraId="4A92AA7F" w14:textId="5A023F6D" w:rsidR="006F7E79" w:rsidRDefault="006F7E79" w:rsidP="3EE66962">
      <w:pPr>
        <w:spacing w:line="240" w:lineRule="auto"/>
        <w:ind w:left="10" w:hanging="10"/>
        <w:jc w:val="both"/>
        <w:rPr>
          <w:rFonts w:eastAsiaTheme="minorEastAsia"/>
          <w:i/>
          <w:iCs/>
          <w:sz w:val="20"/>
          <w:szCs w:val="20"/>
          <w:lang w:val="en-US"/>
        </w:rPr>
      </w:pPr>
    </w:p>
    <w:sectPr w:rsidR="006F7E79" w:rsidSect="00CC5E40">
      <w:headerReference w:type="default" r:id="rId14"/>
      <w:footerReference w:type="defaul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0A2D" w14:textId="77777777" w:rsidR="003B527C" w:rsidRDefault="003B527C" w:rsidP="00677FE0">
      <w:pPr>
        <w:spacing w:after="0" w:line="240" w:lineRule="auto"/>
      </w:pPr>
      <w:r>
        <w:separator/>
      </w:r>
    </w:p>
  </w:endnote>
  <w:endnote w:type="continuationSeparator" w:id="0">
    <w:p w14:paraId="6969AF8C" w14:textId="77777777" w:rsidR="003B527C" w:rsidRDefault="003B527C" w:rsidP="00677FE0">
      <w:pPr>
        <w:spacing w:after="0" w:line="240" w:lineRule="auto"/>
      </w:pPr>
      <w:r>
        <w:continuationSeparator/>
      </w:r>
    </w:p>
  </w:endnote>
  <w:endnote w:type="continuationNotice" w:id="1">
    <w:p w14:paraId="59365741" w14:textId="77777777" w:rsidR="003B527C" w:rsidRDefault="003B5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Cambria"/>
    <w:charset w:val="EE"/>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3D5D2481" w14:paraId="16EF357F" w14:textId="77777777" w:rsidTr="3D5D2481">
      <w:tc>
        <w:tcPr>
          <w:tcW w:w="3210" w:type="dxa"/>
        </w:tcPr>
        <w:p w14:paraId="31C48BDD" w14:textId="765D85A2" w:rsidR="3D5D2481" w:rsidRDefault="3D5D2481" w:rsidP="3D5D2481">
          <w:pPr>
            <w:pStyle w:val="Zhlav"/>
            <w:ind w:left="-115"/>
          </w:pPr>
        </w:p>
      </w:tc>
      <w:tc>
        <w:tcPr>
          <w:tcW w:w="3210" w:type="dxa"/>
        </w:tcPr>
        <w:p w14:paraId="672438FE" w14:textId="4D687120" w:rsidR="3D5D2481" w:rsidRDefault="3D5D2481" w:rsidP="3D5D2481">
          <w:pPr>
            <w:pStyle w:val="Zhlav"/>
            <w:jc w:val="center"/>
          </w:pPr>
        </w:p>
        <w:p w14:paraId="48B1121D" w14:textId="61342D08" w:rsidR="3D5D2481" w:rsidRDefault="3D5D2481" w:rsidP="3D5D2481">
          <w:pPr>
            <w:pStyle w:val="Zhlav"/>
            <w:jc w:val="center"/>
          </w:pPr>
          <w:r w:rsidRPr="3D5D2481">
            <w:fldChar w:fldCharType="begin"/>
          </w:r>
          <w:r>
            <w:instrText>PAGE</w:instrText>
          </w:r>
          <w:r w:rsidRPr="3D5D2481">
            <w:fldChar w:fldCharType="separate"/>
          </w:r>
          <w:r w:rsidR="00FF76D6">
            <w:rPr>
              <w:noProof/>
            </w:rPr>
            <w:t>1</w:t>
          </w:r>
          <w:r w:rsidRPr="3D5D2481">
            <w:fldChar w:fldCharType="end"/>
          </w:r>
        </w:p>
      </w:tc>
      <w:tc>
        <w:tcPr>
          <w:tcW w:w="3210" w:type="dxa"/>
        </w:tcPr>
        <w:p w14:paraId="64DD3308" w14:textId="5C270EE2" w:rsidR="3D5D2481" w:rsidRDefault="3D5D2481" w:rsidP="3D5D2481">
          <w:pPr>
            <w:pStyle w:val="Zhlav"/>
            <w:ind w:right="-115"/>
            <w:jc w:val="right"/>
          </w:pPr>
        </w:p>
      </w:tc>
    </w:tr>
  </w:tbl>
  <w:p w14:paraId="075ABD2B" w14:textId="43BCE714" w:rsidR="3D5D2481" w:rsidRDefault="3D5D2481" w:rsidP="3D5D24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DA53" w14:textId="77777777" w:rsidR="003B527C" w:rsidRDefault="003B527C" w:rsidP="00677FE0">
      <w:pPr>
        <w:spacing w:after="0" w:line="240" w:lineRule="auto"/>
      </w:pPr>
      <w:r>
        <w:separator/>
      </w:r>
    </w:p>
  </w:footnote>
  <w:footnote w:type="continuationSeparator" w:id="0">
    <w:p w14:paraId="6523F681" w14:textId="77777777" w:rsidR="003B527C" w:rsidRDefault="003B527C" w:rsidP="00677FE0">
      <w:pPr>
        <w:spacing w:after="0" w:line="240" w:lineRule="auto"/>
      </w:pPr>
      <w:r>
        <w:continuationSeparator/>
      </w:r>
    </w:p>
  </w:footnote>
  <w:footnote w:type="continuationNotice" w:id="1">
    <w:p w14:paraId="40049ED8" w14:textId="77777777" w:rsidR="003B527C" w:rsidRDefault="003B527C">
      <w:pPr>
        <w:spacing w:after="0" w:line="240" w:lineRule="auto"/>
      </w:pPr>
    </w:p>
  </w:footnote>
  <w:footnote w:id="2">
    <w:p w14:paraId="112BBA03" w14:textId="49A23C35" w:rsidR="007A025B" w:rsidRDefault="007A025B" w:rsidP="3EE66962">
      <w:pPr>
        <w:pStyle w:val="Textpoznpodarou"/>
        <w:rPr>
          <w:color w:val="auto"/>
        </w:rPr>
      </w:pPr>
      <w:r w:rsidRPr="3EE66962">
        <w:rPr>
          <w:rStyle w:val="Znakapoznpodarou"/>
          <w:rFonts w:ascii="Calibri" w:eastAsia="Calibri" w:hAnsi="Calibri" w:cs="Calibri"/>
          <w:color w:val="auto"/>
          <w:sz w:val="16"/>
          <w:szCs w:val="16"/>
        </w:rPr>
        <w:footnoteRef/>
      </w:r>
      <w:r w:rsidR="3EE66962" w:rsidRPr="3EE66962">
        <w:rPr>
          <w:rFonts w:ascii="Calibri" w:eastAsia="Calibri" w:hAnsi="Calibri" w:cs="Calibri"/>
          <w:color w:val="auto"/>
          <w:sz w:val="16"/>
          <w:szCs w:val="16"/>
        </w:rPr>
        <w:t xml:space="preserve"> </w:t>
      </w:r>
      <w:hyperlink r:id="rId1" w:history="1">
        <w:r w:rsidR="3EE66962" w:rsidRPr="3EE66962">
          <w:rPr>
            <w:rStyle w:val="Hypertextovodkaz"/>
            <w:rFonts w:ascii="Calibri" w:eastAsia="Calibri" w:hAnsi="Calibri" w:cs="Calibri"/>
            <w:color w:val="auto"/>
            <w:sz w:val="16"/>
            <w:szCs w:val="16"/>
          </w:rPr>
          <w:t>https://www.ceskovdatech.cz/clanek/59-zeme-brownfieldu-v-cesku-je-temer-500-lokalit-pripravenych-pro-investory/</w:t>
        </w:r>
      </w:hyperlink>
    </w:p>
  </w:footnote>
  <w:footnote w:id="3">
    <w:p w14:paraId="4D4F1AB3" w14:textId="42D07D3B" w:rsidR="007A025B" w:rsidRDefault="007A025B" w:rsidP="3EE66962">
      <w:pPr>
        <w:pStyle w:val="Textpoznpodarou"/>
      </w:pPr>
      <w:r w:rsidRPr="3EE66962">
        <w:rPr>
          <w:rStyle w:val="Znakapoznpodarou"/>
          <w:rFonts w:ascii="Calibri" w:eastAsia="Calibri" w:hAnsi="Calibri" w:cs="Calibri"/>
          <w:sz w:val="16"/>
          <w:szCs w:val="16"/>
        </w:rPr>
        <w:footnoteRef/>
      </w:r>
      <w:r w:rsidR="3EE66962" w:rsidRPr="3EE66962">
        <w:rPr>
          <w:rFonts w:ascii="Calibri" w:eastAsia="Calibri" w:hAnsi="Calibri" w:cs="Calibri"/>
          <w:sz w:val="16"/>
          <w:szCs w:val="16"/>
        </w:rPr>
        <w:t xml:space="preserve"> K únoru 2021, Databázi tvoří data z různých zdrojů: vyhledávací studie (2007), objekty registrované majiteli se majitel zájmem o vyhledání investora, žadatelé o dotaci (MPO, MMR, SFPI, IPO). Poradenské společnosti, ale i státní organizace, využívají tuto databázi, která je nejucelenějším zdrojem o </w:t>
      </w:r>
      <w:proofErr w:type="spellStart"/>
      <w:r w:rsidR="3EE66962" w:rsidRPr="3EE66962">
        <w:rPr>
          <w:rFonts w:ascii="Calibri" w:eastAsia="Calibri" w:hAnsi="Calibri" w:cs="Calibri"/>
          <w:sz w:val="16"/>
          <w:szCs w:val="16"/>
        </w:rPr>
        <w:t>brownfieldech</w:t>
      </w:r>
      <w:proofErr w:type="spellEnd"/>
      <w:r w:rsidR="3EE66962" w:rsidRPr="3EE66962">
        <w:rPr>
          <w:rFonts w:ascii="Calibri" w:eastAsia="Calibri" w:hAnsi="Calibri" w:cs="Calibri"/>
          <w:sz w:val="16"/>
          <w:szCs w:val="16"/>
        </w:rPr>
        <w:t xml:space="preserve"> v ČR, jako podkladové materiály ke svým analýzám.</w:t>
      </w:r>
    </w:p>
  </w:footnote>
  <w:footnote w:id="4">
    <w:p w14:paraId="1BC9AF31" w14:textId="53F08684" w:rsidR="007A025B" w:rsidRDefault="007A025B" w:rsidP="3EE66962">
      <w:pPr>
        <w:pStyle w:val="Textpoznpodarou"/>
        <w:rPr>
          <w:color w:val="auto"/>
        </w:rPr>
      </w:pPr>
      <w:r w:rsidRPr="3EE66962">
        <w:rPr>
          <w:rStyle w:val="Znakapoznpodarou"/>
          <w:rFonts w:ascii="Calibri" w:eastAsia="Calibri" w:hAnsi="Calibri" w:cs="Calibri"/>
          <w:color w:val="auto"/>
          <w:sz w:val="16"/>
          <w:szCs w:val="16"/>
        </w:rPr>
        <w:footnoteRef/>
      </w:r>
      <w:r w:rsidR="3EE66962" w:rsidRPr="3EE66962">
        <w:rPr>
          <w:rFonts w:ascii="Calibri" w:eastAsia="Calibri" w:hAnsi="Calibri" w:cs="Calibri"/>
          <w:color w:val="auto"/>
          <w:sz w:val="16"/>
          <w:szCs w:val="16"/>
        </w:rPr>
        <w:t xml:space="preserve"> </w:t>
      </w:r>
      <w:hyperlink r:id="rId2" w:history="1">
        <w:r w:rsidR="3EE66962" w:rsidRPr="3EE66962">
          <w:rPr>
            <w:rStyle w:val="Hypertextovodkaz"/>
            <w:rFonts w:ascii="Calibri" w:eastAsia="Calibri" w:hAnsi="Calibri" w:cs="Calibri"/>
            <w:color w:val="auto"/>
            <w:sz w:val="16"/>
            <w:szCs w:val="16"/>
          </w:rPr>
          <w:t>https://www.smocr.cz/Shared/Clanky/8196/ins-06-2020.pdf</w:t>
        </w:r>
      </w:hyperlink>
    </w:p>
  </w:footnote>
  <w:footnote w:id="5">
    <w:p w14:paraId="0ED72F2F" w14:textId="7B95BCD3" w:rsidR="007A025B" w:rsidRDefault="007A025B" w:rsidP="3EE66962">
      <w:pPr>
        <w:pStyle w:val="Textpoznpodarou"/>
        <w:rPr>
          <w:color w:val="auto"/>
        </w:rPr>
      </w:pPr>
      <w:r w:rsidRPr="3EE66962">
        <w:rPr>
          <w:rStyle w:val="Znakapoznpodarou"/>
          <w:rFonts w:ascii="Calibri" w:eastAsia="Calibri" w:hAnsi="Calibri" w:cs="Calibri"/>
          <w:color w:val="auto"/>
          <w:sz w:val="16"/>
          <w:szCs w:val="16"/>
        </w:rPr>
        <w:footnoteRef/>
      </w:r>
      <w:r w:rsidR="3EE66962" w:rsidRPr="3EE66962">
        <w:rPr>
          <w:rFonts w:ascii="Calibri" w:eastAsia="Calibri" w:hAnsi="Calibri" w:cs="Calibri"/>
          <w:color w:val="auto"/>
          <w:sz w:val="16"/>
          <w:szCs w:val="16"/>
        </w:rPr>
        <w:t xml:space="preserve"> </w:t>
      </w:r>
      <w:hyperlink r:id="rId3" w:history="1">
        <w:r w:rsidR="3EE66962" w:rsidRPr="3EE66962">
          <w:rPr>
            <w:rStyle w:val="Hypertextovodkaz"/>
            <w:rFonts w:ascii="Calibri" w:eastAsia="Calibri" w:hAnsi="Calibri" w:cs="Calibri"/>
            <w:color w:val="auto"/>
            <w:sz w:val="16"/>
            <w:szCs w:val="16"/>
          </w:rPr>
          <w:t>https://www.mpo.cz/assets/cz/podnikani/financni-nastroje/2019/7/Aktualizace_predbezneho_posouzeni_financnich_nastroju-2019_1.pdf</w:t>
        </w:r>
      </w:hyperlink>
    </w:p>
    <w:p w14:paraId="08CEB0E8" w14:textId="77777777" w:rsidR="007A025B" w:rsidRDefault="007A025B" w:rsidP="3EE66962">
      <w:pPr>
        <w:pStyle w:val="Textpoznpodarou"/>
      </w:pPr>
    </w:p>
  </w:footnote>
  <w:footnote w:id="6">
    <w:p w14:paraId="2D31E1EC" w14:textId="667E1099" w:rsidR="007A025B" w:rsidRDefault="007A025B" w:rsidP="3EE66962">
      <w:pPr>
        <w:pStyle w:val="Textpoznpodarou"/>
      </w:pPr>
      <w:r w:rsidRPr="3EE66962">
        <w:rPr>
          <w:rStyle w:val="Znakapoznpodarou"/>
          <w:rFonts w:ascii="Calibri" w:eastAsia="Calibri" w:hAnsi="Calibri" w:cs="Calibri"/>
          <w:sz w:val="16"/>
          <w:szCs w:val="16"/>
        </w:rPr>
        <w:footnoteRef/>
      </w:r>
      <w:r w:rsidR="3EE66962" w:rsidRPr="3EE66962">
        <w:rPr>
          <w:rFonts w:ascii="Calibri" w:eastAsia="Calibri" w:hAnsi="Calibri" w:cs="Calibri"/>
          <w:sz w:val="16"/>
          <w:szCs w:val="16"/>
        </w:rPr>
        <w:t xml:space="preserve"> Konkrétně specifický cíl 1.3.2 “Kontaminovaná území, vč. starých ekologických zátěží, jsou evidována a účinně sanována” a specifický cíl 1.6.2 “Rozvoj sídel je koncepční, přednostně jsou využívány </w:t>
      </w:r>
      <w:proofErr w:type="spellStart"/>
      <w:r w:rsidR="3EE66962" w:rsidRPr="3EE66962">
        <w:rPr>
          <w:rFonts w:ascii="Calibri" w:eastAsia="Calibri" w:hAnsi="Calibri" w:cs="Calibri"/>
          <w:sz w:val="16"/>
          <w:szCs w:val="16"/>
        </w:rPr>
        <w:t>brownfieldy</w:t>
      </w:r>
      <w:proofErr w:type="spellEnd"/>
      <w:r w:rsidR="3EE66962" w:rsidRPr="3EE66962">
        <w:rPr>
          <w:rFonts w:ascii="Calibri" w:eastAsia="Calibri" w:hAnsi="Calibri" w:cs="Calibri"/>
          <w:sz w:val="16"/>
          <w:szCs w:val="16"/>
        </w:rPr>
        <w:t xml:space="preserve"> a již využité území”</w:t>
      </w:r>
    </w:p>
  </w:footnote>
  <w:footnote w:id="7">
    <w:p w14:paraId="217E4F61" w14:textId="68C67150" w:rsidR="007A025B" w:rsidRDefault="007A025B" w:rsidP="3EE66962">
      <w:pPr>
        <w:pStyle w:val="Textpoznpodarou"/>
      </w:pPr>
      <w:r w:rsidRPr="3EE66962">
        <w:rPr>
          <w:rStyle w:val="Znakapoznpodarou"/>
          <w:rFonts w:ascii="Calibri" w:eastAsia="Calibri" w:hAnsi="Calibri" w:cs="Calibri"/>
          <w:sz w:val="16"/>
          <w:szCs w:val="16"/>
        </w:rPr>
        <w:footnoteRef/>
      </w:r>
      <w:r w:rsidR="3EE66962" w:rsidRPr="3EE66962">
        <w:rPr>
          <w:rFonts w:ascii="Calibri" w:eastAsia="Calibri" w:hAnsi="Calibri" w:cs="Calibri"/>
          <w:sz w:val="16"/>
          <w:szCs w:val="16"/>
        </w:rPr>
        <w:t xml:space="preserve"> V současné době probíhá příprava Státní politiky životního prostředí na období 2020–2030.</w:t>
      </w:r>
    </w:p>
  </w:footnote>
  <w:footnote w:id="8">
    <w:p w14:paraId="0B7911A3" w14:textId="1B0EF10B" w:rsidR="007A025B" w:rsidRDefault="007A025B" w:rsidP="3EE66962">
      <w:pPr>
        <w:pStyle w:val="Textpoznpodarou"/>
      </w:pPr>
      <w:r w:rsidRPr="3EE66962">
        <w:rPr>
          <w:rStyle w:val="Znakapoznpodarou"/>
          <w:rFonts w:ascii="Calibri" w:eastAsia="Calibri" w:hAnsi="Calibri" w:cs="Calibri"/>
          <w:sz w:val="16"/>
          <w:szCs w:val="16"/>
        </w:rPr>
        <w:footnoteRef/>
      </w:r>
      <w:r w:rsidR="3EE66962" w:rsidRPr="3EE66962">
        <w:rPr>
          <w:rFonts w:ascii="Calibri" w:eastAsia="Calibri" w:hAnsi="Calibri" w:cs="Calibri"/>
          <w:sz w:val="16"/>
          <w:szCs w:val="16"/>
        </w:rPr>
        <w:t xml:space="preserve"> Ve výzvách v roce 2019 a 2020 bylo podpořeno celkem 8 studií, pro rok 2021 budou výzvy teprve vyhlášeny. Žádost o podporu můžou podat další čtyři vybrané projekty. </w:t>
      </w:r>
    </w:p>
  </w:footnote>
  <w:footnote w:id="9">
    <w:p w14:paraId="2C0F814E" w14:textId="5175C4DC" w:rsidR="007A025B" w:rsidRDefault="007A025B" w:rsidP="3EE66962">
      <w:pPr>
        <w:pStyle w:val="Textpoznpodarou"/>
      </w:pPr>
      <w:r w:rsidRPr="3EE66962">
        <w:rPr>
          <w:rStyle w:val="Znakapoznpodarou"/>
          <w:rFonts w:ascii="Calibri" w:eastAsia="Calibri" w:hAnsi="Calibri" w:cs="Calibri"/>
          <w:sz w:val="16"/>
          <w:szCs w:val="16"/>
        </w:rPr>
        <w:footnoteRef/>
      </w:r>
      <w:r w:rsidR="3EE66962" w:rsidRPr="3EE66962">
        <w:rPr>
          <w:rFonts w:ascii="Calibri" w:eastAsia="Calibri" w:hAnsi="Calibri" w:cs="Calibri"/>
          <w:sz w:val="16"/>
          <w:szCs w:val="16"/>
        </w:rPr>
        <w:t xml:space="preserve"> Jedná se o počet k 31. lednu 2021. Dále je 18 projektů schválených, prozatím bez vydaného Rozhodnutí, v částce 438 mil. Kč</w:t>
      </w:r>
    </w:p>
  </w:footnote>
  <w:footnote w:id="10">
    <w:p w14:paraId="39AF5919" w14:textId="316D09D6" w:rsidR="007A025B" w:rsidRDefault="007A025B" w:rsidP="3EE66962">
      <w:pPr>
        <w:pStyle w:val="Textpoznpodarou"/>
      </w:pPr>
      <w:r w:rsidRPr="3EE66962">
        <w:rPr>
          <w:rStyle w:val="Znakapoznpodarou"/>
          <w:rFonts w:ascii="Calibri" w:eastAsia="Calibri" w:hAnsi="Calibri" w:cs="Calibri"/>
          <w:sz w:val="16"/>
          <w:szCs w:val="16"/>
        </w:rPr>
        <w:footnoteRef/>
      </w:r>
      <w:r w:rsidR="3EE66962" w:rsidRPr="3EE66962">
        <w:rPr>
          <w:rFonts w:ascii="Calibri" w:eastAsia="Calibri" w:hAnsi="Calibri" w:cs="Calibri"/>
          <w:sz w:val="16"/>
          <w:szCs w:val="16"/>
        </w:rPr>
        <w:t xml:space="preserve"> V současnosti je vyhlášená </w:t>
      </w:r>
      <w:r w:rsidR="3EE66962" w:rsidRPr="3EE66962">
        <w:rPr>
          <w:rFonts w:ascii="Calibri" w:eastAsia="Calibri" w:hAnsi="Calibri" w:cs="Calibri"/>
          <w:color w:val="auto"/>
          <w:sz w:val="16"/>
          <w:szCs w:val="16"/>
        </w:rPr>
        <w:t>výzva č. V (alokace 210 mil. Kč).</w:t>
      </w:r>
    </w:p>
  </w:footnote>
  <w:footnote w:id="11">
    <w:p w14:paraId="700FF2D3" w14:textId="69F4D61B" w:rsidR="007A025B" w:rsidRDefault="007A025B" w:rsidP="3EE66962">
      <w:pPr>
        <w:pStyle w:val="Textpoznpodarou"/>
      </w:pPr>
      <w:r w:rsidRPr="3EE66962">
        <w:rPr>
          <w:rStyle w:val="Znakapoznpodarou"/>
          <w:rFonts w:ascii="Calibri" w:eastAsia="Calibri" w:hAnsi="Calibri" w:cs="Calibri"/>
          <w:sz w:val="16"/>
          <w:szCs w:val="16"/>
        </w:rPr>
        <w:footnoteRef/>
      </w:r>
      <w:r w:rsidR="3EE66962" w:rsidRPr="3EE66962">
        <w:rPr>
          <w:rFonts w:ascii="Calibri" w:eastAsia="Calibri" w:hAnsi="Calibri" w:cs="Calibri"/>
          <w:sz w:val="16"/>
          <w:szCs w:val="16"/>
        </w:rPr>
        <w:t xml:space="preserve"> V současnosti je v hodnocení 11. výzva, kde bylo doporučeno 65 projektů v částce 134 mil. Kč.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3D5D2481" w14:paraId="7EF31350" w14:textId="77777777" w:rsidTr="3D5D2481">
      <w:tc>
        <w:tcPr>
          <w:tcW w:w="3210" w:type="dxa"/>
        </w:tcPr>
        <w:p w14:paraId="0DEB4D31" w14:textId="216D2DA5" w:rsidR="3D5D2481" w:rsidRDefault="3D5D2481" w:rsidP="3D5D2481">
          <w:pPr>
            <w:pStyle w:val="Zhlav"/>
            <w:ind w:left="-115"/>
          </w:pPr>
        </w:p>
      </w:tc>
      <w:tc>
        <w:tcPr>
          <w:tcW w:w="3210" w:type="dxa"/>
        </w:tcPr>
        <w:p w14:paraId="05962BE3" w14:textId="0BF168B8" w:rsidR="3D5D2481" w:rsidRDefault="3D5D2481" w:rsidP="3D5D2481">
          <w:pPr>
            <w:pStyle w:val="Zhlav"/>
            <w:jc w:val="center"/>
          </w:pPr>
        </w:p>
      </w:tc>
      <w:tc>
        <w:tcPr>
          <w:tcW w:w="3210" w:type="dxa"/>
        </w:tcPr>
        <w:p w14:paraId="6464D0D2" w14:textId="6E35E91A" w:rsidR="3D5D2481" w:rsidRDefault="3D5D2481" w:rsidP="3D5D2481">
          <w:pPr>
            <w:pStyle w:val="Zhlav"/>
            <w:ind w:right="-115"/>
            <w:jc w:val="right"/>
          </w:pPr>
        </w:p>
      </w:tc>
    </w:tr>
  </w:tbl>
  <w:p w14:paraId="40F2C1C8" w14:textId="60DDA7D5" w:rsidR="3D5D2481" w:rsidRDefault="3D5D2481" w:rsidP="3D5D24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544"/>
    <w:multiLevelType w:val="hybridMultilevel"/>
    <w:tmpl w:val="BE00B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D1B93"/>
    <w:multiLevelType w:val="multilevel"/>
    <w:tmpl w:val="DF846100"/>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4E8760B"/>
    <w:multiLevelType w:val="hybridMultilevel"/>
    <w:tmpl w:val="9E1075B8"/>
    <w:lvl w:ilvl="0" w:tplc="CD5AAD46">
      <w:numFmt w:val="bullet"/>
      <w:lvlText w:val="-"/>
      <w:lvlJc w:val="left"/>
      <w:pPr>
        <w:ind w:left="360" w:hanging="360"/>
      </w:pPr>
      <w:rPr>
        <w:rFonts w:ascii="Calibri" w:eastAsia="Times New Roman"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E82C66"/>
    <w:multiLevelType w:val="hybridMultilevel"/>
    <w:tmpl w:val="E50CC1AC"/>
    <w:lvl w:ilvl="0" w:tplc="773CCC00">
      <w:start w:val="1"/>
      <w:numFmt w:val="bullet"/>
      <w:lvlText w:val=""/>
      <w:lvlJc w:val="left"/>
      <w:pPr>
        <w:ind w:left="720" w:hanging="360"/>
      </w:pPr>
      <w:rPr>
        <w:rFonts w:ascii="Symbol" w:hAnsi="Symbol" w:hint="default"/>
      </w:rPr>
    </w:lvl>
    <w:lvl w:ilvl="1" w:tplc="C622AB08">
      <w:start w:val="1"/>
      <w:numFmt w:val="bullet"/>
      <w:lvlText w:val="o"/>
      <w:lvlJc w:val="left"/>
      <w:pPr>
        <w:ind w:left="1440" w:hanging="360"/>
      </w:pPr>
      <w:rPr>
        <w:rFonts w:ascii="Courier New" w:hAnsi="Courier New" w:hint="default"/>
      </w:rPr>
    </w:lvl>
    <w:lvl w:ilvl="2" w:tplc="CC80DD5E">
      <w:start w:val="1"/>
      <w:numFmt w:val="bullet"/>
      <w:lvlText w:val=""/>
      <w:lvlJc w:val="left"/>
      <w:pPr>
        <w:ind w:left="2160" w:hanging="360"/>
      </w:pPr>
      <w:rPr>
        <w:rFonts w:ascii="Wingdings" w:hAnsi="Wingdings" w:hint="default"/>
      </w:rPr>
    </w:lvl>
    <w:lvl w:ilvl="3" w:tplc="19960264">
      <w:start w:val="1"/>
      <w:numFmt w:val="bullet"/>
      <w:lvlText w:val=""/>
      <w:lvlJc w:val="left"/>
      <w:pPr>
        <w:ind w:left="2880" w:hanging="360"/>
      </w:pPr>
      <w:rPr>
        <w:rFonts w:ascii="Symbol" w:hAnsi="Symbol" w:hint="default"/>
      </w:rPr>
    </w:lvl>
    <w:lvl w:ilvl="4" w:tplc="081C7A0C">
      <w:start w:val="1"/>
      <w:numFmt w:val="bullet"/>
      <w:lvlText w:val="o"/>
      <w:lvlJc w:val="left"/>
      <w:pPr>
        <w:ind w:left="3600" w:hanging="360"/>
      </w:pPr>
      <w:rPr>
        <w:rFonts w:ascii="Courier New" w:hAnsi="Courier New" w:hint="default"/>
      </w:rPr>
    </w:lvl>
    <w:lvl w:ilvl="5" w:tplc="BBC4F288">
      <w:start w:val="1"/>
      <w:numFmt w:val="bullet"/>
      <w:lvlText w:val=""/>
      <w:lvlJc w:val="left"/>
      <w:pPr>
        <w:ind w:left="4320" w:hanging="360"/>
      </w:pPr>
      <w:rPr>
        <w:rFonts w:ascii="Wingdings" w:hAnsi="Wingdings" w:hint="default"/>
      </w:rPr>
    </w:lvl>
    <w:lvl w:ilvl="6" w:tplc="D270CD10">
      <w:start w:val="1"/>
      <w:numFmt w:val="bullet"/>
      <w:lvlText w:val=""/>
      <w:lvlJc w:val="left"/>
      <w:pPr>
        <w:ind w:left="5040" w:hanging="360"/>
      </w:pPr>
      <w:rPr>
        <w:rFonts w:ascii="Symbol" w:hAnsi="Symbol" w:hint="default"/>
      </w:rPr>
    </w:lvl>
    <w:lvl w:ilvl="7" w:tplc="95963C58">
      <w:start w:val="1"/>
      <w:numFmt w:val="bullet"/>
      <w:lvlText w:val="o"/>
      <w:lvlJc w:val="left"/>
      <w:pPr>
        <w:ind w:left="5760" w:hanging="360"/>
      </w:pPr>
      <w:rPr>
        <w:rFonts w:ascii="Courier New" w:hAnsi="Courier New" w:hint="default"/>
      </w:rPr>
    </w:lvl>
    <w:lvl w:ilvl="8" w:tplc="8DA2F38E">
      <w:start w:val="1"/>
      <w:numFmt w:val="bullet"/>
      <w:lvlText w:val=""/>
      <w:lvlJc w:val="left"/>
      <w:pPr>
        <w:ind w:left="6480" w:hanging="360"/>
      </w:pPr>
      <w:rPr>
        <w:rFonts w:ascii="Wingdings" w:hAnsi="Wingdings" w:hint="default"/>
      </w:rPr>
    </w:lvl>
  </w:abstractNum>
  <w:abstractNum w:abstractNumId="4"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61D61"/>
    <w:multiLevelType w:val="hybridMultilevel"/>
    <w:tmpl w:val="A43E6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1F52EC"/>
    <w:multiLevelType w:val="hybridMultilevel"/>
    <w:tmpl w:val="BBFC4C00"/>
    <w:lvl w:ilvl="0" w:tplc="CD5AAD46">
      <w:numFmt w:val="bullet"/>
      <w:lvlText w:val="-"/>
      <w:lvlJc w:val="left"/>
      <w:pPr>
        <w:ind w:left="360" w:hanging="360"/>
      </w:pPr>
      <w:rPr>
        <w:rFonts w:ascii="Calibri" w:eastAsia="Times New Roman"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30316F8"/>
    <w:multiLevelType w:val="hybridMultilevel"/>
    <w:tmpl w:val="3320A8B2"/>
    <w:numStyleLink w:val="VariantaB-odrky"/>
  </w:abstractNum>
  <w:abstractNum w:abstractNumId="8" w15:restartNumberingAfterBreak="0">
    <w:nsid w:val="141A62DD"/>
    <w:multiLevelType w:val="hybridMultilevel"/>
    <w:tmpl w:val="036EDD48"/>
    <w:lvl w:ilvl="0" w:tplc="662E825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15572B"/>
    <w:multiLevelType w:val="hybridMultilevel"/>
    <w:tmpl w:val="3320A8B2"/>
    <w:styleLink w:val="VariantaB-odrky"/>
    <w:lvl w:ilvl="0" w:tplc="4468CC02">
      <w:start w:val="1"/>
      <w:numFmt w:val="bullet"/>
      <w:pStyle w:val="SeznamsodrkamiB"/>
      <w:lvlText w:val="—"/>
      <w:lvlJc w:val="left"/>
      <w:pPr>
        <w:ind w:left="357" w:hanging="357"/>
      </w:pPr>
      <w:rPr>
        <w:rFonts w:ascii="Calibri" w:hAnsi="Calibri" w:hint="default"/>
        <w:sz w:val="16"/>
      </w:rPr>
    </w:lvl>
    <w:lvl w:ilvl="1" w:tplc="E732F672">
      <w:start w:val="1"/>
      <w:numFmt w:val="bullet"/>
      <w:pStyle w:val="SeznamsodrkamiB2"/>
      <w:lvlText w:val=""/>
      <w:lvlJc w:val="left"/>
      <w:pPr>
        <w:ind w:left="714" w:hanging="357"/>
      </w:pPr>
      <w:rPr>
        <w:rFonts w:ascii="Wingdings" w:hAnsi="Wingdings" w:hint="default"/>
        <w:sz w:val="14"/>
      </w:rPr>
    </w:lvl>
    <w:lvl w:ilvl="2" w:tplc="26B8B6C4">
      <w:start w:val="1"/>
      <w:numFmt w:val="bullet"/>
      <w:pStyle w:val="SeznamsodrkamiB3"/>
      <w:lvlText w:val=""/>
      <w:lvlJc w:val="left"/>
      <w:pPr>
        <w:ind w:left="1071" w:hanging="357"/>
      </w:pPr>
      <w:rPr>
        <w:rFonts w:ascii="Wingdings 2" w:hAnsi="Wingdings 2" w:hint="default"/>
      </w:rPr>
    </w:lvl>
    <w:lvl w:ilvl="3" w:tplc="2DC431BE">
      <w:start w:val="1"/>
      <w:numFmt w:val="bullet"/>
      <w:pStyle w:val="SeznamsodrkamiB4"/>
      <w:lvlText w:val=""/>
      <w:lvlJc w:val="left"/>
      <w:pPr>
        <w:ind w:left="1428" w:hanging="357"/>
      </w:pPr>
      <w:rPr>
        <w:rFonts w:ascii="Wingdings 2" w:hAnsi="Wingdings 2" w:hint="default"/>
      </w:rPr>
    </w:lvl>
    <w:lvl w:ilvl="4" w:tplc="B5367174">
      <w:start w:val="1"/>
      <w:numFmt w:val="bullet"/>
      <w:pStyle w:val="SeznamsodrkamiB5"/>
      <w:lvlText w:val=""/>
      <w:lvlJc w:val="left"/>
      <w:pPr>
        <w:ind w:left="1785" w:hanging="357"/>
      </w:pPr>
      <w:rPr>
        <w:rFonts w:ascii="Wingdings 2" w:hAnsi="Wingdings 2" w:hint="default"/>
      </w:rPr>
    </w:lvl>
    <w:lvl w:ilvl="5" w:tplc="EBBC2CAA">
      <w:start w:val="1"/>
      <w:numFmt w:val="bullet"/>
      <w:lvlText w:val=""/>
      <w:lvlJc w:val="left"/>
      <w:pPr>
        <w:ind w:left="2142" w:hanging="357"/>
      </w:pPr>
      <w:rPr>
        <w:rFonts w:ascii="Wingdings 2" w:hAnsi="Wingdings 2" w:cs="Times New Roman" w:hint="default"/>
      </w:rPr>
    </w:lvl>
    <w:lvl w:ilvl="6" w:tplc="DF2EA75A">
      <w:start w:val="1"/>
      <w:numFmt w:val="bullet"/>
      <w:lvlText w:val=""/>
      <w:lvlJc w:val="left"/>
      <w:pPr>
        <w:ind w:left="2499" w:hanging="357"/>
      </w:pPr>
      <w:rPr>
        <w:rFonts w:ascii="Wingdings 2" w:hAnsi="Wingdings 2" w:cs="Times New Roman" w:hint="default"/>
      </w:rPr>
    </w:lvl>
    <w:lvl w:ilvl="7" w:tplc="BA48CC8A">
      <w:start w:val="1"/>
      <w:numFmt w:val="bullet"/>
      <w:lvlText w:val=""/>
      <w:lvlJc w:val="left"/>
      <w:pPr>
        <w:ind w:left="2856" w:hanging="357"/>
      </w:pPr>
      <w:rPr>
        <w:rFonts w:ascii="Wingdings 2" w:hAnsi="Wingdings 2" w:cs="Times New Roman" w:hint="default"/>
      </w:rPr>
    </w:lvl>
    <w:lvl w:ilvl="8" w:tplc="70F03F4A">
      <w:start w:val="1"/>
      <w:numFmt w:val="bullet"/>
      <w:lvlText w:val=""/>
      <w:lvlJc w:val="left"/>
      <w:pPr>
        <w:ind w:left="3213" w:hanging="357"/>
      </w:pPr>
      <w:rPr>
        <w:rFonts w:ascii="Wingdings 2" w:hAnsi="Wingdings 2" w:cs="Times New Roman" w:hint="default"/>
      </w:rPr>
    </w:lvl>
  </w:abstractNum>
  <w:abstractNum w:abstractNumId="10" w15:restartNumberingAfterBreak="0">
    <w:nsid w:val="191872DA"/>
    <w:multiLevelType w:val="multilevel"/>
    <w:tmpl w:val="DF846100"/>
    <w:numStyleLink w:val="VariantaA-sla"/>
  </w:abstractNum>
  <w:abstractNum w:abstractNumId="11"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994694"/>
    <w:multiLevelType w:val="hybridMultilevel"/>
    <w:tmpl w:val="A68007D6"/>
    <w:lvl w:ilvl="0" w:tplc="104206A6">
      <w:start w:val="1"/>
      <w:numFmt w:val="bullet"/>
      <w:lvlText w:val="-"/>
      <w:lvlJc w:val="left"/>
      <w:pPr>
        <w:ind w:left="720" w:hanging="360"/>
      </w:pPr>
      <w:rPr>
        <w:rFonts w:ascii="Calibri" w:hAnsi="Calibri" w:hint="default"/>
      </w:rPr>
    </w:lvl>
    <w:lvl w:ilvl="1" w:tplc="5B1CA828">
      <w:start w:val="1"/>
      <w:numFmt w:val="bullet"/>
      <w:lvlText w:val="o"/>
      <w:lvlJc w:val="left"/>
      <w:pPr>
        <w:ind w:left="1440" w:hanging="360"/>
      </w:pPr>
      <w:rPr>
        <w:rFonts w:ascii="Courier New" w:hAnsi="Courier New" w:hint="default"/>
      </w:rPr>
    </w:lvl>
    <w:lvl w:ilvl="2" w:tplc="815AD150">
      <w:start w:val="1"/>
      <w:numFmt w:val="bullet"/>
      <w:lvlText w:val=""/>
      <w:lvlJc w:val="left"/>
      <w:pPr>
        <w:ind w:left="2160" w:hanging="360"/>
      </w:pPr>
      <w:rPr>
        <w:rFonts w:ascii="Wingdings" w:hAnsi="Wingdings" w:hint="default"/>
      </w:rPr>
    </w:lvl>
    <w:lvl w:ilvl="3" w:tplc="A9083E2E">
      <w:start w:val="1"/>
      <w:numFmt w:val="bullet"/>
      <w:lvlText w:val=""/>
      <w:lvlJc w:val="left"/>
      <w:pPr>
        <w:ind w:left="2880" w:hanging="360"/>
      </w:pPr>
      <w:rPr>
        <w:rFonts w:ascii="Symbol" w:hAnsi="Symbol" w:hint="default"/>
      </w:rPr>
    </w:lvl>
    <w:lvl w:ilvl="4" w:tplc="D0F28204">
      <w:start w:val="1"/>
      <w:numFmt w:val="bullet"/>
      <w:lvlText w:val="o"/>
      <w:lvlJc w:val="left"/>
      <w:pPr>
        <w:ind w:left="3600" w:hanging="360"/>
      </w:pPr>
      <w:rPr>
        <w:rFonts w:ascii="Courier New" w:hAnsi="Courier New" w:hint="default"/>
      </w:rPr>
    </w:lvl>
    <w:lvl w:ilvl="5" w:tplc="5A946C54">
      <w:start w:val="1"/>
      <w:numFmt w:val="bullet"/>
      <w:lvlText w:val=""/>
      <w:lvlJc w:val="left"/>
      <w:pPr>
        <w:ind w:left="4320" w:hanging="360"/>
      </w:pPr>
      <w:rPr>
        <w:rFonts w:ascii="Wingdings" w:hAnsi="Wingdings" w:hint="default"/>
      </w:rPr>
    </w:lvl>
    <w:lvl w:ilvl="6" w:tplc="5E9260BE">
      <w:start w:val="1"/>
      <w:numFmt w:val="bullet"/>
      <w:lvlText w:val=""/>
      <w:lvlJc w:val="left"/>
      <w:pPr>
        <w:ind w:left="5040" w:hanging="360"/>
      </w:pPr>
      <w:rPr>
        <w:rFonts w:ascii="Symbol" w:hAnsi="Symbol" w:hint="default"/>
      </w:rPr>
    </w:lvl>
    <w:lvl w:ilvl="7" w:tplc="D50AA128">
      <w:start w:val="1"/>
      <w:numFmt w:val="bullet"/>
      <w:lvlText w:val="o"/>
      <w:lvlJc w:val="left"/>
      <w:pPr>
        <w:ind w:left="5760" w:hanging="360"/>
      </w:pPr>
      <w:rPr>
        <w:rFonts w:ascii="Courier New" w:hAnsi="Courier New" w:hint="default"/>
      </w:rPr>
    </w:lvl>
    <w:lvl w:ilvl="8" w:tplc="F04A0E3A">
      <w:start w:val="1"/>
      <w:numFmt w:val="bullet"/>
      <w:lvlText w:val=""/>
      <w:lvlJc w:val="left"/>
      <w:pPr>
        <w:ind w:left="6480" w:hanging="360"/>
      </w:pPr>
      <w:rPr>
        <w:rFonts w:ascii="Wingdings" w:hAnsi="Wingdings" w:hint="default"/>
      </w:rPr>
    </w:lvl>
  </w:abstractNum>
  <w:abstractNum w:abstractNumId="13" w15:restartNumberingAfterBreak="0">
    <w:nsid w:val="1D4511EC"/>
    <w:multiLevelType w:val="hybridMultilevel"/>
    <w:tmpl w:val="6AB61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B101E3"/>
    <w:multiLevelType w:val="hybridMultilevel"/>
    <w:tmpl w:val="43BAAA92"/>
    <w:lvl w:ilvl="0" w:tplc="37701822">
      <w:start w:val="1"/>
      <w:numFmt w:val="bullet"/>
      <w:lvlText w:val="-"/>
      <w:lvlJc w:val="left"/>
      <w:pPr>
        <w:ind w:left="720" w:hanging="360"/>
      </w:pPr>
      <w:rPr>
        <w:rFonts w:ascii="Calibri" w:hAnsi="Calibri" w:hint="default"/>
      </w:rPr>
    </w:lvl>
    <w:lvl w:ilvl="1" w:tplc="43301CF4">
      <w:start w:val="1"/>
      <w:numFmt w:val="bullet"/>
      <w:lvlText w:val="o"/>
      <w:lvlJc w:val="left"/>
      <w:pPr>
        <w:ind w:left="1440" w:hanging="360"/>
      </w:pPr>
      <w:rPr>
        <w:rFonts w:ascii="Courier New" w:hAnsi="Courier New" w:hint="default"/>
      </w:rPr>
    </w:lvl>
    <w:lvl w:ilvl="2" w:tplc="3DA42E1A">
      <w:start w:val="1"/>
      <w:numFmt w:val="bullet"/>
      <w:lvlText w:val=""/>
      <w:lvlJc w:val="left"/>
      <w:pPr>
        <w:ind w:left="2160" w:hanging="360"/>
      </w:pPr>
      <w:rPr>
        <w:rFonts w:ascii="Wingdings" w:hAnsi="Wingdings" w:hint="default"/>
      </w:rPr>
    </w:lvl>
    <w:lvl w:ilvl="3" w:tplc="E754270A">
      <w:start w:val="1"/>
      <w:numFmt w:val="bullet"/>
      <w:lvlText w:val=""/>
      <w:lvlJc w:val="left"/>
      <w:pPr>
        <w:ind w:left="2880" w:hanging="360"/>
      </w:pPr>
      <w:rPr>
        <w:rFonts w:ascii="Symbol" w:hAnsi="Symbol" w:hint="default"/>
      </w:rPr>
    </w:lvl>
    <w:lvl w:ilvl="4" w:tplc="26447A22">
      <w:start w:val="1"/>
      <w:numFmt w:val="bullet"/>
      <w:lvlText w:val="o"/>
      <w:lvlJc w:val="left"/>
      <w:pPr>
        <w:ind w:left="3600" w:hanging="360"/>
      </w:pPr>
      <w:rPr>
        <w:rFonts w:ascii="Courier New" w:hAnsi="Courier New" w:hint="default"/>
      </w:rPr>
    </w:lvl>
    <w:lvl w:ilvl="5" w:tplc="FC1E9C8C">
      <w:start w:val="1"/>
      <w:numFmt w:val="bullet"/>
      <w:lvlText w:val=""/>
      <w:lvlJc w:val="left"/>
      <w:pPr>
        <w:ind w:left="4320" w:hanging="360"/>
      </w:pPr>
      <w:rPr>
        <w:rFonts w:ascii="Wingdings" w:hAnsi="Wingdings" w:hint="default"/>
      </w:rPr>
    </w:lvl>
    <w:lvl w:ilvl="6" w:tplc="12B071D2">
      <w:start w:val="1"/>
      <w:numFmt w:val="bullet"/>
      <w:lvlText w:val=""/>
      <w:lvlJc w:val="left"/>
      <w:pPr>
        <w:ind w:left="5040" w:hanging="360"/>
      </w:pPr>
      <w:rPr>
        <w:rFonts w:ascii="Symbol" w:hAnsi="Symbol" w:hint="default"/>
      </w:rPr>
    </w:lvl>
    <w:lvl w:ilvl="7" w:tplc="1008682C">
      <w:start w:val="1"/>
      <w:numFmt w:val="bullet"/>
      <w:lvlText w:val="o"/>
      <w:lvlJc w:val="left"/>
      <w:pPr>
        <w:ind w:left="5760" w:hanging="360"/>
      </w:pPr>
      <w:rPr>
        <w:rFonts w:ascii="Courier New" w:hAnsi="Courier New" w:hint="default"/>
      </w:rPr>
    </w:lvl>
    <w:lvl w:ilvl="8" w:tplc="D8B67334">
      <w:start w:val="1"/>
      <w:numFmt w:val="bullet"/>
      <w:lvlText w:val=""/>
      <w:lvlJc w:val="left"/>
      <w:pPr>
        <w:ind w:left="6480" w:hanging="360"/>
      </w:pPr>
      <w:rPr>
        <w:rFonts w:ascii="Wingdings" w:hAnsi="Wingdings" w:hint="default"/>
      </w:rPr>
    </w:lvl>
  </w:abstractNum>
  <w:abstractNum w:abstractNumId="16" w15:restartNumberingAfterBreak="0">
    <w:nsid w:val="202312CB"/>
    <w:multiLevelType w:val="hybridMultilevel"/>
    <w:tmpl w:val="4628B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3A7776"/>
    <w:multiLevelType w:val="hybridMultilevel"/>
    <w:tmpl w:val="79A4F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9A5EA2"/>
    <w:multiLevelType w:val="hybridMultilevel"/>
    <w:tmpl w:val="E8BAE50A"/>
    <w:numStyleLink w:val="VariantaA-odrky"/>
  </w:abstractNum>
  <w:abstractNum w:abstractNumId="20" w15:restartNumberingAfterBreak="0">
    <w:nsid w:val="28C67EA5"/>
    <w:multiLevelType w:val="hybridMultilevel"/>
    <w:tmpl w:val="C9740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4F1C3D"/>
    <w:multiLevelType w:val="hybridMultilevel"/>
    <w:tmpl w:val="B11CF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5508C2"/>
    <w:multiLevelType w:val="hybridMultilevel"/>
    <w:tmpl w:val="B55E8984"/>
    <w:lvl w:ilvl="0" w:tplc="2F74C326">
      <w:start w:val="1"/>
      <w:numFmt w:val="lowerLetter"/>
      <w:lvlText w:val="%1)"/>
      <w:lvlJc w:val="left"/>
      <w:pPr>
        <w:ind w:left="720" w:hanging="360"/>
      </w:pPr>
      <w:rPr>
        <w:rFonts w:hint="default"/>
        <w:b/>
      </w:rPr>
    </w:lvl>
    <w:lvl w:ilvl="1" w:tplc="2E6E8FA2">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B0108A"/>
    <w:multiLevelType w:val="hybridMultilevel"/>
    <w:tmpl w:val="4612775E"/>
    <w:lvl w:ilvl="0" w:tplc="C3F63B3A">
      <w:start w:val="1"/>
      <w:numFmt w:val="bullet"/>
      <w:lvlText w:val="·"/>
      <w:lvlJc w:val="left"/>
      <w:pPr>
        <w:ind w:left="720" w:hanging="360"/>
      </w:pPr>
      <w:rPr>
        <w:rFonts w:ascii="Symbol" w:hAnsi="Symbol" w:hint="default"/>
      </w:rPr>
    </w:lvl>
    <w:lvl w:ilvl="1" w:tplc="8CC04C92">
      <w:start w:val="1"/>
      <w:numFmt w:val="bullet"/>
      <w:lvlText w:val="o"/>
      <w:lvlJc w:val="left"/>
      <w:pPr>
        <w:ind w:left="1440" w:hanging="360"/>
      </w:pPr>
      <w:rPr>
        <w:rFonts w:ascii="Courier New" w:hAnsi="Courier New" w:hint="default"/>
      </w:rPr>
    </w:lvl>
    <w:lvl w:ilvl="2" w:tplc="DE02B142">
      <w:start w:val="1"/>
      <w:numFmt w:val="bullet"/>
      <w:lvlText w:val=""/>
      <w:lvlJc w:val="left"/>
      <w:pPr>
        <w:ind w:left="2160" w:hanging="360"/>
      </w:pPr>
      <w:rPr>
        <w:rFonts w:ascii="Wingdings" w:hAnsi="Wingdings" w:hint="default"/>
      </w:rPr>
    </w:lvl>
    <w:lvl w:ilvl="3" w:tplc="BDF4B126">
      <w:start w:val="1"/>
      <w:numFmt w:val="bullet"/>
      <w:lvlText w:val=""/>
      <w:lvlJc w:val="left"/>
      <w:pPr>
        <w:ind w:left="2880" w:hanging="360"/>
      </w:pPr>
      <w:rPr>
        <w:rFonts w:ascii="Symbol" w:hAnsi="Symbol" w:hint="default"/>
      </w:rPr>
    </w:lvl>
    <w:lvl w:ilvl="4" w:tplc="7416CF0A">
      <w:start w:val="1"/>
      <w:numFmt w:val="bullet"/>
      <w:lvlText w:val="o"/>
      <w:lvlJc w:val="left"/>
      <w:pPr>
        <w:ind w:left="3600" w:hanging="360"/>
      </w:pPr>
      <w:rPr>
        <w:rFonts w:ascii="Courier New" w:hAnsi="Courier New" w:hint="default"/>
      </w:rPr>
    </w:lvl>
    <w:lvl w:ilvl="5" w:tplc="3AA2D822">
      <w:start w:val="1"/>
      <w:numFmt w:val="bullet"/>
      <w:lvlText w:val=""/>
      <w:lvlJc w:val="left"/>
      <w:pPr>
        <w:ind w:left="4320" w:hanging="360"/>
      </w:pPr>
      <w:rPr>
        <w:rFonts w:ascii="Wingdings" w:hAnsi="Wingdings" w:hint="default"/>
      </w:rPr>
    </w:lvl>
    <w:lvl w:ilvl="6" w:tplc="41CA30AA">
      <w:start w:val="1"/>
      <w:numFmt w:val="bullet"/>
      <w:lvlText w:val=""/>
      <w:lvlJc w:val="left"/>
      <w:pPr>
        <w:ind w:left="5040" w:hanging="360"/>
      </w:pPr>
      <w:rPr>
        <w:rFonts w:ascii="Symbol" w:hAnsi="Symbol" w:hint="default"/>
      </w:rPr>
    </w:lvl>
    <w:lvl w:ilvl="7" w:tplc="5BC87BD8">
      <w:start w:val="1"/>
      <w:numFmt w:val="bullet"/>
      <w:lvlText w:val="o"/>
      <w:lvlJc w:val="left"/>
      <w:pPr>
        <w:ind w:left="5760" w:hanging="360"/>
      </w:pPr>
      <w:rPr>
        <w:rFonts w:ascii="Courier New" w:hAnsi="Courier New" w:hint="default"/>
      </w:rPr>
    </w:lvl>
    <w:lvl w:ilvl="8" w:tplc="8CFE5A18">
      <w:start w:val="1"/>
      <w:numFmt w:val="bullet"/>
      <w:lvlText w:val=""/>
      <w:lvlJc w:val="left"/>
      <w:pPr>
        <w:ind w:left="6480" w:hanging="360"/>
      </w:pPr>
      <w:rPr>
        <w:rFonts w:ascii="Wingdings" w:hAnsi="Wingdings" w:hint="default"/>
      </w:rPr>
    </w:lvl>
  </w:abstractNum>
  <w:abstractNum w:abstractNumId="25"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865151"/>
    <w:multiLevelType w:val="hybridMultilevel"/>
    <w:tmpl w:val="C7049E5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68554FA"/>
    <w:multiLevelType w:val="hybridMultilevel"/>
    <w:tmpl w:val="75826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6FA615A"/>
    <w:multiLevelType w:val="hybridMultilevel"/>
    <w:tmpl w:val="16507C8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4F749E"/>
    <w:multiLevelType w:val="hybridMultilevel"/>
    <w:tmpl w:val="461E5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FFF6BD4"/>
    <w:multiLevelType w:val="hybridMultilevel"/>
    <w:tmpl w:val="E2322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2AD3B44"/>
    <w:multiLevelType w:val="hybridMultilevel"/>
    <w:tmpl w:val="DA2C6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5FF0200"/>
    <w:multiLevelType w:val="hybridMultilevel"/>
    <w:tmpl w:val="D8000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7C80CEE"/>
    <w:multiLevelType w:val="hybridMultilevel"/>
    <w:tmpl w:val="5DB69686"/>
    <w:lvl w:ilvl="0" w:tplc="21AE7A74">
      <w:start w:val="1"/>
      <w:numFmt w:val="bullet"/>
      <w:lvlText w:val="-"/>
      <w:lvlJc w:val="left"/>
      <w:pPr>
        <w:ind w:left="720" w:hanging="360"/>
      </w:pPr>
      <w:rPr>
        <w:rFonts w:ascii="Calibri" w:hAnsi="Calibri" w:hint="default"/>
      </w:rPr>
    </w:lvl>
    <w:lvl w:ilvl="1" w:tplc="5A90CC74">
      <w:start w:val="1"/>
      <w:numFmt w:val="bullet"/>
      <w:lvlText w:val="o"/>
      <w:lvlJc w:val="left"/>
      <w:pPr>
        <w:ind w:left="1440" w:hanging="360"/>
      </w:pPr>
      <w:rPr>
        <w:rFonts w:ascii="Courier New" w:hAnsi="Courier New" w:hint="default"/>
      </w:rPr>
    </w:lvl>
    <w:lvl w:ilvl="2" w:tplc="04FE051E">
      <w:start w:val="1"/>
      <w:numFmt w:val="bullet"/>
      <w:lvlText w:val=""/>
      <w:lvlJc w:val="left"/>
      <w:pPr>
        <w:ind w:left="2160" w:hanging="360"/>
      </w:pPr>
      <w:rPr>
        <w:rFonts w:ascii="Wingdings" w:hAnsi="Wingdings" w:hint="default"/>
      </w:rPr>
    </w:lvl>
    <w:lvl w:ilvl="3" w:tplc="B94E9710">
      <w:start w:val="1"/>
      <w:numFmt w:val="bullet"/>
      <w:lvlText w:val=""/>
      <w:lvlJc w:val="left"/>
      <w:pPr>
        <w:ind w:left="2880" w:hanging="360"/>
      </w:pPr>
      <w:rPr>
        <w:rFonts w:ascii="Symbol" w:hAnsi="Symbol" w:hint="default"/>
      </w:rPr>
    </w:lvl>
    <w:lvl w:ilvl="4" w:tplc="AB7E94E0">
      <w:start w:val="1"/>
      <w:numFmt w:val="bullet"/>
      <w:lvlText w:val="o"/>
      <w:lvlJc w:val="left"/>
      <w:pPr>
        <w:ind w:left="3600" w:hanging="360"/>
      </w:pPr>
      <w:rPr>
        <w:rFonts w:ascii="Courier New" w:hAnsi="Courier New" w:hint="default"/>
      </w:rPr>
    </w:lvl>
    <w:lvl w:ilvl="5" w:tplc="025E23FE">
      <w:start w:val="1"/>
      <w:numFmt w:val="bullet"/>
      <w:lvlText w:val=""/>
      <w:lvlJc w:val="left"/>
      <w:pPr>
        <w:ind w:left="4320" w:hanging="360"/>
      </w:pPr>
      <w:rPr>
        <w:rFonts w:ascii="Wingdings" w:hAnsi="Wingdings" w:hint="default"/>
      </w:rPr>
    </w:lvl>
    <w:lvl w:ilvl="6" w:tplc="23827CB8">
      <w:start w:val="1"/>
      <w:numFmt w:val="bullet"/>
      <w:lvlText w:val=""/>
      <w:lvlJc w:val="left"/>
      <w:pPr>
        <w:ind w:left="5040" w:hanging="360"/>
      </w:pPr>
      <w:rPr>
        <w:rFonts w:ascii="Symbol" w:hAnsi="Symbol" w:hint="default"/>
      </w:rPr>
    </w:lvl>
    <w:lvl w:ilvl="7" w:tplc="2A8ED4EA">
      <w:start w:val="1"/>
      <w:numFmt w:val="bullet"/>
      <w:lvlText w:val="o"/>
      <w:lvlJc w:val="left"/>
      <w:pPr>
        <w:ind w:left="5760" w:hanging="360"/>
      </w:pPr>
      <w:rPr>
        <w:rFonts w:ascii="Courier New" w:hAnsi="Courier New" w:hint="default"/>
      </w:rPr>
    </w:lvl>
    <w:lvl w:ilvl="8" w:tplc="972635D2">
      <w:start w:val="1"/>
      <w:numFmt w:val="bullet"/>
      <w:lvlText w:val=""/>
      <w:lvlJc w:val="left"/>
      <w:pPr>
        <w:ind w:left="6480" w:hanging="360"/>
      </w:pPr>
      <w:rPr>
        <w:rFonts w:ascii="Wingdings" w:hAnsi="Wingdings" w:hint="default"/>
      </w:rPr>
    </w:lvl>
  </w:abstractNum>
  <w:abstractNum w:abstractNumId="36" w15:restartNumberingAfterBreak="0">
    <w:nsid w:val="4A5600AF"/>
    <w:multiLevelType w:val="hybridMultilevel"/>
    <w:tmpl w:val="E39EB6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CF50DF5"/>
    <w:multiLevelType w:val="hybridMultilevel"/>
    <w:tmpl w:val="5D2CC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F89775E"/>
    <w:multiLevelType w:val="hybridMultilevel"/>
    <w:tmpl w:val="0D8ABE32"/>
    <w:styleLink w:val="VariantaB-sla"/>
    <w:lvl w:ilvl="0" w:tplc="F8AA3654">
      <w:start w:val="1"/>
      <w:numFmt w:val="decimal"/>
      <w:pStyle w:val="slovanseznamB"/>
      <w:lvlText w:val="%1)"/>
      <w:lvlJc w:val="left"/>
      <w:pPr>
        <w:ind w:left="360" w:hanging="360"/>
      </w:pPr>
      <w:rPr>
        <w:rFonts w:hint="default"/>
      </w:rPr>
    </w:lvl>
    <w:lvl w:ilvl="1" w:tplc="A2D093E0">
      <w:start w:val="1"/>
      <w:numFmt w:val="lowerLetter"/>
      <w:pStyle w:val="slovanseznamB2"/>
      <w:lvlText w:val="%2)"/>
      <w:lvlJc w:val="left"/>
      <w:pPr>
        <w:ind w:left="720" w:hanging="360"/>
      </w:pPr>
      <w:rPr>
        <w:rFonts w:hint="default"/>
      </w:rPr>
    </w:lvl>
    <w:lvl w:ilvl="2" w:tplc="7E946150">
      <w:start w:val="1"/>
      <w:numFmt w:val="lowerRoman"/>
      <w:pStyle w:val="slovanseznamB3"/>
      <w:lvlText w:val="%3)"/>
      <w:lvlJc w:val="left"/>
      <w:pPr>
        <w:ind w:left="1080" w:hanging="360"/>
      </w:pPr>
      <w:rPr>
        <w:rFonts w:hint="default"/>
      </w:rPr>
    </w:lvl>
    <w:lvl w:ilvl="3" w:tplc="BBC4EF92">
      <w:start w:val="1"/>
      <w:numFmt w:val="decimal"/>
      <w:pStyle w:val="slovanseznamB4"/>
      <w:lvlText w:val="(%4)"/>
      <w:lvlJc w:val="left"/>
      <w:pPr>
        <w:ind w:left="1440" w:hanging="360"/>
      </w:pPr>
      <w:rPr>
        <w:rFonts w:hint="default"/>
      </w:rPr>
    </w:lvl>
    <w:lvl w:ilvl="4" w:tplc="6FDCE5D4">
      <w:start w:val="1"/>
      <w:numFmt w:val="lowerLetter"/>
      <w:pStyle w:val="slovanseznamB5"/>
      <w:lvlText w:val="(%5)"/>
      <w:lvlJc w:val="left"/>
      <w:pPr>
        <w:ind w:left="1800" w:hanging="360"/>
      </w:pPr>
      <w:rPr>
        <w:rFonts w:hint="default"/>
      </w:rPr>
    </w:lvl>
    <w:lvl w:ilvl="5" w:tplc="75BC1846">
      <w:start w:val="1"/>
      <w:numFmt w:val="lowerRoman"/>
      <w:lvlText w:val="(%6)"/>
      <w:lvlJc w:val="left"/>
      <w:pPr>
        <w:ind w:left="2160" w:hanging="360"/>
      </w:pPr>
      <w:rPr>
        <w:rFonts w:hint="default"/>
      </w:rPr>
    </w:lvl>
    <w:lvl w:ilvl="6" w:tplc="7E4A4532">
      <w:start w:val="1"/>
      <w:numFmt w:val="decimal"/>
      <w:lvlText w:val="%7."/>
      <w:lvlJc w:val="left"/>
      <w:pPr>
        <w:ind w:left="2520" w:hanging="360"/>
      </w:pPr>
      <w:rPr>
        <w:rFonts w:hint="default"/>
      </w:rPr>
    </w:lvl>
    <w:lvl w:ilvl="7" w:tplc="117C2C08">
      <w:start w:val="1"/>
      <w:numFmt w:val="lowerLetter"/>
      <w:lvlText w:val="%8."/>
      <w:lvlJc w:val="left"/>
      <w:pPr>
        <w:ind w:left="2880" w:hanging="360"/>
      </w:pPr>
      <w:rPr>
        <w:rFonts w:hint="default"/>
      </w:rPr>
    </w:lvl>
    <w:lvl w:ilvl="8" w:tplc="B284F766">
      <w:start w:val="1"/>
      <w:numFmt w:val="lowerRoman"/>
      <w:lvlText w:val="%9."/>
      <w:lvlJc w:val="left"/>
      <w:pPr>
        <w:ind w:left="3240" w:hanging="360"/>
      </w:pPr>
      <w:rPr>
        <w:rFonts w:hint="default"/>
      </w:rPr>
    </w:lvl>
  </w:abstractNum>
  <w:abstractNum w:abstractNumId="39" w15:restartNumberingAfterBreak="0">
    <w:nsid w:val="50E9392C"/>
    <w:multiLevelType w:val="hybridMultilevel"/>
    <w:tmpl w:val="1AB882BE"/>
    <w:lvl w:ilvl="0" w:tplc="6224630E">
      <w:start w:val="2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8A321E4"/>
    <w:multiLevelType w:val="hybridMultilevel"/>
    <w:tmpl w:val="E8BAE50A"/>
    <w:styleLink w:val="VariantaA-odrky"/>
    <w:lvl w:ilvl="0" w:tplc="3A74D926">
      <w:start w:val="1"/>
      <w:numFmt w:val="bullet"/>
      <w:pStyle w:val="Seznamsodrkami"/>
      <w:lvlText w:val=""/>
      <w:lvlJc w:val="left"/>
      <w:pPr>
        <w:ind w:left="357" w:hanging="357"/>
      </w:pPr>
      <w:rPr>
        <w:rFonts w:ascii="Wingdings" w:hAnsi="Wingdings" w:hint="default"/>
        <w:sz w:val="16"/>
      </w:rPr>
    </w:lvl>
    <w:lvl w:ilvl="1" w:tplc="39A25308">
      <w:start w:val="1"/>
      <w:numFmt w:val="bullet"/>
      <w:pStyle w:val="Seznamsodrkami2"/>
      <w:lvlText w:val=""/>
      <w:lvlJc w:val="left"/>
      <w:pPr>
        <w:ind w:left="714" w:hanging="357"/>
      </w:pPr>
      <w:rPr>
        <w:rFonts w:ascii="Wingdings" w:hAnsi="Wingdings" w:hint="default"/>
        <w:sz w:val="14"/>
      </w:rPr>
    </w:lvl>
    <w:lvl w:ilvl="2" w:tplc="B4C2F34C">
      <w:start w:val="1"/>
      <w:numFmt w:val="bullet"/>
      <w:pStyle w:val="Seznamsodrkami3"/>
      <w:lvlText w:val=""/>
      <w:lvlJc w:val="left"/>
      <w:pPr>
        <w:ind w:left="1071" w:hanging="357"/>
      </w:pPr>
      <w:rPr>
        <w:rFonts w:ascii="Wingdings" w:hAnsi="Wingdings" w:hint="default"/>
        <w:sz w:val="10"/>
      </w:rPr>
    </w:lvl>
    <w:lvl w:ilvl="3" w:tplc="58C4D660">
      <w:start w:val="1"/>
      <w:numFmt w:val="bullet"/>
      <w:pStyle w:val="Seznamsodrkami4"/>
      <w:lvlText w:val=""/>
      <w:lvlJc w:val="left"/>
      <w:pPr>
        <w:ind w:left="1428" w:hanging="357"/>
      </w:pPr>
      <w:rPr>
        <w:rFonts w:ascii="Wingdings" w:hAnsi="Wingdings" w:hint="default"/>
        <w:sz w:val="10"/>
      </w:rPr>
    </w:lvl>
    <w:lvl w:ilvl="4" w:tplc="A1B2BBA6">
      <w:start w:val="1"/>
      <w:numFmt w:val="bullet"/>
      <w:pStyle w:val="Seznamsodrkami5"/>
      <w:lvlText w:val=""/>
      <w:lvlJc w:val="left"/>
      <w:pPr>
        <w:ind w:left="1785" w:hanging="357"/>
      </w:pPr>
      <w:rPr>
        <w:rFonts w:ascii="Wingdings" w:hAnsi="Wingdings" w:hint="default"/>
        <w:sz w:val="10"/>
      </w:rPr>
    </w:lvl>
    <w:lvl w:ilvl="5" w:tplc="65783104">
      <w:start w:val="1"/>
      <w:numFmt w:val="bullet"/>
      <w:lvlText w:val=""/>
      <w:lvlJc w:val="left"/>
      <w:pPr>
        <w:ind w:left="2142" w:hanging="357"/>
      </w:pPr>
      <w:rPr>
        <w:rFonts w:ascii="Wingdings" w:hAnsi="Wingdings" w:hint="default"/>
        <w:sz w:val="10"/>
      </w:rPr>
    </w:lvl>
    <w:lvl w:ilvl="6" w:tplc="CD76B6EC">
      <w:start w:val="1"/>
      <w:numFmt w:val="bullet"/>
      <w:lvlText w:val=""/>
      <w:lvlJc w:val="left"/>
      <w:pPr>
        <w:ind w:left="2499" w:hanging="357"/>
      </w:pPr>
      <w:rPr>
        <w:rFonts w:ascii="Wingdings" w:hAnsi="Wingdings" w:hint="default"/>
        <w:sz w:val="10"/>
      </w:rPr>
    </w:lvl>
    <w:lvl w:ilvl="7" w:tplc="123278C2">
      <w:start w:val="1"/>
      <w:numFmt w:val="bullet"/>
      <w:lvlText w:val=""/>
      <w:lvlJc w:val="left"/>
      <w:pPr>
        <w:ind w:left="2856" w:hanging="357"/>
      </w:pPr>
      <w:rPr>
        <w:rFonts w:ascii="Wingdings" w:hAnsi="Wingdings" w:hint="default"/>
        <w:sz w:val="10"/>
      </w:rPr>
    </w:lvl>
    <w:lvl w:ilvl="8" w:tplc="2CF88B90">
      <w:start w:val="1"/>
      <w:numFmt w:val="bullet"/>
      <w:lvlText w:val=""/>
      <w:lvlJc w:val="left"/>
      <w:pPr>
        <w:ind w:left="3213" w:hanging="357"/>
      </w:pPr>
      <w:rPr>
        <w:rFonts w:ascii="Wingdings" w:hAnsi="Wingdings" w:hint="default"/>
        <w:color w:val="000000" w:themeColor="text1"/>
        <w:sz w:val="10"/>
      </w:rPr>
    </w:lvl>
  </w:abstractNum>
  <w:abstractNum w:abstractNumId="45" w15:restartNumberingAfterBreak="0">
    <w:nsid w:val="5AF35F43"/>
    <w:multiLevelType w:val="hybridMultilevel"/>
    <w:tmpl w:val="0D8ABE32"/>
    <w:numStyleLink w:val="VariantaB-sla"/>
  </w:abstractNum>
  <w:abstractNum w:abstractNumId="46" w15:restartNumberingAfterBreak="0">
    <w:nsid w:val="5B366315"/>
    <w:multiLevelType w:val="hybridMultilevel"/>
    <w:tmpl w:val="BD7CCF8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7" w15:restartNumberingAfterBreak="0">
    <w:nsid w:val="5B6B5E6E"/>
    <w:multiLevelType w:val="hybridMultilevel"/>
    <w:tmpl w:val="645E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B8F3B11"/>
    <w:multiLevelType w:val="hybridMultilevel"/>
    <w:tmpl w:val="846A7606"/>
    <w:lvl w:ilvl="0" w:tplc="3E3038C0">
      <w:start w:val="1"/>
      <w:numFmt w:val="decimal"/>
      <w:lvlText w:val="%1."/>
      <w:lvlJc w:val="left"/>
      <w:pPr>
        <w:ind w:left="720" w:hanging="360"/>
      </w:pPr>
    </w:lvl>
    <w:lvl w:ilvl="1" w:tplc="9C5044E0">
      <w:start w:val="1"/>
      <w:numFmt w:val="lowerLetter"/>
      <w:lvlText w:val="%2."/>
      <w:lvlJc w:val="left"/>
      <w:pPr>
        <w:ind w:left="1440" w:hanging="360"/>
      </w:pPr>
    </w:lvl>
    <w:lvl w:ilvl="2" w:tplc="BC28011E">
      <w:start w:val="1"/>
      <w:numFmt w:val="lowerRoman"/>
      <w:lvlText w:val="%3."/>
      <w:lvlJc w:val="right"/>
      <w:pPr>
        <w:ind w:left="2160" w:hanging="180"/>
      </w:pPr>
    </w:lvl>
    <w:lvl w:ilvl="3" w:tplc="185024D8">
      <w:start w:val="1"/>
      <w:numFmt w:val="decimal"/>
      <w:lvlText w:val="%4."/>
      <w:lvlJc w:val="left"/>
      <w:pPr>
        <w:ind w:left="2880" w:hanging="360"/>
      </w:pPr>
    </w:lvl>
    <w:lvl w:ilvl="4" w:tplc="C25A6A80">
      <w:start w:val="1"/>
      <w:numFmt w:val="lowerLetter"/>
      <w:lvlText w:val="%5."/>
      <w:lvlJc w:val="left"/>
      <w:pPr>
        <w:ind w:left="3600" w:hanging="360"/>
      </w:pPr>
    </w:lvl>
    <w:lvl w:ilvl="5" w:tplc="3D1EF668">
      <w:start w:val="1"/>
      <w:numFmt w:val="lowerRoman"/>
      <w:lvlText w:val="%6."/>
      <w:lvlJc w:val="right"/>
      <w:pPr>
        <w:ind w:left="4320" w:hanging="180"/>
      </w:pPr>
    </w:lvl>
    <w:lvl w:ilvl="6" w:tplc="B16869CC">
      <w:start w:val="1"/>
      <w:numFmt w:val="decimal"/>
      <w:lvlText w:val="%7."/>
      <w:lvlJc w:val="left"/>
      <w:pPr>
        <w:ind w:left="5040" w:hanging="360"/>
      </w:pPr>
    </w:lvl>
    <w:lvl w:ilvl="7" w:tplc="3FDE8D4E">
      <w:start w:val="1"/>
      <w:numFmt w:val="lowerLetter"/>
      <w:lvlText w:val="%8."/>
      <w:lvlJc w:val="left"/>
      <w:pPr>
        <w:ind w:left="5760" w:hanging="360"/>
      </w:pPr>
    </w:lvl>
    <w:lvl w:ilvl="8" w:tplc="76B46EA2">
      <w:start w:val="1"/>
      <w:numFmt w:val="lowerRoman"/>
      <w:lvlText w:val="%9."/>
      <w:lvlJc w:val="right"/>
      <w:pPr>
        <w:ind w:left="6480" w:hanging="180"/>
      </w:pPr>
    </w:lvl>
  </w:abstractNum>
  <w:abstractNum w:abstractNumId="49" w15:restartNumberingAfterBreak="0">
    <w:nsid w:val="5EFE0E25"/>
    <w:multiLevelType w:val="hybridMultilevel"/>
    <w:tmpl w:val="A0DED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0C12A36"/>
    <w:multiLevelType w:val="hybridMultilevel"/>
    <w:tmpl w:val="45F8C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3021836"/>
    <w:multiLevelType w:val="hybridMultilevel"/>
    <w:tmpl w:val="2DF6B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4F0168F"/>
    <w:multiLevelType w:val="hybridMultilevel"/>
    <w:tmpl w:val="4BF0B1E6"/>
    <w:lvl w:ilvl="0" w:tplc="59186692">
      <w:start w:val="1"/>
      <w:numFmt w:val="decimal"/>
      <w:lvlText w:val="%1."/>
      <w:lvlJc w:val="left"/>
      <w:pPr>
        <w:ind w:left="720" w:hanging="360"/>
      </w:pPr>
    </w:lvl>
    <w:lvl w:ilvl="1" w:tplc="6A8E4486">
      <w:start w:val="1"/>
      <w:numFmt w:val="lowerLetter"/>
      <w:lvlText w:val="%2."/>
      <w:lvlJc w:val="left"/>
      <w:pPr>
        <w:ind w:left="1440" w:hanging="360"/>
      </w:pPr>
    </w:lvl>
    <w:lvl w:ilvl="2" w:tplc="494420EE">
      <w:start w:val="1"/>
      <w:numFmt w:val="lowerRoman"/>
      <w:lvlText w:val="%3."/>
      <w:lvlJc w:val="right"/>
      <w:pPr>
        <w:ind w:left="2160" w:hanging="180"/>
      </w:pPr>
    </w:lvl>
    <w:lvl w:ilvl="3" w:tplc="C5DC34D8">
      <w:start w:val="1"/>
      <w:numFmt w:val="decimal"/>
      <w:lvlText w:val="%4."/>
      <w:lvlJc w:val="left"/>
      <w:pPr>
        <w:ind w:left="2880" w:hanging="360"/>
      </w:pPr>
    </w:lvl>
    <w:lvl w:ilvl="4" w:tplc="8C6EFBD0">
      <w:start w:val="1"/>
      <w:numFmt w:val="lowerLetter"/>
      <w:lvlText w:val="%5."/>
      <w:lvlJc w:val="left"/>
      <w:pPr>
        <w:ind w:left="3600" w:hanging="360"/>
      </w:pPr>
    </w:lvl>
    <w:lvl w:ilvl="5" w:tplc="F3884692">
      <w:start w:val="1"/>
      <w:numFmt w:val="lowerRoman"/>
      <w:lvlText w:val="%6."/>
      <w:lvlJc w:val="right"/>
      <w:pPr>
        <w:ind w:left="4320" w:hanging="180"/>
      </w:pPr>
    </w:lvl>
    <w:lvl w:ilvl="6" w:tplc="DF5C8E9A">
      <w:start w:val="1"/>
      <w:numFmt w:val="decimal"/>
      <w:lvlText w:val="%7."/>
      <w:lvlJc w:val="left"/>
      <w:pPr>
        <w:ind w:left="5040" w:hanging="360"/>
      </w:pPr>
    </w:lvl>
    <w:lvl w:ilvl="7" w:tplc="1346E67A">
      <w:start w:val="1"/>
      <w:numFmt w:val="lowerLetter"/>
      <w:lvlText w:val="%8."/>
      <w:lvlJc w:val="left"/>
      <w:pPr>
        <w:ind w:left="5760" w:hanging="360"/>
      </w:pPr>
    </w:lvl>
    <w:lvl w:ilvl="8" w:tplc="5D363E9C">
      <w:start w:val="1"/>
      <w:numFmt w:val="lowerRoman"/>
      <w:lvlText w:val="%9."/>
      <w:lvlJc w:val="right"/>
      <w:pPr>
        <w:ind w:left="6480" w:hanging="180"/>
      </w:pPr>
    </w:lvl>
  </w:abstractNum>
  <w:abstractNum w:abstractNumId="55" w15:restartNumberingAfterBreak="0">
    <w:nsid w:val="655709B6"/>
    <w:multiLevelType w:val="hybridMultilevel"/>
    <w:tmpl w:val="88C09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0C04BAA"/>
    <w:multiLevelType w:val="hybridMultilevel"/>
    <w:tmpl w:val="1C6A5E76"/>
    <w:lvl w:ilvl="0" w:tplc="0F8A8B1A">
      <w:start w:val="1"/>
      <w:numFmt w:val="bullet"/>
      <w:lvlText w:val="●"/>
      <w:lvlJc w:val="left"/>
      <w:pPr>
        <w:ind w:left="720" w:hanging="360"/>
      </w:pPr>
      <w:rPr>
        <w:rFonts w:ascii="Noto Sans Symbols" w:eastAsia="Noto Sans Symbols" w:hAnsi="Noto Sans Symbols" w:cs="Noto Sans Symbols"/>
      </w:rPr>
    </w:lvl>
    <w:lvl w:ilvl="1" w:tplc="C5E6B216">
      <w:start w:val="1"/>
      <w:numFmt w:val="bullet"/>
      <w:lvlText w:val="o"/>
      <w:lvlJc w:val="left"/>
      <w:pPr>
        <w:ind w:left="1440" w:hanging="360"/>
      </w:pPr>
      <w:rPr>
        <w:rFonts w:ascii="Courier New" w:eastAsia="Courier New" w:hAnsi="Courier New" w:cs="Courier New"/>
      </w:rPr>
    </w:lvl>
    <w:lvl w:ilvl="2" w:tplc="6CC670A6">
      <w:start w:val="1"/>
      <w:numFmt w:val="bullet"/>
      <w:lvlText w:val="▪"/>
      <w:lvlJc w:val="left"/>
      <w:pPr>
        <w:ind w:left="2160" w:hanging="360"/>
      </w:pPr>
      <w:rPr>
        <w:rFonts w:ascii="Noto Sans Symbols" w:eastAsia="Noto Sans Symbols" w:hAnsi="Noto Sans Symbols" w:cs="Noto Sans Symbols"/>
      </w:rPr>
    </w:lvl>
    <w:lvl w:ilvl="3" w:tplc="2F0C6A7E">
      <w:start w:val="1"/>
      <w:numFmt w:val="bullet"/>
      <w:lvlText w:val="●"/>
      <w:lvlJc w:val="left"/>
      <w:pPr>
        <w:ind w:left="2880" w:hanging="360"/>
      </w:pPr>
      <w:rPr>
        <w:rFonts w:ascii="Noto Sans Symbols" w:eastAsia="Noto Sans Symbols" w:hAnsi="Noto Sans Symbols" w:cs="Noto Sans Symbols"/>
      </w:rPr>
    </w:lvl>
    <w:lvl w:ilvl="4" w:tplc="C76CF1F0">
      <w:start w:val="1"/>
      <w:numFmt w:val="bullet"/>
      <w:lvlText w:val="o"/>
      <w:lvlJc w:val="left"/>
      <w:pPr>
        <w:ind w:left="3600" w:hanging="360"/>
      </w:pPr>
      <w:rPr>
        <w:rFonts w:ascii="Courier New" w:eastAsia="Courier New" w:hAnsi="Courier New" w:cs="Courier New"/>
      </w:rPr>
    </w:lvl>
    <w:lvl w:ilvl="5" w:tplc="17124AC6">
      <w:start w:val="1"/>
      <w:numFmt w:val="bullet"/>
      <w:lvlText w:val="▪"/>
      <w:lvlJc w:val="left"/>
      <w:pPr>
        <w:ind w:left="4320" w:hanging="360"/>
      </w:pPr>
      <w:rPr>
        <w:rFonts w:ascii="Noto Sans Symbols" w:eastAsia="Noto Sans Symbols" w:hAnsi="Noto Sans Symbols" w:cs="Noto Sans Symbols"/>
      </w:rPr>
    </w:lvl>
    <w:lvl w:ilvl="6" w:tplc="099C128A">
      <w:start w:val="1"/>
      <w:numFmt w:val="bullet"/>
      <w:lvlText w:val="●"/>
      <w:lvlJc w:val="left"/>
      <w:pPr>
        <w:ind w:left="5040" w:hanging="360"/>
      </w:pPr>
      <w:rPr>
        <w:rFonts w:ascii="Noto Sans Symbols" w:eastAsia="Noto Sans Symbols" w:hAnsi="Noto Sans Symbols" w:cs="Noto Sans Symbols"/>
      </w:rPr>
    </w:lvl>
    <w:lvl w:ilvl="7" w:tplc="AAF4EA24">
      <w:start w:val="1"/>
      <w:numFmt w:val="bullet"/>
      <w:lvlText w:val="o"/>
      <w:lvlJc w:val="left"/>
      <w:pPr>
        <w:ind w:left="5760" w:hanging="360"/>
      </w:pPr>
      <w:rPr>
        <w:rFonts w:ascii="Courier New" w:eastAsia="Courier New" w:hAnsi="Courier New" w:cs="Courier New"/>
      </w:rPr>
    </w:lvl>
    <w:lvl w:ilvl="8" w:tplc="2BF6D27A">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22542E3"/>
    <w:multiLevelType w:val="hybridMultilevel"/>
    <w:tmpl w:val="851295DA"/>
    <w:lvl w:ilvl="0" w:tplc="316696E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2457EF8"/>
    <w:multiLevelType w:val="hybridMultilevel"/>
    <w:tmpl w:val="88B610FE"/>
    <w:lvl w:ilvl="0" w:tplc="4A6CA836">
      <w:start w:val="1"/>
      <w:numFmt w:val="decimal"/>
      <w:lvlText w:val="%1."/>
      <w:lvlJc w:val="left"/>
      <w:pPr>
        <w:ind w:left="720" w:hanging="360"/>
      </w:pPr>
    </w:lvl>
    <w:lvl w:ilvl="1" w:tplc="A0BA759E">
      <w:start w:val="1"/>
      <w:numFmt w:val="lowerLetter"/>
      <w:lvlText w:val="%2."/>
      <w:lvlJc w:val="left"/>
      <w:pPr>
        <w:ind w:left="1440" w:hanging="360"/>
      </w:pPr>
    </w:lvl>
    <w:lvl w:ilvl="2" w:tplc="9F700FAE">
      <w:start w:val="1"/>
      <w:numFmt w:val="lowerRoman"/>
      <w:lvlText w:val="%3."/>
      <w:lvlJc w:val="right"/>
      <w:pPr>
        <w:ind w:left="2160" w:hanging="180"/>
      </w:pPr>
    </w:lvl>
    <w:lvl w:ilvl="3" w:tplc="E892BABA">
      <w:start w:val="1"/>
      <w:numFmt w:val="decimal"/>
      <w:lvlText w:val="%4."/>
      <w:lvlJc w:val="left"/>
      <w:pPr>
        <w:ind w:left="2880" w:hanging="360"/>
      </w:pPr>
    </w:lvl>
    <w:lvl w:ilvl="4" w:tplc="00FAC0F2">
      <w:start w:val="1"/>
      <w:numFmt w:val="lowerLetter"/>
      <w:lvlText w:val="%5."/>
      <w:lvlJc w:val="left"/>
      <w:pPr>
        <w:ind w:left="3600" w:hanging="360"/>
      </w:pPr>
    </w:lvl>
    <w:lvl w:ilvl="5" w:tplc="9E802A9A">
      <w:start w:val="1"/>
      <w:numFmt w:val="lowerRoman"/>
      <w:lvlText w:val="%6."/>
      <w:lvlJc w:val="right"/>
      <w:pPr>
        <w:ind w:left="4320" w:hanging="180"/>
      </w:pPr>
    </w:lvl>
    <w:lvl w:ilvl="6" w:tplc="B21EA9DE">
      <w:start w:val="1"/>
      <w:numFmt w:val="decimal"/>
      <w:lvlText w:val="%7."/>
      <w:lvlJc w:val="left"/>
      <w:pPr>
        <w:ind w:left="5040" w:hanging="360"/>
      </w:pPr>
    </w:lvl>
    <w:lvl w:ilvl="7" w:tplc="2EA6FC56">
      <w:start w:val="1"/>
      <w:numFmt w:val="lowerLetter"/>
      <w:lvlText w:val="%8."/>
      <w:lvlJc w:val="left"/>
      <w:pPr>
        <w:ind w:left="5760" w:hanging="360"/>
      </w:pPr>
    </w:lvl>
    <w:lvl w:ilvl="8" w:tplc="0B9A4F46">
      <w:start w:val="1"/>
      <w:numFmt w:val="lowerRoman"/>
      <w:lvlText w:val="%9."/>
      <w:lvlJc w:val="right"/>
      <w:pPr>
        <w:ind w:left="6480" w:hanging="180"/>
      </w:pPr>
    </w:lvl>
  </w:abstractNum>
  <w:abstractNum w:abstractNumId="61" w15:restartNumberingAfterBreak="0">
    <w:nsid w:val="737064FB"/>
    <w:multiLevelType w:val="hybridMultilevel"/>
    <w:tmpl w:val="8CCA8D4A"/>
    <w:lvl w:ilvl="0" w:tplc="F1FE46B4">
      <w:start w:val="1"/>
      <w:numFmt w:val="decimal"/>
      <w:lvlText w:val="%1."/>
      <w:lvlJc w:val="left"/>
      <w:pPr>
        <w:ind w:left="644" w:hanging="360"/>
      </w:pPr>
      <w:rPr>
        <w:b/>
      </w:rPr>
    </w:lvl>
    <w:lvl w:ilvl="1" w:tplc="04546CE6">
      <w:start w:val="1"/>
      <w:numFmt w:val="lowerLetter"/>
      <w:lvlText w:val="%2."/>
      <w:lvlJc w:val="left"/>
      <w:pPr>
        <w:ind w:left="1440" w:hanging="360"/>
      </w:pPr>
    </w:lvl>
    <w:lvl w:ilvl="2" w:tplc="0CFA1C3E">
      <w:start w:val="1"/>
      <w:numFmt w:val="lowerRoman"/>
      <w:lvlText w:val="%3."/>
      <w:lvlJc w:val="right"/>
      <w:pPr>
        <w:ind w:left="2160" w:hanging="180"/>
      </w:pPr>
    </w:lvl>
    <w:lvl w:ilvl="3" w:tplc="D64CA76A">
      <w:start w:val="1"/>
      <w:numFmt w:val="decimal"/>
      <w:lvlText w:val="%4."/>
      <w:lvlJc w:val="left"/>
      <w:pPr>
        <w:ind w:left="2880" w:hanging="360"/>
      </w:pPr>
    </w:lvl>
    <w:lvl w:ilvl="4" w:tplc="FC0E3A3E">
      <w:start w:val="1"/>
      <w:numFmt w:val="lowerLetter"/>
      <w:lvlText w:val="%5."/>
      <w:lvlJc w:val="left"/>
      <w:pPr>
        <w:ind w:left="3600" w:hanging="360"/>
      </w:pPr>
    </w:lvl>
    <w:lvl w:ilvl="5" w:tplc="EB7C7B0A">
      <w:start w:val="1"/>
      <w:numFmt w:val="lowerRoman"/>
      <w:lvlText w:val="%6."/>
      <w:lvlJc w:val="right"/>
      <w:pPr>
        <w:ind w:left="4320" w:hanging="180"/>
      </w:pPr>
    </w:lvl>
    <w:lvl w:ilvl="6" w:tplc="A3D24E02">
      <w:start w:val="1"/>
      <w:numFmt w:val="decimal"/>
      <w:lvlText w:val="%7."/>
      <w:lvlJc w:val="left"/>
      <w:pPr>
        <w:ind w:left="5040" w:hanging="360"/>
      </w:pPr>
    </w:lvl>
    <w:lvl w:ilvl="7" w:tplc="19D20E00">
      <w:start w:val="1"/>
      <w:numFmt w:val="lowerLetter"/>
      <w:lvlText w:val="%8."/>
      <w:lvlJc w:val="left"/>
      <w:pPr>
        <w:ind w:left="5760" w:hanging="360"/>
      </w:pPr>
    </w:lvl>
    <w:lvl w:ilvl="8" w:tplc="5608CE10">
      <w:start w:val="1"/>
      <w:numFmt w:val="lowerRoman"/>
      <w:lvlText w:val="%9."/>
      <w:lvlJc w:val="right"/>
      <w:pPr>
        <w:ind w:left="6480" w:hanging="180"/>
      </w:pPr>
    </w:lvl>
  </w:abstractNum>
  <w:num w:numId="1">
    <w:abstractNumId w:val="3"/>
  </w:num>
  <w:num w:numId="2">
    <w:abstractNumId w:val="48"/>
  </w:num>
  <w:num w:numId="3">
    <w:abstractNumId w:val="12"/>
  </w:num>
  <w:num w:numId="4">
    <w:abstractNumId w:val="15"/>
  </w:num>
  <w:num w:numId="5">
    <w:abstractNumId w:val="24"/>
  </w:num>
  <w:num w:numId="6">
    <w:abstractNumId w:val="61"/>
  </w:num>
  <w:num w:numId="7">
    <w:abstractNumId w:val="60"/>
  </w:num>
  <w:num w:numId="8">
    <w:abstractNumId w:val="54"/>
  </w:num>
  <w:num w:numId="9">
    <w:abstractNumId w:val="9"/>
  </w:num>
  <w:num w:numId="10">
    <w:abstractNumId w:val="44"/>
  </w:num>
  <w:num w:numId="11">
    <w:abstractNumId w:val="38"/>
  </w:num>
  <w:num w:numId="12">
    <w:abstractNumId w:val="1"/>
  </w:num>
  <w:num w:numId="13">
    <w:abstractNumId w:val="45"/>
  </w:num>
  <w:num w:numId="14">
    <w:abstractNumId w:val="19"/>
  </w:num>
  <w:num w:numId="15">
    <w:abstractNumId w:val="10"/>
  </w:num>
  <w:num w:numId="16">
    <w:abstractNumId w:val="7"/>
  </w:num>
  <w:num w:numId="17">
    <w:abstractNumId w:val="40"/>
  </w:num>
  <w:num w:numId="18">
    <w:abstractNumId w:val="27"/>
  </w:num>
  <w:num w:numId="19">
    <w:abstractNumId w:val="14"/>
  </w:num>
  <w:num w:numId="20">
    <w:abstractNumId w:val="53"/>
  </w:num>
  <w:num w:numId="21">
    <w:abstractNumId w:val="42"/>
  </w:num>
  <w:num w:numId="22">
    <w:abstractNumId w:val="56"/>
  </w:num>
  <w:num w:numId="23">
    <w:abstractNumId w:val="57"/>
  </w:num>
  <w:num w:numId="24">
    <w:abstractNumId w:val="41"/>
  </w:num>
  <w:num w:numId="25">
    <w:abstractNumId w:val="4"/>
  </w:num>
  <w:num w:numId="26">
    <w:abstractNumId w:val="11"/>
  </w:num>
  <w:num w:numId="27">
    <w:abstractNumId w:val="22"/>
  </w:num>
  <w:num w:numId="28">
    <w:abstractNumId w:val="43"/>
  </w:num>
  <w:num w:numId="29">
    <w:abstractNumId w:val="18"/>
  </w:num>
  <w:num w:numId="30">
    <w:abstractNumId w:val="25"/>
  </w:num>
  <w:num w:numId="31">
    <w:abstractNumId w:val="31"/>
  </w:num>
  <w:num w:numId="32">
    <w:abstractNumId w:val="52"/>
  </w:num>
  <w:num w:numId="33">
    <w:abstractNumId w:val="2"/>
  </w:num>
  <w:num w:numId="34">
    <w:abstractNumId w:val="6"/>
  </w:num>
  <w:num w:numId="35">
    <w:abstractNumId w:val="8"/>
  </w:num>
  <w:num w:numId="36">
    <w:abstractNumId w:val="30"/>
  </w:num>
  <w:num w:numId="37">
    <w:abstractNumId w:val="36"/>
  </w:num>
  <w:num w:numId="38">
    <w:abstractNumId w:val="21"/>
  </w:num>
  <w:num w:numId="39">
    <w:abstractNumId w:val="50"/>
  </w:num>
  <w:num w:numId="40">
    <w:abstractNumId w:val="0"/>
  </w:num>
  <w:num w:numId="41">
    <w:abstractNumId w:val="51"/>
  </w:num>
  <w:num w:numId="42">
    <w:abstractNumId w:val="13"/>
  </w:num>
  <w:num w:numId="43">
    <w:abstractNumId w:val="32"/>
  </w:num>
  <w:num w:numId="44">
    <w:abstractNumId w:val="55"/>
  </w:num>
  <w:num w:numId="45">
    <w:abstractNumId w:val="34"/>
  </w:num>
  <w:num w:numId="46">
    <w:abstractNumId w:val="49"/>
  </w:num>
  <w:num w:numId="47">
    <w:abstractNumId w:val="58"/>
  </w:num>
  <w:num w:numId="48">
    <w:abstractNumId w:val="20"/>
  </w:num>
  <w:num w:numId="49">
    <w:abstractNumId w:val="26"/>
  </w:num>
  <w:num w:numId="50">
    <w:abstractNumId w:val="33"/>
  </w:num>
  <w:num w:numId="51">
    <w:abstractNumId w:val="37"/>
  </w:num>
  <w:num w:numId="52">
    <w:abstractNumId w:val="39"/>
  </w:num>
  <w:num w:numId="53">
    <w:abstractNumId w:val="35"/>
  </w:num>
  <w:num w:numId="54">
    <w:abstractNumId w:val="16"/>
  </w:num>
  <w:num w:numId="55">
    <w:abstractNumId w:val="17"/>
  </w:num>
  <w:num w:numId="56">
    <w:abstractNumId w:val="28"/>
  </w:num>
  <w:num w:numId="57">
    <w:abstractNumId w:val="5"/>
  </w:num>
  <w:num w:numId="58">
    <w:abstractNumId w:val="46"/>
  </w:num>
  <w:num w:numId="59">
    <w:abstractNumId w:val="29"/>
  </w:num>
  <w:num w:numId="60">
    <w:abstractNumId w:val="23"/>
  </w:num>
  <w:num w:numId="61">
    <w:abstractNumId w:val="47"/>
  </w:num>
  <w:num w:numId="62">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02637"/>
    <w:rsid w:val="00003369"/>
    <w:rsid w:val="00007CD0"/>
    <w:rsid w:val="00012EEB"/>
    <w:rsid w:val="00014A5D"/>
    <w:rsid w:val="00014AC8"/>
    <w:rsid w:val="00015306"/>
    <w:rsid w:val="00026264"/>
    <w:rsid w:val="0002674B"/>
    <w:rsid w:val="00026896"/>
    <w:rsid w:val="00030685"/>
    <w:rsid w:val="00036267"/>
    <w:rsid w:val="0004162E"/>
    <w:rsid w:val="000416DA"/>
    <w:rsid w:val="00042810"/>
    <w:rsid w:val="000456E1"/>
    <w:rsid w:val="00046273"/>
    <w:rsid w:val="0004786B"/>
    <w:rsid w:val="00051C61"/>
    <w:rsid w:val="00051CB4"/>
    <w:rsid w:val="00055158"/>
    <w:rsid w:val="00056BA3"/>
    <w:rsid w:val="00063405"/>
    <w:rsid w:val="000673DE"/>
    <w:rsid w:val="00070134"/>
    <w:rsid w:val="000777DD"/>
    <w:rsid w:val="000809B9"/>
    <w:rsid w:val="00081843"/>
    <w:rsid w:val="00083DF4"/>
    <w:rsid w:val="00090B40"/>
    <w:rsid w:val="00095A0A"/>
    <w:rsid w:val="00095EBD"/>
    <w:rsid w:val="00097210"/>
    <w:rsid w:val="000A2579"/>
    <w:rsid w:val="000A611F"/>
    <w:rsid w:val="000A6D9B"/>
    <w:rsid w:val="000B1B3D"/>
    <w:rsid w:val="000C0598"/>
    <w:rsid w:val="000C3FE3"/>
    <w:rsid w:val="000C4CAF"/>
    <w:rsid w:val="000C748F"/>
    <w:rsid w:val="000D652B"/>
    <w:rsid w:val="000E2207"/>
    <w:rsid w:val="000E222D"/>
    <w:rsid w:val="000F75CE"/>
    <w:rsid w:val="001025F9"/>
    <w:rsid w:val="00107088"/>
    <w:rsid w:val="001110DA"/>
    <w:rsid w:val="00113FDC"/>
    <w:rsid w:val="00121485"/>
    <w:rsid w:val="001222FF"/>
    <w:rsid w:val="00123B53"/>
    <w:rsid w:val="001268B0"/>
    <w:rsid w:val="00131188"/>
    <w:rsid w:val="00132220"/>
    <w:rsid w:val="00135518"/>
    <w:rsid w:val="001428C5"/>
    <w:rsid w:val="00142A42"/>
    <w:rsid w:val="00143D22"/>
    <w:rsid w:val="0015052B"/>
    <w:rsid w:val="00150FA0"/>
    <w:rsid w:val="001521B4"/>
    <w:rsid w:val="001542F1"/>
    <w:rsid w:val="00154B73"/>
    <w:rsid w:val="001572EE"/>
    <w:rsid w:val="00157A34"/>
    <w:rsid w:val="00160CA7"/>
    <w:rsid w:val="00162900"/>
    <w:rsid w:val="001745AA"/>
    <w:rsid w:val="00176BDF"/>
    <w:rsid w:val="0018051B"/>
    <w:rsid w:val="0018771E"/>
    <w:rsid w:val="00190254"/>
    <w:rsid w:val="0019432C"/>
    <w:rsid w:val="0019642B"/>
    <w:rsid w:val="0019EE3C"/>
    <w:rsid w:val="001A68B5"/>
    <w:rsid w:val="001B1E4A"/>
    <w:rsid w:val="001B32A6"/>
    <w:rsid w:val="001B58AA"/>
    <w:rsid w:val="001B6D19"/>
    <w:rsid w:val="001C4DFD"/>
    <w:rsid w:val="001D27C0"/>
    <w:rsid w:val="001D310D"/>
    <w:rsid w:val="001D585A"/>
    <w:rsid w:val="001E1711"/>
    <w:rsid w:val="001E74C3"/>
    <w:rsid w:val="001F5FA5"/>
    <w:rsid w:val="001F6096"/>
    <w:rsid w:val="001F6937"/>
    <w:rsid w:val="001F9F55"/>
    <w:rsid w:val="002037A1"/>
    <w:rsid w:val="002038AD"/>
    <w:rsid w:val="00204CB8"/>
    <w:rsid w:val="0020598F"/>
    <w:rsid w:val="00207FC3"/>
    <w:rsid w:val="00216FD6"/>
    <w:rsid w:val="00220DE3"/>
    <w:rsid w:val="0022EC48"/>
    <w:rsid w:val="002338AB"/>
    <w:rsid w:val="00236F35"/>
    <w:rsid w:val="002424D3"/>
    <w:rsid w:val="00242699"/>
    <w:rsid w:val="00244534"/>
    <w:rsid w:val="002512A5"/>
    <w:rsid w:val="00252707"/>
    <w:rsid w:val="0025290D"/>
    <w:rsid w:val="00260372"/>
    <w:rsid w:val="0026296E"/>
    <w:rsid w:val="00262DAF"/>
    <w:rsid w:val="002672D5"/>
    <w:rsid w:val="00272A19"/>
    <w:rsid w:val="002747DE"/>
    <w:rsid w:val="0028266F"/>
    <w:rsid w:val="00282D88"/>
    <w:rsid w:val="00285AED"/>
    <w:rsid w:val="0028605D"/>
    <w:rsid w:val="00287736"/>
    <w:rsid w:val="00293ADD"/>
    <w:rsid w:val="002973B4"/>
    <w:rsid w:val="002B1A4E"/>
    <w:rsid w:val="002C20CF"/>
    <w:rsid w:val="002C47B9"/>
    <w:rsid w:val="002C4FCC"/>
    <w:rsid w:val="002C5EAE"/>
    <w:rsid w:val="002D0EB9"/>
    <w:rsid w:val="002D13C9"/>
    <w:rsid w:val="002D2B80"/>
    <w:rsid w:val="002E19BA"/>
    <w:rsid w:val="002E1F63"/>
    <w:rsid w:val="002E2442"/>
    <w:rsid w:val="002E42BA"/>
    <w:rsid w:val="002E5F4F"/>
    <w:rsid w:val="002E66F2"/>
    <w:rsid w:val="002F0E8C"/>
    <w:rsid w:val="00304970"/>
    <w:rsid w:val="00307C44"/>
    <w:rsid w:val="00307F0C"/>
    <w:rsid w:val="00310FA0"/>
    <w:rsid w:val="003147A4"/>
    <w:rsid w:val="0031606D"/>
    <w:rsid w:val="00320481"/>
    <w:rsid w:val="00321130"/>
    <w:rsid w:val="00324CDD"/>
    <w:rsid w:val="003250CB"/>
    <w:rsid w:val="00325DA5"/>
    <w:rsid w:val="0032754C"/>
    <w:rsid w:val="00333428"/>
    <w:rsid w:val="00333A9E"/>
    <w:rsid w:val="00335D1F"/>
    <w:rsid w:val="00342A3A"/>
    <w:rsid w:val="003434ED"/>
    <w:rsid w:val="00343D9A"/>
    <w:rsid w:val="00351CAF"/>
    <w:rsid w:val="00354AC1"/>
    <w:rsid w:val="00355190"/>
    <w:rsid w:val="00357448"/>
    <w:rsid w:val="00357FC6"/>
    <w:rsid w:val="00363201"/>
    <w:rsid w:val="00364333"/>
    <w:rsid w:val="00365135"/>
    <w:rsid w:val="00372ED0"/>
    <w:rsid w:val="0037447F"/>
    <w:rsid w:val="003744F8"/>
    <w:rsid w:val="00377D88"/>
    <w:rsid w:val="003848A6"/>
    <w:rsid w:val="00385D16"/>
    <w:rsid w:val="0039063C"/>
    <w:rsid w:val="003A46A8"/>
    <w:rsid w:val="003A4763"/>
    <w:rsid w:val="003A51AA"/>
    <w:rsid w:val="003A766E"/>
    <w:rsid w:val="003AD6E4"/>
    <w:rsid w:val="003B0E92"/>
    <w:rsid w:val="003B43EC"/>
    <w:rsid w:val="003B527C"/>
    <w:rsid w:val="003B565A"/>
    <w:rsid w:val="003C04B2"/>
    <w:rsid w:val="003C2BF0"/>
    <w:rsid w:val="003C3D10"/>
    <w:rsid w:val="003C7232"/>
    <w:rsid w:val="003D00A1"/>
    <w:rsid w:val="003D3067"/>
    <w:rsid w:val="003D66D9"/>
    <w:rsid w:val="003E223A"/>
    <w:rsid w:val="003E7EC6"/>
    <w:rsid w:val="003F102E"/>
    <w:rsid w:val="003F1BD8"/>
    <w:rsid w:val="003F35DB"/>
    <w:rsid w:val="00406F71"/>
    <w:rsid w:val="0041359A"/>
    <w:rsid w:val="0041427F"/>
    <w:rsid w:val="00415897"/>
    <w:rsid w:val="004203A9"/>
    <w:rsid w:val="00424533"/>
    <w:rsid w:val="00427E51"/>
    <w:rsid w:val="004409D5"/>
    <w:rsid w:val="004424E0"/>
    <w:rsid w:val="00446272"/>
    <w:rsid w:val="004509E5"/>
    <w:rsid w:val="00451A0B"/>
    <w:rsid w:val="00454614"/>
    <w:rsid w:val="004562DC"/>
    <w:rsid w:val="0046616E"/>
    <w:rsid w:val="00466AF9"/>
    <w:rsid w:val="00470BDE"/>
    <w:rsid w:val="00474078"/>
    <w:rsid w:val="004764AD"/>
    <w:rsid w:val="0048617C"/>
    <w:rsid w:val="00486FB9"/>
    <w:rsid w:val="00487D48"/>
    <w:rsid w:val="00490FF9"/>
    <w:rsid w:val="00493245"/>
    <w:rsid w:val="004A2DBE"/>
    <w:rsid w:val="004A3027"/>
    <w:rsid w:val="004B265D"/>
    <w:rsid w:val="004B4F35"/>
    <w:rsid w:val="004C0CCB"/>
    <w:rsid w:val="004C1B4F"/>
    <w:rsid w:val="004C212A"/>
    <w:rsid w:val="004C2F4A"/>
    <w:rsid w:val="004C46E9"/>
    <w:rsid w:val="004C581B"/>
    <w:rsid w:val="004D174C"/>
    <w:rsid w:val="004D30F6"/>
    <w:rsid w:val="004D725A"/>
    <w:rsid w:val="004E6019"/>
    <w:rsid w:val="00500232"/>
    <w:rsid w:val="00500684"/>
    <w:rsid w:val="005014D0"/>
    <w:rsid w:val="005015C4"/>
    <w:rsid w:val="00504668"/>
    <w:rsid w:val="00504DF6"/>
    <w:rsid w:val="005119E2"/>
    <w:rsid w:val="0051230B"/>
    <w:rsid w:val="0052694F"/>
    <w:rsid w:val="005275BD"/>
    <w:rsid w:val="00531EB0"/>
    <w:rsid w:val="0053566B"/>
    <w:rsid w:val="00536501"/>
    <w:rsid w:val="00536992"/>
    <w:rsid w:val="00542BC4"/>
    <w:rsid w:val="005455E1"/>
    <w:rsid w:val="00545801"/>
    <w:rsid w:val="005502BD"/>
    <w:rsid w:val="00555BDE"/>
    <w:rsid w:val="00556787"/>
    <w:rsid w:val="00566C00"/>
    <w:rsid w:val="0057253D"/>
    <w:rsid w:val="0057445F"/>
    <w:rsid w:val="00582276"/>
    <w:rsid w:val="00585074"/>
    <w:rsid w:val="00586036"/>
    <w:rsid w:val="00586173"/>
    <w:rsid w:val="00586761"/>
    <w:rsid w:val="00586C52"/>
    <w:rsid w:val="005A17B0"/>
    <w:rsid w:val="005AFB98"/>
    <w:rsid w:val="005B0632"/>
    <w:rsid w:val="005B0C16"/>
    <w:rsid w:val="005B27E1"/>
    <w:rsid w:val="005B3F5C"/>
    <w:rsid w:val="005C2560"/>
    <w:rsid w:val="005C4AD7"/>
    <w:rsid w:val="005C76AD"/>
    <w:rsid w:val="005D13C9"/>
    <w:rsid w:val="005D1A33"/>
    <w:rsid w:val="005D1F42"/>
    <w:rsid w:val="005D6ADA"/>
    <w:rsid w:val="005DAFAA"/>
    <w:rsid w:val="005E2FED"/>
    <w:rsid w:val="005E4932"/>
    <w:rsid w:val="005E523D"/>
    <w:rsid w:val="005F0129"/>
    <w:rsid w:val="005F7585"/>
    <w:rsid w:val="00600A91"/>
    <w:rsid w:val="00603DA9"/>
    <w:rsid w:val="00605759"/>
    <w:rsid w:val="00605880"/>
    <w:rsid w:val="00605EF7"/>
    <w:rsid w:val="00606888"/>
    <w:rsid w:val="006119BE"/>
    <w:rsid w:val="0062364A"/>
    <w:rsid w:val="00623F15"/>
    <w:rsid w:val="00627827"/>
    <w:rsid w:val="00633046"/>
    <w:rsid w:val="00641ADB"/>
    <w:rsid w:val="006505F3"/>
    <w:rsid w:val="00650C6C"/>
    <w:rsid w:val="0065116B"/>
    <w:rsid w:val="00652FE6"/>
    <w:rsid w:val="00653789"/>
    <w:rsid w:val="00653A24"/>
    <w:rsid w:val="00654847"/>
    <w:rsid w:val="00660826"/>
    <w:rsid w:val="006666A8"/>
    <w:rsid w:val="00667898"/>
    <w:rsid w:val="006691F9"/>
    <w:rsid w:val="00677FE0"/>
    <w:rsid w:val="0068393F"/>
    <w:rsid w:val="00686737"/>
    <w:rsid w:val="00690734"/>
    <w:rsid w:val="006953C3"/>
    <w:rsid w:val="00695AB8"/>
    <w:rsid w:val="006A18C7"/>
    <w:rsid w:val="006B3D45"/>
    <w:rsid w:val="006B6764"/>
    <w:rsid w:val="006C0385"/>
    <w:rsid w:val="006C0CD6"/>
    <w:rsid w:val="006C28D8"/>
    <w:rsid w:val="006C30EB"/>
    <w:rsid w:val="006C41F6"/>
    <w:rsid w:val="006C57EB"/>
    <w:rsid w:val="006C72D1"/>
    <w:rsid w:val="006D04EF"/>
    <w:rsid w:val="006D051C"/>
    <w:rsid w:val="006D54FA"/>
    <w:rsid w:val="006D5798"/>
    <w:rsid w:val="006E0EF7"/>
    <w:rsid w:val="006E13D9"/>
    <w:rsid w:val="006E258A"/>
    <w:rsid w:val="006E2FB0"/>
    <w:rsid w:val="006E32A8"/>
    <w:rsid w:val="006E352B"/>
    <w:rsid w:val="006F1BEA"/>
    <w:rsid w:val="006F2B16"/>
    <w:rsid w:val="006F7E79"/>
    <w:rsid w:val="00700716"/>
    <w:rsid w:val="00701750"/>
    <w:rsid w:val="0070340C"/>
    <w:rsid w:val="00704149"/>
    <w:rsid w:val="00707A39"/>
    <w:rsid w:val="007102D2"/>
    <w:rsid w:val="00712D72"/>
    <w:rsid w:val="00713948"/>
    <w:rsid w:val="00716314"/>
    <w:rsid w:val="0072431D"/>
    <w:rsid w:val="007259E0"/>
    <w:rsid w:val="0072734C"/>
    <w:rsid w:val="007417D5"/>
    <w:rsid w:val="00741CFD"/>
    <w:rsid w:val="00753A27"/>
    <w:rsid w:val="00760FC0"/>
    <w:rsid w:val="00761411"/>
    <w:rsid w:val="00774967"/>
    <w:rsid w:val="00775E40"/>
    <w:rsid w:val="00784A46"/>
    <w:rsid w:val="00785769"/>
    <w:rsid w:val="0079342A"/>
    <w:rsid w:val="007976B4"/>
    <w:rsid w:val="00797EAD"/>
    <w:rsid w:val="007A025B"/>
    <w:rsid w:val="007A2737"/>
    <w:rsid w:val="007A32BF"/>
    <w:rsid w:val="007A5529"/>
    <w:rsid w:val="007A7E24"/>
    <w:rsid w:val="007B05D1"/>
    <w:rsid w:val="007B1D3E"/>
    <w:rsid w:val="007B4949"/>
    <w:rsid w:val="007B55CA"/>
    <w:rsid w:val="007C053B"/>
    <w:rsid w:val="007C0788"/>
    <w:rsid w:val="007C1FD8"/>
    <w:rsid w:val="007C6A25"/>
    <w:rsid w:val="007C6E2A"/>
    <w:rsid w:val="007D1A68"/>
    <w:rsid w:val="007D4BCA"/>
    <w:rsid w:val="007E2AB2"/>
    <w:rsid w:val="007E55C0"/>
    <w:rsid w:val="007F051A"/>
    <w:rsid w:val="007F0BA0"/>
    <w:rsid w:val="007F0BC6"/>
    <w:rsid w:val="007F1313"/>
    <w:rsid w:val="007F5131"/>
    <w:rsid w:val="008017A2"/>
    <w:rsid w:val="0080432F"/>
    <w:rsid w:val="008202A5"/>
    <w:rsid w:val="00823417"/>
    <w:rsid w:val="00831374"/>
    <w:rsid w:val="00834B36"/>
    <w:rsid w:val="00837EDC"/>
    <w:rsid w:val="0084170F"/>
    <w:rsid w:val="008437CD"/>
    <w:rsid w:val="00847C01"/>
    <w:rsid w:val="00852465"/>
    <w:rsid w:val="00857580"/>
    <w:rsid w:val="00865238"/>
    <w:rsid w:val="00866685"/>
    <w:rsid w:val="008667BF"/>
    <w:rsid w:val="00866A40"/>
    <w:rsid w:val="00868D50"/>
    <w:rsid w:val="00875A6E"/>
    <w:rsid w:val="00885DB8"/>
    <w:rsid w:val="00886CC8"/>
    <w:rsid w:val="00890E89"/>
    <w:rsid w:val="00895645"/>
    <w:rsid w:val="00897017"/>
    <w:rsid w:val="008A1BC4"/>
    <w:rsid w:val="008A4209"/>
    <w:rsid w:val="008A65F8"/>
    <w:rsid w:val="008A6806"/>
    <w:rsid w:val="008A7851"/>
    <w:rsid w:val="008B1AC6"/>
    <w:rsid w:val="008B5EB7"/>
    <w:rsid w:val="008C3782"/>
    <w:rsid w:val="008C62FE"/>
    <w:rsid w:val="008C6BC7"/>
    <w:rsid w:val="008D04D7"/>
    <w:rsid w:val="008D26B1"/>
    <w:rsid w:val="008D30B7"/>
    <w:rsid w:val="008D4A32"/>
    <w:rsid w:val="008D593A"/>
    <w:rsid w:val="008E2552"/>
    <w:rsid w:val="008E6BC6"/>
    <w:rsid w:val="008E750B"/>
    <w:rsid w:val="008E7760"/>
    <w:rsid w:val="00900491"/>
    <w:rsid w:val="00900BCF"/>
    <w:rsid w:val="00915AA7"/>
    <w:rsid w:val="009171FE"/>
    <w:rsid w:val="0091766D"/>
    <w:rsid w:val="00922001"/>
    <w:rsid w:val="00922C17"/>
    <w:rsid w:val="00924B5A"/>
    <w:rsid w:val="00926E5D"/>
    <w:rsid w:val="009325EA"/>
    <w:rsid w:val="00937A7E"/>
    <w:rsid w:val="00942DDD"/>
    <w:rsid w:val="009474CB"/>
    <w:rsid w:val="00947835"/>
    <w:rsid w:val="0094802B"/>
    <w:rsid w:val="009516A8"/>
    <w:rsid w:val="0095495F"/>
    <w:rsid w:val="00954A51"/>
    <w:rsid w:val="00967FE6"/>
    <w:rsid w:val="00971949"/>
    <w:rsid w:val="0097705C"/>
    <w:rsid w:val="00982FE3"/>
    <w:rsid w:val="00985D79"/>
    <w:rsid w:val="009868ED"/>
    <w:rsid w:val="009936BD"/>
    <w:rsid w:val="00996DF6"/>
    <w:rsid w:val="009A02E4"/>
    <w:rsid w:val="009A1DF1"/>
    <w:rsid w:val="009B30F8"/>
    <w:rsid w:val="009B503A"/>
    <w:rsid w:val="009B6BC3"/>
    <w:rsid w:val="009C04D3"/>
    <w:rsid w:val="009D3225"/>
    <w:rsid w:val="009D5B41"/>
    <w:rsid w:val="009D5EE7"/>
    <w:rsid w:val="009D6DF4"/>
    <w:rsid w:val="009D771B"/>
    <w:rsid w:val="009E3585"/>
    <w:rsid w:val="009E420F"/>
    <w:rsid w:val="009E4A9B"/>
    <w:rsid w:val="009E523A"/>
    <w:rsid w:val="009E5BCB"/>
    <w:rsid w:val="009F393D"/>
    <w:rsid w:val="009F4A08"/>
    <w:rsid w:val="009F4CB9"/>
    <w:rsid w:val="009F7F46"/>
    <w:rsid w:val="00A000BF"/>
    <w:rsid w:val="00A04D43"/>
    <w:rsid w:val="00A0587E"/>
    <w:rsid w:val="00A0A0C4"/>
    <w:rsid w:val="00A1013A"/>
    <w:rsid w:val="00A10C0C"/>
    <w:rsid w:val="00A12D7A"/>
    <w:rsid w:val="00A131BE"/>
    <w:rsid w:val="00A13A79"/>
    <w:rsid w:val="00A13C41"/>
    <w:rsid w:val="00A16AB9"/>
    <w:rsid w:val="00A2378B"/>
    <w:rsid w:val="00A24C1F"/>
    <w:rsid w:val="00A270EC"/>
    <w:rsid w:val="00A275BC"/>
    <w:rsid w:val="00A31808"/>
    <w:rsid w:val="00A3383F"/>
    <w:rsid w:val="00A34234"/>
    <w:rsid w:val="00A352D9"/>
    <w:rsid w:val="00A356B5"/>
    <w:rsid w:val="00A450A1"/>
    <w:rsid w:val="00A464B4"/>
    <w:rsid w:val="00A49485"/>
    <w:rsid w:val="00A62DD8"/>
    <w:rsid w:val="00A63B72"/>
    <w:rsid w:val="00A63D6B"/>
    <w:rsid w:val="00A6455B"/>
    <w:rsid w:val="00A64C60"/>
    <w:rsid w:val="00A8149D"/>
    <w:rsid w:val="00A84B52"/>
    <w:rsid w:val="00A8660F"/>
    <w:rsid w:val="00A87B13"/>
    <w:rsid w:val="00A93410"/>
    <w:rsid w:val="00A93EB0"/>
    <w:rsid w:val="00A95C48"/>
    <w:rsid w:val="00AA7056"/>
    <w:rsid w:val="00AB140C"/>
    <w:rsid w:val="00AB31C6"/>
    <w:rsid w:val="00AB523B"/>
    <w:rsid w:val="00AC0B6B"/>
    <w:rsid w:val="00AC3EA0"/>
    <w:rsid w:val="00AC795B"/>
    <w:rsid w:val="00AD0583"/>
    <w:rsid w:val="00AD7E40"/>
    <w:rsid w:val="00AE605C"/>
    <w:rsid w:val="00AE61DA"/>
    <w:rsid w:val="00AF1595"/>
    <w:rsid w:val="00AF2980"/>
    <w:rsid w:val="00AF3BAB"/>
    <w:rsid w:val="00AF60E4"/>
    <w:rsid w:val="00B02B33"/>
    <w:rsid w:val="00B040D9"/>
    <w:rsid w:val="00B051EF"/>
    <w:rsid w:val="00B05F25"/>
    <w:rsid w:val="00B070F4"/>
    <w:rsid w:val="00B1114A"/>
    <w:rsid w:val="00B13519"/>
    <w:rsid w:val="00B13D05"/>
    <w:rsid w:val="00B13DB7"/>
    <w:rsid w:val="00B1477A"/>
    <w:rsid w:val="00B14D22"/>
    <w:rsid w:val="00B14DDB"/>
    <w:rsid w:val="00B1729A"/>
    <w:rsid w:val="00B17AC5"/>
    <w:rsid w:val="00B20993"/>
    <w:rsid w:val="00B2172A"/>
    <w:rsid w:val="00B2641C"/>
    <w:rsid w:val="00B2753E"/>
    <w:rsid w:val="00B27B53"/>
    <w:rsid w:val="00B31350"/>
    <w:rsid w:val="00B326D2"/>
    <w:rsid w:val="00B33823"/>
    <w:rsid w:val="00B33950"/>
    <w:rsid w:val="00B36F0D"/>
    <w:rsid w:val="00B42E96"/>
    <w:rsid w:val="00B50A5A"/>
    <w:rsid w:val="00B50B22"/>
    <w:rsid w:val="00B50CAE"/>
    <w:rsid w:val="00B50EE6"/>
    <w:rsid w:val="00B51529"/>
    <w:rsid w:val="00B52185"/>
    <w:rsid w:val="00B52ECD"/>
    <w:rsid w:val="00B70A6B"/>
    <w:rsid w:val="00B804DC"/>
    <w:rsid w:val="00B82016"/>
    <w:rsid w:val="00B82946"/>
    <w:rsid w:val="00B94A2A"/>
    <w:rsid w:val="00B95B93"/>
    <w:rsid w:val="00B9753A"/>
    <w:rsid w:val="00B97DA2"/>
    <w:rsid w:val="00BA3A99"/>
    <w:rsid w:val="00BB23B0"/>
    <w:rsid w:val="00BB27DA"/>
    <w:rsid w:val="00BB479C"/>
    <w:rsid w:val="00BB76A7"/>
    <w:rsid w:val="00BC1101"/>
    <w:rsid w:val="00BC2B83"/>
    <w:rsid w:val="00BC4720"/>
    <w:rsid w:val="00BC4C24"/>
    <w:rsid w:val="00BC795E"/>
    <w:rsid w:val="00BD0B80"/>
    <w:rsid w:val="00BD75A2"/>
    <w:rsid w:val="00BF2573"/>
    <w:rsid w:val="00BF306C"/>
    <w:rsid w:val="00BF770C"/>
    <w:rsid w:val="00C11751"/>
    <w:rsid w:val="00C12992"/>
    <w:rsid w:val="00C13B78"/>
    <w:rsid w:val="00C1534D"/>
    <w:rsid w:val="00C2017A"/>
    <w:rsid w:val="00C2026B"/>
    <w:rsid w:val="00C20470"/>
    <w:rsid w:val="00C23D9A"/>
    <w:rsid w:val="00C24828"/>
    <w:rsid w:val="00C26A1D"/>
    <w:rsid w:val="00C31E73"/>
    <w:rsid w:val="00C32422"/>
    <w:rsid w:val="00C34B2F"/>
    <w:rsid w:val="00C37D31"/>
    <w:rsid w:val="00C41379"/>
    <w:rsid w:val="00C4401F"/>
    <w:rsid w:val="00C44206"/>
    <w:rsid w:val="00C4641B"/>
    <w:rsid w:val="00C46609"/>
    <w:rsid w:val="00C5173A"/>
    <w:rsid w:val="00C5491B"/>
    <w:rsid w:val="00C66385"/>
    <w:rsid w:val="00C6690E"/>
    <w:rsid w:val="00C67644"/>
    <w:rsid w:val="00C67821"/>
    <w:rsid w:val="00C703C5"/>
    <w:rsid w:val="00C72FF5"/>
    <w:rsid w:val="00C7374D"/>
    <w:rsid w:val="00C76358"/>
    <w:rsid w:val="00C77ED1"/>
    <w:rsid w:val="00C805F2"/>
    <w:rsid w:val="00C9068A"/>
    <w:rsid w:val="00C925FB"/>
    <w:rsid w:val="00C927DA"/>
    <w:rsid w:val="00C92863"/>
    <w:rsid w:val="00C96099"/>
    <w:rsid w:val="00C96EFE"/>
    <w:rsid w:val="00CA1DA7"/>
    <w:rsid w:val="00CA2433"/>
    <w:rsid w:val="00CA3641"/>
    <w:rsid w:val="00CA6CAD"/>
    <w:rsid w:val="00CB282A"/>
    <w:rsid w:val="00CB6F1B"/>
    <w:rsid w:val="00CC1808"/>
    <w:rsid w:val="00CC1C66"/>
    <w:rsid w:val="00CC20FF"/>
    <w:rsid w:val="00CC5E40"/>
    <w:rsid w:val="00CD1A02"/>
    <w:rsid w:val="00CE0581"/>
    <w:rsid w:val="00CE6A6F"/>
    <w:rsid w:val="00CF104D"/>
    <w:rsid w:val="00CF21D8"/>
    <w:rsid w:val="00CF3324"/>
    <w:rsid w:val="00D02FF7"/>
    <w:rsid w:val="00D04B3A"/>
    <w:rsid w:val="00D12D55"/>
    <w:rsid w:val="00D14EE5"/>
    <w:rsid w:val="00D14FC5"/>
    <w:rsid w:val="00D1569F"/>
    <w:rsid w:val="00D16619"/>
    <w:rsid w:val="00D166DE"/>
    <w:rsid w:val="00D169DE"/>
    <w:rsid w:val="00D204CE"/>
    <w:rsid w:val="00D20B1E"/>
    <w:rsid w:val="00D20EBE"/>
    <w:rsid w:val="00D22462"/>
    <w:rsid w:val="00D230AC"/>
    <w:rsid w:val="00D24E3B"/>
    <w:rsid w:val="00D32489"/>
    <w:rsid w:val="00D3349E"/>
    <w:rsid w:val="00D41817"/>
    <w:rsid w:val="00D42000"/>
    <w:rsid w:val="00D65BEA"/>
    <w:rsid w:val="00D71EF7"/>
    <w:rsid w:val="00D73CB8"/>
    <w:rsid w:val="00D751A5"/>
    <w:rsid w:val="00D76064"/>
    <w:rsid w:val="00D76F54"/>
    <w:rsid w:val="00D934EB"/>
    <w:rsid w:val="00D973A5"/>
    <w:rsid w:val="00DA7591"/>
    <w:rsid w:val="00DB6F34"/>
    <w:rsid w:val="00DC159B"/>
    <w:rsid w:val="00DC646D"/>
    <w:rsid w:val="00DD3CC5"/>
    <w:rsid w:val="00DE0ED4"/>
    <w:rsid w:val="00DE3CA3"/>
    <w:rsid w:val="00DE75E4"/>
    <w:rsid w:val="00DE7CCA"/>
    <w:rsid w:val="00DF095F"/>
    <w:rsid w:val="00DF26F2"/>
    <w:rsid w:val="00DF3BA2"/>
    <w:rsid w:val="00DF7866"/>
    <w:rsid w:val="00E00C47"/>
    <w:rsid w:val="00E05A9C"/>
    <w:rsid w:val="00E20CF0"/>
    <w:rsid w:val="00E20EBC"/>
    <w:rsid w:val="00E237E4"/>
    <w:rsid w:val="00E23E0E"/>
    <w:rsid w:val="00E30B3C"/>
    <w:rsid w:val="00E32798"/>
    <w:rsid w:val="00E33CC8"/>
    <w:rsid w:val="00E3442F"/>
    <w:rsid w:val="00E372E3"/>
    <w:rsid w:val="00E42B8A"/>
    <w:rsid w:val="00E50E66"/>
    <w:rsid w:val="00E51C91"/>
    <w:rsid w:val="00E55C44"/>
    <w:rsid w:val="00E56664"/>
    <w:rsid w:val="00E56F24"/>
    <w:rsid w:val="00E57B75"/>
    <w:rsid w:val="00E667C1"/>
    <w:rsid w:val="00E67EEC"/>
    <w:rsid w:val="00E735A7"/>
    <w:rsid w:val="00E73FC1"/>
    <w:rsid w:val="00E81623"/>
    <w:rsid w:val="00E8172C"/>
    <w:rsid w:val="00EA4BBA"/>
    <w:rsid w:val="00EB5D82"/>
    <w:rsid w:val="00EB72F4"/>
    <w:rsid w:val="00EC0068"/>
    <w:rsid w:val="00EC3F88"/>
    <w:rsid w:val="00EC5457"/>
    <w:rsid w:val="00ED2CD9"/>
    <w:rsid w:val="00ED337B"/>
    <w:rsid w:val="00ED36D8"/>
    <w:rsid w:val="00ED612A"/>
    <w:rsid w:val="00EE1BAE"/>
    <w:rsid w:val="00EE2C4B"/>
    <w:rsid w:val="00EE6BD7"/>
    <w:rsid w:val="00EE6E74"/>
    <w:rsid w:val="00EF374D"/>
    <w:rsid w:val="00EF37E2"/>
    <w:rsid w:val="00EF553F"/>
    <w:rsid w:val="00F01590"/>
    <w:rsid w:val="00F0689D"/>
    <w:rsid w:val="00F144D4"/>
    <w:rsid w:val="00F16A79"/>
    <w:rsid w:val="00F2507A"/>
    <w:rsid w:val="00F26499"/>
    <w:rsid w:val="00F272CA"/>
    <w:rsid w:val="00F27694"/>
    <w:rsid w:val="00F278D3"/>
    <w:rsid w:val="00F334F9"/>
    <w:rsid w:val="00F3526D"/>
    <w:rsid w:val="00F36A11"/>
    <w:rsid w:val="00F42390"/>
    <w:rsid w:val="00F43894"/>
    <w:rsid w:val="00F469F0"/>
    <w:rsid w:val="00F475C4"/>
    <w:rsid w:val="00F52B59"/>
    <w:rsid w:val="00F564FA"/>
    <w:rsid w:val="00F5715C"/>
    <w:rsid w:val="00F60E89"/>
    <w:rsid w:val="00F61DDE"/>
    <w:rsid w:val="00F62ED7"/>
    <w:rsid w:val="00F635C0"/>
    <w:rsid w:val="00F777F4"/>
    <w:rsid w:val="00F8491A"/>
    <w:rsid w:val="00F84B4C"/>
    <w:rsid w:val="00FA2D92"/>
    <w:rsid w:val="00FA4065"/>
    <w:rsid w:val="00FB01B5"/>
    <w:rsid w:val="00FB2FFA"/>
    <w:rsid w:val="00FC034A"/>
    <w:rsid w:val="00FC0DB9"/>
    <w:rsid w:val="00FC39F6"/>
    <w:rsid w:val="00FC713D"/>
    <w:rsid w:val="00FD07BE"/>
    <w:rsid w:val="00FD0A6B"/>
    <w:rsid w:val="00FD7FC9"/>
    <w:rsid w:val="00FE6ED6"/>
    <w:rsid w:val="00FF07A3"/>
    <w:rsid w:val="00FF76D6"/>
    <w:rsid w:val="010703C9"/>
    <w:rsid w:val="011B97C4"/>
    <w:rsid w:val="011E1F93"/>
    <w:rsid w:val="011EAE33"/>
    <w:rsid w:val="0122E17B"/>
    <w:rsid w:val="012B32B6"/>
    <w:rsid w:val="012BC05C"/>
    <w:rsid w:val="013D7258"/>
    <w:rsid w:val="0160D34E"/>
    <w:rsid w:val="016F193E"/>
    <w:rsid w:val="01741CC0"/>
    <w:rsid w:val="0177565C"/>
    <w:rsid w:val="018A01E7"/>
    <w:rsid w:val="01A7A0F6"/>
    <w:rsid w:val="01A8DAE6"/>
    <w:rsid w:val="01BEEB2B"/>
    <w:rsid w:val="01C6DDC6"/>
    <w:rsid w:val="01D4127B"/>
    <w:rsid w:val="01E92765"/>
    <w:rsid w:val="0207C360"/>
    <w:rsid w:val="021BDAC8"/>
    <w:rsid w:val="02214AE7"/>
    <w:rsid w:val="024690FF"/>
    <w:rsid w:val="02509965"/>
    <w:rsid w:val="02573902"/>
    <w:rsid w:val="02A20A27"/>
    <w:rsid w:val="02AB42FF"/>
    <w:rsid w:val="02BD1C8B"/>
    <w:rsid w:val="02C90CF1"/>
    <w:rsid w:val="02D641D6"/>
    <w:rsid w:val="02D95A30"/>
    <w:rsid w:val="02DB474C"/>
    <w:rsid w:val="02F0050D"/>
    <w:rsid w:val="02F62FB1"/>
    <w:rsid w:val="02FE81AC"/>
    <w:rsid w:val="03010A1B"/>
    <w:rsid w:val="03104E19"/>
    <w:rsid w:val="0314A628"/>
    <w:rsid w:val="03191D20"/>
    <w:rsid w:val="0324EC5F"/>
    <w:rsid w:val="0325E313"/>
    <w:rsid w:val="03450921"/>
    <w:rsid w:val="0358CBF1"/>
    <w:rsid w:val="0365B273"/>
    <w:rsid w:val="037493B7"/>
    <w:rsid w:val="038685B0"/>
    <w:rsid w:val="038757C9"/>
    <w:rsid w:val="038E1D95"/>
    <w:rsid w:val="039D74F4"/>
    <w:rsid w:val="03B311C0"/>
    <w:rsid w:val="03BB9531"/>
    <w:rsid w:val="03BC87AE"/>
    <w:rsid w:val="03BD39B4"/>
    <w:rsid w:val="03C0C740"/>
    <w:rsid w:val="03D00AEB"/>
    <w:rsid w:val="03E80E4E"/>
    <w:rsid w:val="03EBFBA1"/>
    <w:rsid w:val="03F37634"/>
    <w:rsid w:val="04288C98"/>
    <w:rsid w:val="04379303"/>
    <w:rsid w:val="043EAD35"/>
    <w:rsid w:val="04564F8C"/>
    <w:rsid w:val="04568EDA"/>
    <w:rsid w:val="0468E263"/>
    <w:rsid w:val="048F40A3"/>
    <w:rsid w:val="04A1A37E"/>
    <w:rsid w:val="04B16CD5"/>
    <w:rsid w:val="04B36F50"/>
    <w:rsid w:val="04C6C24C"/>
    <w:rsid w:val="04C776F8"/>
    <w:rsid w:val="04EF4988"/>
    <w:rsid w:val="050BDE7B"/>
    <w:rsid w:val="050F85C8"/>
    <w:rsid w:val="05156778"/>
    <w:rsid w:val="05171906"/>
    <w:rsid w:val="051C69D6"/>
    <w:rsid w:val="0522FD8A"/>
    <w:rsid w:val="052B446A"/>
    <w:rsid w:val="0531275E"/>
    <w:rsid w:val="05368656"/>
    <w:rsid w:val="053FF086"/>
    <w:rsid w:val="0545D8DA"/>
    <w:rsid w:val="054EE051"/>
    <w:rsid w:val="055A923B"/>
    <w:rsid w:val="056EE4D9"/>
    <w:rsid w:val="057195C1"/>
    <w:rsid w:val="057AB45C"/>
    <w:rsid w:val="057C8965"/>
    <w:rsid w:val="0586C033"/>
    <w:rsid w:val="0586E955"/>
    <w:rsid w:val="05B02C19"/>
    <w:rsid w:val="05C4D3AC"/>
    <w:rsid w:val="05CD4EF0"/>
    <w:rsid w:val="05CF057C"/>
    <w:rsid w:val="05FD02DC"/>
    <w:rsid w:val="06047217"/>
    <w:rsid w:val="06242EE6"/>
    <w:rsid w:val="062860DE"/>
    <w:rsid w:val="062D68C7"/>
    <w:rsid w:val="0632DFD5"/>
    <w:rsid w:val="063787E0"/>
    <w:rsid w:val="066C85AB"/>
    <w:rsid w:val="069F8ACD"/>
    <w:rsid w:val="06C77822"/>
    <w:rsid w:val="06D4737D"/>
    <w:rsid w:val="06DA0A20"/>
    <w:rsid w:val="06E22613"/>
    <w:rsid w:val="06E8EE54"/>
    <w:rsid w:val="06EBFA72"/>
    <w:rsid w:val="072561AA"/>
    <w:rsid w:val="07278D35"/>
    <w:rsid w:val="0742730A"/>
    <w:rsid w:val="0746F60A"/>
    <w:rsid w:val="074EB463"/>
    <w:rsid w:val="076703BF"/>
    <w:rsid w:val="077F73FE"/>
    <w:rsid w:val="0787CD6A"/>
    <w:rsid w:val="07A6E6B1"/>
    <w:rsid w:val="07A998AE"/>
    <w:rsid w:val="07CACE04"/>
    <w:rsid w:val="07E56B11"/>
    <w:rsid w:val="080BD7C4"/>
    <w:rsid w:val="083700B6"/>
    <w:rsid w:val="0839E4FB"/>
    <w:rsid w:val="08529B82"/>
    <w:rsid w:val="085471EC"/>
    <w:rsid w:val="08931F05"/>
    <w:rsid w:val="08A2F970"/>
    <w:rsid w:val="08A578B5"/>
    <w:rsid w:val="08A789F2"/>
    <w:rsid w:val="08ABFA7F"/>
    <w:rsid w:val="08AE9678"/>
    <w:rsid w:val="08C5B5C2"/>
    <w:rsid w:val="08DE5273"/>
    <w:rsid w:val="08DF7E05"/>
    <w:rsid w:val="090251BB"/>
    <w:rsid w:val="0905C31A"/>
    <w:rsid w:val="091725F8"/>
    <w:rsid w:val="091A9839"/>
    <w:rsid w:val="091E9F6A"/>
    <w:rsid w:val="095043BA"/>
    <w:rsid w:val="096BA630"/>
    <w:rsid w:val="09809706"/>
    <w:rsid w:val="09863043"/>
    <w:rsid w:val="09952AC3"/>
    <w:rsid w:val="09A0DDB1"/>
    <w:rsid w:val="09A18377"/>
    <w:rsid w:val="09D1A07C"/>
    <w:rsid w:val="09D4308A"/>
    <w:rsid w:val="09EC4E7A"/>
    <w:rsid w:val="09ECC652"/>
    <w:rsid w:val="0A0402E1"/>
    <w:rsid w:val="0A0DC637"/>
    <w:rsid w:val="0A2518E9"/>
    <w:rsid w:val="0A27C54A"/>
    <w:rsid w:val="0A414A08"/>
    <w:rsid w:val="0A464A1D"/>
    <w:rsid w:val="0A5B1725"/>
    <w:rsid w:val="0A634395"/>
    <w:rsid w:val="0A6A5A25"/>
    <w:rsid w:val="0A762548"/>
    <w:rsid w:val="0A7FA3D6"/>
    <w:rsid w:val="0AC4D39D"/>
    <w:rsid w:val="0AC5A3CC"/>
    <w:rsid w:val="0ADD3E5B"/>
    <w:rsid w:val="0AFED3C6"/>
    <w:rsid w:val="0B104E62"/>
    <w:rsid w:val="0B52F686"/>
    <w:rsid w:val="0B541DBD"/>
    <w:rsid w:val="0B560FAD"/>
    <w:rsid w:val="0B8AEEB9"/>
    <w:rsid w:val="0B9396B5"/>
    <w:rsid w:val="0B95D5C2"/>
    <w:rsid w:val="0B9959B2"/>
    <w:rsid w:val="0BCAFA17"/>
    <w:rsid w:val="0BD18657"/>
    <w:rsid w:val="0BDA8744"/>
    <w:rsid w:val="0BF5C89E"/>
    <w:rsid w:val="0C069C6C"/>
    <w:rsid w:val="0C12BDF3"/>
    <w:rsid w:val="0C1B9B91"/>
    <w:rsid w:val="0C2EA906"/>
    <w:rsid w:val="0C302C49"/>
    <w:rsid w:val="0C4EE4A6"/>
    <w:rsid w:val="0C698979"/>
    <w:rsid w:val="0C6B7BE3"/>
    <w:rsid w:val="0C7C325B"/>
    <w:rsid w:val="0C81D477"/>
    <w:rsid w:val="0C856B5A"/>
    <w:rsid w:val="0C94DDAC"/>
    <w:rsid w:val="0C9D67B5"/>
    <w:rsid w:val="0CA61ACA"/>
    <w:rsid w:val="0CB080C7"/>
    <w:rsid w:val="0CBF934C"/>
    <w:rsid w:val="0CC70633"/>
    <w:rsid w:val="0CD67150"/>
    <w:rsid w:val="0CDE3B55"/>
    <w:rsid w:val="0CEFDDCA"/>
    <w:rsid w:val="0CF8B56E"/>
    <w:rsid w:val="0D076B86"/>
    <w:rsid w:val="0D079ED4"/>
    <w:rsid w:val="0D087878"/>
    <w:rsid w:val="0D110EF0"/>
    <w:rsid w:val="0D36564F"/>
    <w:rsid w:val="0D416DBB"/>
    <w:rsid w:val="0D48EC59"/>
    <w:rsid w:val="0D7C3590"/>
    <w:rsid w:val="0D91D218"/>
    <w:rsid w:val="0DA30CEF"/>
    <w:rsid w:val="0DD477DD"/>
    <w:rsid w:val="0DE4FACF"/>
    <w:rsid w:val="0DFC3B33"/>
    <w:rsid w:val="0E032B38"/>
    <w:rsid w:val="0E195324"/>
    <w:rsid w:val="0E340295"/>
    <w:rsid w:val="0E3C35EE"/>
    <w:rsid w:val="0E450F48"/>
    <w:rsid w:val="0E4E267F"/>
    <w:rsid w:val="0E5E1C8B"/>
    <w:rsid w:val="0E711D0E"/>
    <w:rsid w:val="0E8461C9"/>
    <w:rsid w:val="0EABDADF"/>
    <w:rsid w:val="0EAF348D"/>
    <w:rsid w:val="0EEC0E68"/>
    <w:rsid w:val="0EF080D6"/>
    <w:rsid w:val="0EF990C6"/>
    <w:rsid w:val="0F04FDF7"/>
    <w:rsid w:val="0F1DD7FC"/>
    <w:rsid w:val="0F3C11D7"/>
    <w:rsid w:val="0F3EEC98"/>
    <w:rsid w:val="0F528CBF"/>
    <w:rsid w:val="0F553E81"/>
    <w:rsid w:val="0F5793EE"/>
    <w:rsid w:val="0F6B7C28"/>
    <w:rsid w:val="0F880498"/>
    <w:rsid w:val="0F98A9CF"/>
    <w:rsid w:val="0FB0F5AD"/>
    <w:rsid w:val="0FFA0844"/>
    <w:rsid w:val="1003FFC7"/>
    <w:rsid w:val="1025F8C6"/>
    <w:rsid w:val="10263BCD"/>
    <w:rsid w:val="10328BDF"/>
    <w:rsid w:val="1048FBD3"/>
    <w:rsid w:val="10580741"/>
    <w:rsid w:val="108B6563"/>
    <w:rsid w:val="10AB49F3"/>
    <w:rsid w:val="10AC7F19"/>
    <w:rsid w:val="10E60E83"/>
    <w:rsid w:val="10F0EFE3"/>
    <w:rsid w:val="10F61FFE"/>
    <w:rsid w:val="110BBA53"/>
    <w:rsid w:val="1113D71D"/>
    <w:rsid w:val="1116AC83"/>
    <w:rsid w:val="1117A52B"/>
    <w:rsid w:val="1119BEF0"/>
    <w:rsid w:val="111AC485"/>
    <w:rsid w:val="1127F426"/>
    <w:rsid w:val="113930A9"/>
    <w:rsid w:val="11534DD9"/>
    <w:rsid w:val="1154336C"/>
    <w:rsid w:val="11809FB3"/>
    <w:rsid w:val="11A328AD"/>
    <w:rsid w:val="11ADA1C7"/>
    <w:rsid w:val="11B2B89E"/>
    <w:rsid w:val="11B3A56E"/>
    <w:rsid w:val="11C00A6D"/>
    <w:rsid w:val="11C813BF"/>
    <w:rsid w:val="11CF02FE"/>
    <w:rsid w:val="11D69C83"/>
    <w:rsid w:val="120C506D"/>
    <w:rsid w:val="120F1A0E"/>
    <w:rsid w:val="1212C11B"/>
    <w:rsid w:val="122CD4C0"/>
    <w:rsid w:val="1245DB23"/>
    <w:rsid w:val="1269EF1A"/>
    <w:rsid w:val="127E1F2F"/>
    <w:rsid w:val="129607BA"/>
    <w:rsid w:val="12B72234"/>
    <w:rsid w:val="12C3FCF6"/>
    <w:rsid w:val="12C7E744"/>
    <w:rsid w:val="12EC8957"/>
    <w:rsid w:val="12EDB41C"/>
    <w:rsid w:val="12F5696C"/>
    <w:rsid w:val="12F8010D"/>
    <w:rsid w:val="130815DA"/>
    <w:rsid w:val="130ABD22"/>
    <w:rsid w:val="130CD885"/>
    <w:rsid w:val="130DD1DF"/>
    <w:rsid w:val="1327AF24"/>
    <w:rsid w:val="132AE569"/>
    <w:rsid w:val="1339DDA4"/>
    <w:rsid w:val="13412B47"/>
    <w:rsid w:val="13460775"/>
    <w:rsid w:val="135A743F"/>
    <w:rsid w:val="1362E9E4"/>
    <w:rsid w:val="137F27B2"/>
    <w:rsid w:val="138EB632"/>
    <w:rsid w:val="139C6541"/>
    <w:rsid w:val="139E7661"/>
    <w:rsid w:val="13AA0695"/>
    <w:rsid w:val="13ABEA9C"/>
    <w:rsid w:val="13BAAED7"/>
    <w:rsid w:val="13C49197"/>
    <w:rsid w:val="13C4F2D5"/>
    <w:rsid w:val="13CEE0D9"/>
    <w:rsid w:val="13DA0438"/>
    <w:rsid w:val="13F2886C"/>
    <w:rsid w:val="140849AB"/>
    <w:rsid w:val="140CD8F9"/>
    <w:rsid w:val="14100C2D"/>
    <w:rsid w:val="14165902"/>
    <w:rsid w:val="1430FBEB"/>
    <w:rsid w:val="1477685A"/>
    <w:rsid w:val="148EF937"/>
    <w:rsid w:val="149FFB36"/>
    <w:rsid w:val="14AB0EC4"/>
    <w:rsid w:val="14B02104"/>
    <w:rsid w:val="14D7D2E0"/>
    <w:rsid w:val="14EC15D6"/>
    <w:rsid w:val="150B4620"/>
    <w:rsid w:val="1517C692"/>
    <w:rsid w:val="151FF2DB"/>
    <w:rsid w:val="152A75B6"/>
    <w:rsid w:val="152DC632"/>
    <w:rsid w:val="153DBAE4"/>
    <w:rsid w:val="1544038A"/>
    <w:rsid w:val="1553F15E"/>
    <w:rsid w:val="1557CCB6"/>
    <w:rsid w:val="156F2C39"/>
    <w:rsid w:val="1588301C"/>
    <w:rsid w:val="158C3328"/>
    <w:rsid w:val="1590EE35"/>
    <w:rsid w:val="159185E6"/>
    <w:rsid w:val="1591D5B0"/>
    <w:rsid w:val="15A89B20"/>
    <w:rsid w:val="15B273E8"/>
    <w:rsid w:val="15DED0A8"/>
    <w:rsid w:val="15E27ECC"/>
    <w:rsid w:val="15E28F1B"/>
    <w:rsid w:val="15E66FAB"/>
    <w:rsid w:val="15EAC03F"/>
    <w:rsid w:val="15F5C6EC"/>
    <w:rsid w:val="15F9186E"/>
    <w:rsid w:val="160D34C4"/>
    <w:rsid w:val="161AA893"/>
    <w:rsid w:val="16234BEA"/>
    <w:rsid w:val="162E4635"/>
    <w:rsid w:val="163457D1"/>
    <w:rsid w:val="1640999A"/>
    <w:rsid w:val="16464C05"/>
    <w:rsid w:val="164DA342"/>
    <w:rsid w:val="16611D0E"/>
    <w:rsid w:val="166B568C"/>
    <w:rsid w:val="1672B762"/>
    <w:rsid w:val="16ABA8B4"/>
    <w:rsid w:val="16AF9449"/>
    <w:rsid w:val="16CAA506"/>
    <w:rsid w:val="16CCFF62"/>
    <w:rsid w:val="16E67F75"/>
    <w:rsid w:val="16E871CD"/>
    <w:rsid w:val="170313BC"/>
    <w:rsid w:val="170CD11A"/>
    <w:rsid w:val="170E8903"/>
    <w:rsid w:val="1718DB42"/>
    <w:rsid w:val="171B83D5"/>
    <w:rsid w:val="173CAF3B"/>
    <w:rsid w:val="17508A8E"/>
    <w:rsid w:val="1751980A"/>
    <w:rsid w:val="175B5762"/>
    <w:rsid w:val="1761B823"/>
    <w:rsid w:val="1765B901"/>
    <w:rsid w:val="1776EF99"/>
    <w:rsid w:val="177ACC76"/>
    <w:rsid w:val="177B444E"/>
    <w:rsid w:val="1791974D"/>
    <w:rsid w:val="1793167D"/>
    <w:rsid w:val="1797258A"/>
    <w:rsid w:val="17D454F0"/>
    <w:rsid w:val="17F6A627"/>
    <w:rsid w:val="1812074E"/>
    <w:rsid w:val="184A8B71"/>
    <w:rsid w:val="184ECCE5"/>
    <w:rsid w:val="1856A45B"/>
    <w:rsid w:val="18604684"/>
    <w:rsid w:val="18868609"/>
    <w:rsid w:val="18AEB812"/>
    <w:rsid w:val="18B4074F"/>
    <w:rsid w:val="18BE4B3C"/>
    <w:rsid w:val="18CD7035"/>
    <w:rsid w:val="18D85299"/>
    <w:rsid w:val="18D8E8AA"/>
    <w:rsid w:val="18DCA41B"/>
    <w:rsid w:val="18DCF859"/>
    <w:rsid w:val="19000299"/>
    <w:rsid w:val="19080D54"/>
    <w:rsid w:val="190C9A02"/>
    <w:rsid w:val="190D87BC"/>
    <w:rsid w:val="1929C2C9"/>
    <w:rsid w:val="194EE2D0"/>
    <w:rsid w:val="19544F70"/>
    <w:rsid w:val="1959153A"/>
    <w:rsid w:val="195CF2BA"/>
    <w:rsid w:val="19639054"/>
    <w:rsid w:val="19658D8E"/>
    <w:rsid w:val="19698A68"/>
    <w:rsid w:val="196B76E9"/>
    <w:rsid w:val="1972193D"/>
    <w:rsid w:val="197883E0"/>
    <w:rsid w:val="197B7C17"/>
    <w:rsid w:val="1991F051"/>
    <w:rsid w:val="19B49229"/>
    <w:rsid w:val="19E217A2"/>
    <w:rsid w:val="19E50C39"/>
    <w:rsid w:val="19E912B3"/>
    <w:rsid w:val="19EA1DA4"/>
    <w:rsid w:val="19ED10DE"/>
    <w:rsid w:val="1A0F1B08"/>
    <w:rsid w:val="1A1B7069"/>
    <w:rsid w:val="1A2566BA"/>
    <w:rsid w:val="1A2E02A9"/>
    <w:rsid w:val="1A30E1EF"/>
    <w:rsid w:val="1A59C5C9"/>
    <w:rsid w:val="1A5FCFD9"/>
    <w:rsid w:val="1A61F91F"/>
    <w:rsid w:val="1A879712"/>
    <w:rsid w:val="1A8DE3B6"/>
    <w:rsid w:val="1A934BEF"/>
    <w:rsid w:val="1AAA7FB2"/>
    <w:rsid w:val="1AB44EF5"/>
    <w:rsid w:val="1AC2D4E4"/>
    <w:rsid w:val="1AC9380F"/>
    <w:rsid w:val="1ACA219F"/>
    <w:rsid w:val="1AD5C0ED"/>
    <w:rsid w:val="1AE3E1C4"/>
    <w:rsid w:val="1AF6AD0F"/>
    <w:rsid w:val="1AFB6D96"/>
    <w:rsid w:val="1B00B6C6"/>
    <w:rsid w:val="1B0D72FD"/>
    <w:rsid w:val="1B4C1727"/>
    <w:rsid w:val="1B722F0D"/>
    <w:rsid w:val="1B8115F2"/>
    <w:rsid w:val="1B92C856"/>
    <w:rsid w:val="1B9BF326"/>
    <w:rsid w:val="1BA15F90"/>
    <w:rsid w:val="1BA5AFB6"/>
    <w:rsid w:val="1BBFE034"/>
    <w:rsid w:val="1BFD04A5"/>
    <w:rsid w:val="1BFFD4C4"/>
    <w:rsid w:val="1C11AB27"/>
    <w:rsid w:val="1C23FBB1"/>
    <w:rsid w:val="1C310A8F"/>
    <w:rsid w:val="1C39D9DB"/>
    <w:rsid w:val="1C430BA5"/>
    <w:rsid w:val="1C4C7CAD"/>
    <w:rsid w:val="1C4D5F43"/>
    <w:rsid w:val="1C635F64"/>
    <w:rsid w:val="1C654764"/>
    <w:rsid w:val="1C69B435"/>
    <w:rsid w:val="1C93DD30"/>
    <w:rsid w:val="1CA095CD"/>
    <w:rsid w:val="1CA7919B"/>
    <w:rsid w:val="1CADB2D3"/>
    <w:rsid w:val="1CC4BF60"/>
    <w:rsid w:val="1CC7527A"/>
    <w:rsid w:val="1CCAB3C0"/>
    <w:rsid w:val="1CD5B716"/>
    <w:rsid w:val="1CFACBED"/>
    <w:rsid w:val="1D112A98"/>
    <w:rsid w:val="1D12744A"/>
    <w:rsid w:val="1D135A21"/>
    <w:rsid w:val="1D1E4197"/>
    <w:rsid w:val="1D20EAA9"/>
    <w:rsid w:val="1D3934B0"/>
    <w:rsid w:val="1D396380"/>
    <w:rsid w:val="1D5AC35E"/>
    <w:rsid w:val="1D82C1AE"/>
    <w:rsid w:val="1D94B336"/>
    <w:rsid w:val="1D970095"/>
    <w:rsid w:val="1DA0F069"/>
    <w:rsid w:val="1DB2C3C8"/>
    <w:rsid w:val="1DCE3686"/>
    <w:rsid w:val="1DCF1D36"/>
    <w:rsid w:val="1DDC88E7"/>
    <w:rsid w:val="1DF35939"/>
    <w:rsid w:val="1DF3D57F"/>
    <w:rsid w:val="1DF9F58B"/>
    <w:rsid w:val="1E08D320"/>
    <w:rsid w:val="1E25E873"/>
    <w:rsid w:val="1E515422"/>
    <w:rsid w:val="1E6B98BD"/>
    <w:rsid w:val="1E7EE6C2"/>
    <w:rsid w:val="1E8FACFE"/>
    <w:rsid w:val="1E9E0B29"/>
    <w:rsid w:val="1EAD0D27"/>
    <w:rsid w:val="1EB3C5E4"/>
    <w:rsid w:val="1ECEECE6"/>
    <w:rsid w:val="1ED5CA7E"/>
    <w:rsid w:val="1EE3860F"/>
    <w:rsid w:val="1EEA8252"/>
    <w:rsid w:val="1EF2651B"/>
    <w:rsid w:val="1EF4CF0F"/>
    <w:rsid w:val="1EF6EDC3"/>
    <w:rsid w:val="1EFDBE83"/>
    <w:rsid w:val="1F031EAD"/>
    <w:rsid w:val="1F0DFD3B"/>
    <w:rsid w:val="1F11B6E3"/>
    <w:rsid w:val="1F1583C4"/>
    <w:rsid w:val="1F198A5B"/>
    <w:rsid w:val="1F1A3166"/>
    <w:rsid w:val="1F1FCD00"/>
    <w:rsid w:val="1F3D92EA"/>
    <w:rsid w:val="1F4311A0"/>
    <w:rsid w:val="1F4A0402"/>
    <w:rsid w:val="1F4D86C8"/>
    <w:rsid w:val="1F53E4C3"/>
    <w:rsid w:val="1F628EB1"/>
    <w:rsid w:val="1F68C5B1"/>
    <w:rsid w:val="1F8D1C64"/>
    <w:rsid w:val="1FB01C1E"/>
    <w:rsid w:val="1FB28F34"/>
    <w:rsid w:val="1FB6D0A6"/>
    <w:rsid w:val="1FBBB582"/>
    <w:rsid w:val="1FC026C1"/>
    <w:rsid w:val="1FC1DA40"/>
    <w:rsid w:val="1FDE0067"/>
    <w:rsid w:val="201D8B28"/>
    <w:rsid w:val="202C2362"/>
    <w:rsid w:val="2059D7BF"/>
    <w:rsid w:val="2098D530"/>
    <w:rsid w:val="209F5C7C"/>
    <w:rsid w:val="20C9FC73"/>
    <w:rsid w:val="20D0B0F4"/>
    <w:rsid w:val="20D4F5DC"/>
    <w:rsid w:val="20DD6C37"/>
    <w:rsid w:val="20E300F9"/>
    <w:rsid w:val="20E5D5BE"/>
    <w:rsid w:val="20E78D4A"/>
    <w:rsid w:val="20EB626B"/>
    <w:rsid w:val="2108E34A"/>
    <w:rsid w:val="2122696C"/>
    <w:rsid w:val="2127CF43"/>
    <w:rsid w:val="213E5CF7"/>
    <w:rsid w:val="214A073B"/>
    <w:rsid w:val="214A6878"/>
    <w:rsid w:val="214E5F95"/>
    <w:rsid w:val="214EECAD"/>
    <w:rsid w:val="215BB27C"/>
    <w:rsid w:val="215BC422"/>
    <w:rsid w:val="216AA878"/>
    <w:rsid w:val="21B3F17F"/>
    <w:rsid w:val="21DB0AF5"/>
    <w:rsid w:val="21F44456"/>
    <w:rsid w:val="21FF3717"/>
    <w:rsid w:val="2200D454"/>
    <w:rsid w:val="2206C41A"/>
    <w:rsid w:val="220D59F1"/>
    <w:rsid w:val="2210573B"/>
    <w:rsid w:val="2220BBC4"/>
    <w:rsid w:val="2234C84E"/>
    <w:rsid w:val="2271304E"/>
    <w:rsid w:val="227BB442"/>
    <w:rsid w:val="228AD0D1"/>
    <w:rsid w:val="22A453E5"/>
    <w:rsid w:val="22BB3F5D"/>
    <w:rsid w:val="22C07C13"/>
    <w:rsid w:val="22DA1555"/>
    <w:rsid w:val="22DC377A"/>
    <w:rsid w:val="22E2BE1A"/>
    <w:rsid w:val="22F73E24"/>
    <w:rsid w:val="22FE0DE0"/>
    <w:rsid w:val="23329346"/>
    <w:rsid w:val="23439B25"/>
    <w:rsid w:val="2344513C"/>
    <w:rsid w:val="2363C424"/>
    <w:rsid w:val="2368FCA9"/>
    <w:rsid w:val="23739D3F"/>
    <w:rsid w:val="2376BDD8"/>
    <w:rsid w:val="23922DA8"/>
    <w:rsid w:val="23979474"/>
    <w:rsid w:val="239CC108"/>
    <w:rsid w:val="23D0F99C"/>
    <w:rsid w:val="23F9B787"/>
    <w:rsid w:val="240A7BFE"/>
    <w:rsid w:val="24136EC0"/>
    <w:rsid w:val="245D1521"/>
    <w:rsid w:val="24793477"/>
    <w:rsid w:val="248AAE60"/>
    <w:rsid w:val="248F579B"/>
    <w:rsid w:val="24904E19"/>
    <w:rsid w:val="2495DDBF"/>
    <w:rsid w:val="249EC727"/>
    <w:rsid w:val="24B4C75D"/>
    <w:rsid w:val="24D53151"/>
    <w:rsid w:val="24DA788B"/>
    <w:rsid w:val="24EB6E25"/>
    <w:rsid w:val="24EC1B37"/>
    <w:rsid w:val="24EF21DA"/>
    <w:rsid w:val="24F7AF50"/>
    <w:rsid w:val="24FBE63F"/>
    <w:rsid w:val="2500968E"/>
    <w:rsid w:val="2507B4F5"/>
    <w:rsid w:val="250E67AB"/>
    <w:rsid w:val="2512D17B"/>
    <w:rsid w:val="251FF72C"/>
    <w:rsid w:val="254AC265"/>
    <w:rsid w:val="25582B6F"/>
    <w:rsid w:val="2558509E"/>
    <w:rsid w:val="255FD721"/>
    <w:rsid w:val="25770BF8"/>
    <w:rsid w:val="257C12E9"/>
    <w:rsid w:val="258293D7"/>
    <w:rsid w:val="25848FCE"/>
    <w:rsid w:val="2591C00E"/>
    <w:rsid w:val="25AFD2D2"/>
    <w:rsid w:val="25C20783"/>
    <w:rsid w:val="25C265F6"/>
    <w:rsid w:val="25D494B3"/>
    <w:rsid w:val="25F38C01"/>
    <w:rsid w:val="2601CE64"/>
    <w:rsid w:val="26084456"/>
    <w:rsid w:val="262B30A9"/>
    <w:rsid w:val="262E49D9"/>
    <w:rsid w:val="26307B13"/>
    <w:rsid w:val="26744B54"/>
    <w:rsid w:val="2689F0BE"/>
    <w:rsid w:val="268BFFDC"/>
    <w:rsid w:val="26A43D81"/>
    <w:rsid w:val="26AE65E5"/>
    <w:rsid w:val="26AFFF6E"/>
    <w:rsid w:val="26B45A2B"/>
    <w:rsid w:val="26DAEBD1"/>
    <w:rsid w:val="26DC92D4"/>
    <w:rsid w:val="26E648C9"/>
    <w:rsid w:val="26E6BEAC"/>
    <w:rsid w:val="26F4AB21"/>
    <w:rsid w:val="26FA0F57"/>
    <w:rsid w:val="26FF95FE"/>
    <w:rsid w:val="27126BB6"/>
    <w:rsid w:val="2713E52B"/>
    <w:rsid w:val="272EBC08"/>
    <w:rsid w:val="2742BE1B"/>
    <w:rsid w:val="27464E71"/>
    <w:rsid w:val="274AB81B"/>
    <w:rsid w:val="275CD71F"/>
    <w:rsid w:val="2763C20C"/>
    <w:rsid w:val="277E20D5"/>
    <w:rsid w:val="2790F040"/>
    <w:rsid w:val="27990FF6"/>
    <w:rsid w:val="279ABF83"/>
    <w:rsid w:val="279C64D6"/>
    <w:rsid w:val="27A53543"/>
    <w:rsid w:val="27BB8FE2"/>
    <w:rsid w:val="27C2C670"/>
    <w:rsid w:val="27DC03E7"/>
    <w:rsid w:val="27E17F42"/>
    <w:rsid w:val="27E47F20"/>
    <w:rsid w:val="27E7E59B"/>
    <w:rsid w:val="27EC0E97"/>
    <w:rsid w:val="27ED02C0"/>
    <w:rsid w:val="27F1CCD6"/>
    <w:rsid w:val="28067AE4"/>
    <w:rsid w:val="281BFFDD"/>
    <w:rsid w:val="281D66E7"/>
    <w:rsid w:val="282A9375"/>
    <w:rsid w:val="283BDCA6"/>
    <w:rsid w:val="284292AD"/>
    <w:rsid w:val="28651CE0"/>
    <w:rsid w:val="286B2F17"/>
    <w:rsid w:val="286B46F2"/>
    <w:rsid w:val="287C9B75"/>
    <w:rsid w:val="28A721BF"/>
    <w:rsid w:val="28B54E1A"/>
    <w:rsid w:val="28C6D7CB"/>
    <w:rsid w:val="28F79CD6"/>
    <w:rsid w:val="290B3091"/>
    <w:rsid w:val="2917EC90"/>
    <w:rsid w:val="29269391"/>
    <w:rsid w:val="292A1DB8"/>
    <w:rsid w:val="292A7898"/>
    <w:rsid w:val="29372D33"/>
    <w:rsid w:val="293C184E"/>
    <w:rsid w:val="294774A8"/>
    <w:rsid w:val="29529AA1"/>
    <w:rsid w:val="296A4CE6"/>
    <w:rsid w:val="29731C14"/>
    <w:rsid w:val="29892038"/>
    <w:rsid w:val="299138F8"/>
    <w:rsid w:val="29920597"/>
    <w:rsid w:val="29C28F2F"/>
    <w:rsid w:val="29D8F9A6"/>
    <w:rsid w:val="29EC2D0A"/>
    <w:rsid w:val="2A20FB6C"/>
    <w:rsid w:val="2A257A41"/>
    <w:rsid w:val="2A29107C"/>
    <w:rsid w:val="2A2F1517"/>
    <w:rsid w:val="2A41015E"/>
    <w:rsid w:val="2A463939"/>
    <w:rsid w:val="2A5376C1"/>
    <w:rsid w:val="2A6F69A4"/>
    <w:rsid w:val="2A923984"/>
    <w:rsid w:val="2AA41641"/>
    <w:rsid w:val="2AAB20E8"/>
    <w:rsid w:val="2AAC7352"/>
    <w:rsid w:val="2AB4F7EF"/>
    <w:rsid w:val="2AC6D4AB"/>
    <w:rsid w:val="2AC943CB"/>
    <w:rsid w:val="2ADC2128"/>
    <w:rsid w:val="2AE0102A"/>
    <w:rsid w:val="2B1F7D78"/>
    <w:rsid w:val="2B239911"/>
    <w:rsid w:val="2B2F37C7"/>
    <w:rsid w:val="2B58FC46"/>
    <w:rsid w:val="2B5C73F6"/>
    <w:rsid w:val="2B601ACC"/>
    <w:rsid w:val="2B673422"/>
    <w:rsid w:val="2B6A2EFB"/>
    <w:rsid w:val="2B933E87"/>
    <w:rsid w:val="2BB2323A"/>
    <w:rsid w:val="2BC4BEC5"/>
    <w:rsid w:val="2BC88800"/>
    <w:rsid w:val="2BEE7044"/>
    <w:rsid w:val="2BF2C157"/>
    <w:rsid w:val="2BF51FF0"/>
    <w:rsid w:val="2BF76253"/>
    <w:rsid w:val="2C069B87"/>
    <w:rsid w:val="2C108199"/>
    <w:rsid w:val="2C3CF083"/>
    <w:rsid w:val="2C3D2B7D"/>
    <w:rsid w:val="2C48E987"/>
    <w:rsid w:val="2C662BFF"/>
    <w:rsid w:val="2C6B366D"/>
    <w:rsid w:val="2C6C7DC5"/>
    <w:rsid w:val="2C7523A6"/>
    <w:rsid w:val="2C7B4A3D"/>
    <w:rsid w:val="2C7B4D62"/>
    <w:rsid w:val="2C7D4E3F"/>
    <w:rsid w:val="2C8A5A6D"/>
    <w:rsid w:val="2C90B8AF"/>
    <w:rsid w:val="2CBB4F56"/>
    <w:rsid w:val="2CBCFEB9"/>
    <w:rsid w:val="2CC56CE5"/>
    <w:rsid w:val="2CDC2507"/>
    <w:rsid w:val="2CF0D296"/>
    <w:rsid w:val="2CF1288D"/>
    <w:rsid w:val="2D080DB9"/>
    <w:rsid w:val="2D1F04AD"/>
    <w:rsid w:val="2D3C51B0"/>
    <w:rsid w:val="2D41D9FC"/>
    <w:rsid w:val="2D580200"/>
    <w:rsid w:val="2D58E331"/>
    <w:rsid w:val="2D59CFFA"/>
    <w:rsid w:val="2D5B28C8"/>
    <w:rsid w:val="2D67D334"/>
    <w:rsid w:val="2D84C5D9"/>
    <w:rsid w:val="2D8FA1B3"/>
    <w:rsid w:val="2D9D1878"/>
    <w:rsid w:val="2DAC44BB"/>
    <w:rsid w:val="2DAE31E8"/>
    <w:rsid w:val="2DB0F1B3"/>
    <w:rsid w:val="2DCC79B3"/>
    <w:rsid w:val="2DD2CCCE"/>
    <w:rsid w:val="2DFD3CE8"/>
    <w:rsid w:val="2DFFF012"/>
    <w:rsid w:val="2E03E5B2"/>
    <w:rsid w:val="2E0BF053"/>
    <w:rsid w:val="2E0E937F"/>
    <w:rsid w:val="2E1125F0"/>
    <w:rsid w:val="2E11C14A"/>
    <w:rsid w:val="2E20B499"/>
    <w:rsid w:val="2E22AF6C"/>
    <w:rsid w:val="2E43BC0B"/>
    <w:rsid w:val="2E4ABC5E"/>
    <w:rsid w:val="2E5ADA6E"/>
    <w:rsid w:val="2E62B220"/>
    <w:rsid w:val="2E692846"/>
    <w:rsid w:val="2E77BE4A"/>
    <w:rsid w:val="2E7E288C"/>
    <w:rsid w:val="2E81FDC2"/>
    <w:rsid w:val="2E9C14A7"/>
    <w:rsid w:val="2EA42CA2"/>
    <w:rsid w:val="2EBE9947"/>
    <w:rsid w:val="2EC257C5"/>
    <w:rsid w:val="2ED24C34"/>
    <w:rsid w:val="2EE0BB51"/>
    <w:rsid w:val="2EEEDD16"/>
    <w:rsid w:val="2EF8DB8C"/>
    <w:rsid w:val="2F1F34AF"/>
    <w:rsid w:val="2F3356E4"/>
    <w:rsid w:val="2F38418B"/>
    <w:rsid w:val="2F561851"/>
    <w:rsid w:val="2F57F457"/>
    <w:rsid w:val="2F59988E"/>
    <w:rsid w:val="2F608566"/>
    <w:rsid w:val="2F6C85AA"/>
    <w:rsid w:val="2F6F9C32"/>
    <w:rsid w:val="2F8F67E5"/>
    <w:rsid w:val="2F99D467"/>
    <w:rsid w:val="2FA103A3"/>
    <w:rsid w:val="2FE0FF65"/>
    <w:rsid w:val="2FE4CE47"/>
    <w:rsid w:val="300BEEB3"/>
    <w:rsid w:val="301B2058"/>
    <w:rsid w:val="302B8753"/>
    <w:rsid w:val="30310C55"/>
    <w:rsid w:val="303396BA"/>
    <w:rsid w:val="305DCBC9"/>
    <w:rsid w:val="306C8470"/>
    <w:rsid w:val="306CD0CF"/>
    <w:rsid w:val="30B455CF"/>
    <w:rsid w:val="30BAEF36"/>
    <w:rsid w:val="30C6C07E"/>
    <w:rsid w:val="30CD5615"/>
    <w:rsid w:val="30F75528"/>
    <w:rsid w:val="314676BA"/>
    <w:rsid w:val="3165AE14"/>
    <w:rsid w:val="31682305"/>
    <w:rsid w:val="3171A8BF"/>
    <w:rsid w:val="318D8924"/>
    <w:rsid w:val="31BEFA9D"/>
    <w:rsid w:val="31DE2069"/>
    <w:rsid w:val="31E5070E"/>
    <w:rsid w:val="31E6D94C"/>
    <w:rsid w:val="32062E83"/>
    <w:rsid w:val="32066B2C"/>
    <w:rsid w:val="321D3C96"/>
    <w:rsid w:val="32215840"/>
    <w:rsid w:val="32445394"/>
    <w:rsid w:val="325C3905"/>
    <w:rsid w:val="326A0C10"/>
    <w:rsid w:val="3293A75B"/>
    <w:rsid w:val="32A0CDE6"/>
    <w:rsid w:val="32A499DB"/>
    <w:rsid w:val="32A7708F"/>
    <w:rsid w:val="32B0E06C"/>
    <w:rsid w:val="32E2F676"/>
    <w:rsid w:val="32EB04F3"/>
    <w:rsid w:val="32F206AE"/>
    <w:rsid w:val="32F95183"/>
    <w:rsid w:val="32FE66CB"/>
    <w:rsid w:val="330B0B65"/>
    <w:rsid w:val="3327ECE5"/>
    <w:rsid w:val="333D3380"/>
    <w:rsid w:val="333EBC36"/>
    <w:rsid w:val="33612116"/>
    <w:rsid w:val="33626EBA"/>
    <w:rsid w:val="336886EB"/>
    <w:rsid w:val="3381B873"/>
    <w:rsid w:val="338492A5"/>
    <w:rsid w:val="33954179"/>
    <w:rsid w:val="33A4217C"/>
    <w:rsid w:val="33AE3D7D"/>
    <w:rsid w:val="33B59D8A"/>
    <w:rsid w:val="33BFF881"/>
    <w:rsid w:val="33D78C8E"/>
    <w:rsid w:val="33E734FA"/>
    <w:rsid w:val="33E73A29"/>
    <w:rsid w:val="34005E94"/>
    <w:rsid w:val="340AA0BC"/>
    <w:rsid w:val="342657CD"/>
    <w:rsid w:val="342D783A"/>
    <w:rsid w:val="343DE192"/>
    <w:rsid w:val="344CA795"/>
    <w:rsid w:val="344F6DB0"/>
    <w:rsid w:val="34780F0A"/>
    <w:rsid w:val="347F8084"/>
    <w:rsid w:val="34851CEA"/>
    <w:rsid w:val="348F88D1"/>
    <w:rsid w:val="349A12EA"/>
    <w:rsid w:val="34A83939"/>
    <w:rsid w:val="34B6B053"/>
    <w:rsid w:val="34BC2BB7"/>
    <w:rsid w:val="34C2D1F4"/>
    <w:rsid w:val="350018CF"/>
    <w:rsid w:val="350DC32A"/>
    <w:rsid w:val="35264A64"/>
    <w:rsid w:val="35308BFD"/>
    <w:rsid w:val="35405B05"/>
    <w:rsid w:val="356DA40A"/>
    <w:rsid w:val="356E981A"/>
    <w:rsid w:val="356F5475"/>
    <w:rsid w:val="3573B558"/>
    <w:rsid w:val="358FDFD3"/>
    <w:rsid w:val="359298A0"/>
    <w:rsid w:val="359C46E5"/>
    <w:rsid w:val="359F65F7"/>
    <w:rsid w:val="35A3F3BD"/>
    <w:rsid w:val="35BB64C1"/>
    <w:rsid w:val="35C3B617"/>
    <w:rsid w:val="35C9D0A2"/>
    <w:rsid w:val="35CB26C5"/>
    <w:rsid w:val="35CEC244"/>
    <w:rsid w:val="35D01CCC"/>
    <w:rsid w:val="35E8ADED"/>
    <w:rsid w:val="35FB0CB0"/>
    <w:rsid w:val="361B2339"/>
    <w:rsid w:val="362A1805"/>
    <w:rsid w:val="363B8FB7"/>
    <w:rsid w:val="364CF036"/>
    <w:rsid w:val="3663472F"/>
    <w:rsid w:val="366B27DD"/>
    <w:rsid w:val="366C759D"/>
    <w:rsid w:val="36B43A60"/>
    <w:rsid w:val="36C64D92"/>
    <w:rsid w:val="36D740E3"/>
    <w:rsid w:val="36D9CEBD"/>
    <w:rsid w:val="36EDFFD4"/>
    <w:rsid w:val="36FE1442"/>
    <w:rsid w:val="37049348"/>
    <w:rsid w:val="370C861E"/>
    <w:rsid w:val="370E21F3"/>
    <w:rsid w:val="37122FF8"/>
    <w:rsid w:val="3718C5D9"/>
    <w:rsid w:val="371A0D05"/>
    <w:rsid w:val="3726B185"/>
    <w:rsid w:val="37539E75"/>
    <w:rsid w:val="37541502"/>
    <w:rsid w:val="37860CFC"/>
    <w:rsid w:val="37B26553"/>
    <w:rsid w:val="37B39F86"/>
    <w:rsid w:val="37C5D0AE"/>
    <w:rsid w:val="38170D70"/>
    <w:rsid w:val="382220C4"/>
    <w:rsid w:val="38334E45"/>
    <w:rsid w:val="38335852"/>
    <w:rsid w:val="383BFEBF"/>
    <w:rsid w:val="384EA30C"/>
    <w:rsid w:val="38717AE7"/>
    <w:rsid w:val="387F5F21"/>
    <w:rsid w:val="3884800D"/>
    <w:rsid w:val="389D1F1A"/>
    <w:rsid w:val="38B5710F"/>
    <w:rsid w:val="38B7D063"/>
    <w:rsid w:val="38CB52A6"/>
    <w:rsid w:val="38F25BE1"/>
    <w:rsid w:val="39145085"/>
    <w:rsid w:val="3929BC0E"/>
    <w:rsid w:val="3930B81A"/>
    <w:rsid w:val="3931C643"/>
    <w:rsid w:val="39549EE8"/>
    <w:rsid w:val="39961F60"/>
    <w:rsid w:val="39A5A4B4"/>
    <w:rsid w:val="39B17D2A"/>
    <w:rsid w:val="39C08EA5"/>
    <w:rsid w:val="39C18BCB"/>
    <w:rsid w:val="39FFAA40"/>
    <w:rsid w:val="3A011E92"/>
    <w:rsid w:val="3A0E25D1"/>
    <w:rsid w:val="3A120645"/>
    <w:rsid w:val="3A16920D"/>
    <w:rsid w:val="3A1CA0AB"/>
    <w:rsid w:val="3A219B8A"/>
    <w:rsid w:val="3A222E4D"/>
    <w:rsid w:val="3A227539"/>
    <w:rsid w:val="3A3B2C50"/>
    <w:rsid w:val="3A3B75AD"/>
    <w:rsid w:val="3A5B319A"/>
    <w:rsid w:val="3A672832"/>
    <w:rsid w:val="3A6E5915"/>
    <w:rsid w:val="3A7F7F86"/>
    <w:rsid w:val="3A7F93D3"/>
    <w:rsid w:val="3A947D58"/>
    <w:rsid w:val="3A9D7FA3"/>
    <w:rsid w:val="3AA79DBA"/>
    <w:rsid w:val="3AD62E15"/>
    <w:rsid w:val="3AE5C0C0"/>
    <w:rsid w:val="3B0330DD"/>
    <w:rsid w:val="3B05C71D"/>
    <w:rsid w:val="3B0B0423"/>
    <w:rsid w:val="3B326EDD"/>
    <w:rsid w:val="3B39AA33"/>
    <w:rsid w:val="3B3A3132"/>
    <w:rsid w:val="3B4159A9"/>
    <w:rsid w:val="3B46D1DA"/>
    <w:rsid w:val="3B4CD431"/>
    <w:rsid w:val="3B51534B"/>
    <w:rsid w:val="3B571EAC"/>
    <w:rsid w:val="3B6C197E"/>
    <w:rsid w:val="3B6C3F75"/>
    <w:rsid w:val="3B6FA647"/>
    <w:rsid w:val="3B7318F9"/>
    <w:rsid w:val="3B76FE77"/>
    <w:rsid w:val="3B84BDAC"/>
    <w:rsid w:val="3B9E8C3C"/>
    <w:rsid w:val="3BA9788D"/>
    <w:rsid w:val="3BAAA4C2"/>
    <w:rsid w:val="3BACE32E"/>
    <w:rsid w:val="3BB3BC98"/>
    <w:rsid w:val="3BB7493E"/>
    <w:rsid w:val="3BBC6486"/>
    <w:rsid w:val="3BCFB576"/>
    <w:rsid w:val="3BD8267A"/>
    <w:rsid w:val="3BDC3BD3"/>
    <w:rsid w:val="3BE64628"/>
    <w:rsid w:val="3BE6FA26"/>
    <w:rsid w:val="3BFB3099"/>
    <w:rsid w:val="3BFC1AC4"/>
    <w:rsid w:val="3C0F0D1A"/>
    <w:rsid w:val="3C1A8FCD"/>
    <w:rsid w:val="3C2E49DC"/>
    <w:rsid w:val="3C3DD6C2"/>
    <w:rsid w:val="3C405D74"/>
    <w:rsid w:val="3C615CD0"/>
    <w:rsid w:val="3C671F94"/>
    <w:rsid w:val="3C716A0C"/>
    <w:rsid w:val="3C798B47"/>
    <w:rsid w:val="3C83219D"/>
    <w:rsid w:val="3C8D570E"/>
    <w:rsid w:val="3CBE4D2C"/>
    <w:rsid w:val="3CC559A2"/>
    <w:rsid w:val="3CC72050"/>
    <w:rsid w:val="3CD462B4"/>
    <w:rsid w:val="3CDBE164"/>
    <w:rsid w:val="3CE2C7DF"/>
    <w:rsid w:val="3CE43A27"/>
    <w:rsid w:val="3CEBD929"/>
    <w:rsid w:val="3CEE0F0B"/>
    <w:rsid w:val="3CFAE082"/>
    <w:rsid w:val="3D1952B0"/>
    <w:rsid w:val="3D2358CE"/>
    <w:rsid w:val="3D2CFC7D"/>
    <w:rsid w:val="3D408199"/>
    <w:rsid w:val="3D5D2481"/>
    <w:rsid w:val="3D61DDF1"/>
    <w:rsid w:val="3D666471"/>
    <w:rsid w:val="3D73D820"/>
    <w:rsid w:val="3D79AB65"/>
    <w:rsid w:val="3D7CA0AD"/>
    <w:rsid w:val="3D93C82D"/>
    <w:rsid w:val="3D95EA04"/>
    <w:rsid w:val="3DA5C079"/>
    <w:rsid w:val="3DBE9D6F"/>
    <w:rsid w:val="3DCAEFF9"/>
    <w:rsid w:val="3DCCB738"/>
    <w:rsid w:val="3DD75517"/>
    <w:rsid w:val="3DF6083B"/>
    <w:rsid w:val="3DF73630"/>
    <w:rsid w:val="3DFD471F"/>
    <w:rsid w:val="3E00E057"/>
    <w:rsid w:val="3E25DB97"/>
    <w:rsid w:val="3E2FBA59"/>
    <w:rsid w:val="3E3947F5"/>
    <w:rsid w:val="3E3DC85C"/>
    <w:rsid w:val="3E4F6E5D"/>
    <w:rsid w:val="3E63F18B"/>
    <w:rsid w:val="3E6A2D45"/>
    <w:rsid w:val="3E81BD1F"/>
    <w:rsid w:val="3E95F33B"/>
    <w:rsid w:val="3E96FC17"/>
    <w:rsid w:val="3E9DD271"/>
    <w:rsid w:val="3EA0D1E4"/>
    <w:rsid w:val="3EA52C61"/>
    <w:rsid w:val="3EB14C84"/>
    <w:rsid w:val="3EBAF74E"/>
    <w:rsid w:val="3EC558E8"/>
    <w:rsid w:val="3ED53437"/>
    <w:rsid w:val="3EDA3818"/>
    <w:rsid w:val="3EE66962"/>
    <w:rsid w:val="3EF987AE"/>
    <w:rsid w:val="3F013177"/>
    <w:rsid w:val="3F0146A2"/>
    <w:rsid w:val="3F1E2E7D"/>
    <w:rsid w:val="3F1E6C79"/>
    <w:rsid w:val="3F51C5C5"/>
    <w:rsid w:val="3F5B9E0A"/>
    <w:rsid w:val="3F610219"/>
    <w:rsid w:val="3F6CC54D"/>
    <w:rsid w:val="3F6EE67E"/>
    <w:rsid w:val="3F79F41D"/>
    <w:rsid w:val="3F7E0CCE"/>
    <w:rsid w:val="3F9F2605"/>
    <w:rsid w:val="3F9F811D"/>
    <w:rsid w:val="3FA412BC"/>
    <w:rsid w:val="3FA94083"/>
    <w:rsid w:val="3FBFA375"/>
    <w:rsid w:val="3FC39447"/>
    <w:rsid w:val="3FC45BBE"/>
    <w:rsid w:val="3FE4C429"/>
    <w:rsid w:val="3FEC0C72"/>
    <w:rsid w:val="3FF03048"/>
    <w:rsid w:val="3FFFDD99"/>
    <w:rsid w:val="400500FB"/>
    <w:rsid w:val="4005FB2A"/>
    <w:rsid w:val="404B4B26"/>
    <w:rsid w:val="406A6C23"/>
    <w:rsid w:val="407854B5"/>
    <w:rsid w:val="407E03E1"/>
    <w:rsid w:val="408554F1"/>
    <w:rsid w:val="408CAD36"/>
    <w:rsid w:val="408D5926"/>
    <w:rsid w:val="4092E3E6"/>
    <w:rsid w:val="40AED5A5"/>
    <w:rsid w:val="40D932D4"/>
    <w:rsid w:val="410AF776"/>
    <w:rsid w:val="411227D4"/>
    <w:rsid w:val="4116CD5C"/>
    <w:rsid w:val="411BBC04"/>
    <w:rsid w:val="41221B7A"/>
    <w:rsid w:val="412D3E9A"/>
    <w:rsid w:val="414B2EFA"/>
    <w:rsid w:val="417DD6C4"/>
    <w:rsid w:val="4180FB50"/>
    <w:rsid w:val="4199AB00"/>
    <w:rsid w:val="41A63144"/>
    <w:rsid w:val="41A97390"/>
    <w:rsid w:val="41B3CBEA"/>
    <w:rsid w:val="41B4EE40"/>
    <w:rsid w:val="41C1F131"/>
    <w:rsid w:val="41C2F529"/>
    <w:rsid w:val="41CA677F"/>
    <w:rsid w:val="41D140AE"/>
    <w:rsid w:val="41E3924B"/>
    <w:rsid w:val="41F07F9D"/>
    <w:rsid w:val="41FF7558"/>
    <w:rsid w:val="42044239"/>
    <w:rsid w:val="4205625A"/>
    <w:rsid w:val="420D190A"/>
    <w:rsid w:val="421C0F5E"/>
    <w:rsid w:val="42344263"/>
    <w:rsid w:val="4244FBC6"/>
    <w:rsid w:val="426DAC00"/>
    <w:rsid w:val="42844455"/>
    <w:rsid w:val="42925582"/>
    <w:rsid w:val="42B2EB91"/>
    <w:rsid w:val="42C90E59"/>
    <w:rsid w:val="42CB2DAE"/>
    <w:rsid w:val="42CE8DD0"/>
    <w:rsid w:val="42D1FB9D"/>
    <w:rsid w:val="42E690C3"/>
    <w:rsid w:val="42EBA3E2"/>
    <w:rsid w:val="42EDE7DF"/>
    <w:rsid w:val="42EFC209"/>
    <w:rsid w:val="430283DF"/>
    <w:rsid w:val="430CA9CC"/>
    <w:rsid w:val="433DA794"/>
    <w:rsid w:val="435BB15A"/>
    <w:rsid w:val="435F5C6D"/>
    <w:rsid w:val="4360FE7D"/>
    <w:rsid w:val="4371DFCE"/>
    <w:rsid w:val="437F0DEB"/>
    <w:rsid w:val="439250E4"/>
    <w:rsid w:val="4392D98D"/>
    <w:rsid w:val="43AB38EA"/>
    <w:rsid w:val="43BAA698"/>
    <w:rsid w:val="43C3E52D"/>
    <w:rsid w:val="43C58172"/>
    <w:rsid w:val="43E17B00"/>
    <w:rsid w:val="43F22049"/>
    <w:rsid w:val="43F486B2"/>
    <w:rsid w:val="43F98640"/>
    <w:rsid w:val="43FC1A7D"/>
    <w:rsid w:val="440A45FA"/>
    <w:rsid w:val="44113CC1"/>
    <w:rsid w:val="4422F675"/>
    <w:rsid w:val="442AE7A5"/>
    <w:rsid w:val="445BE2B3"/>
    <w:rsid w:val="4461AD6E"/>
    <w:rsid w:val="4464B934"/>
    <w:rsid w:val="449AB593"/>
    <w:rsid w:val="449FAFA5"/>
    <w:rsid w:val="44CEA176"/>
    <w:rsid w:val="44CF7C15"/>
    <w:rsid w:val="44D62A2F"/>
    <w:rsid w:val="44D6CDD6"/>
    <w:rsid w:val="44FDDCC5"/>
    <w:rsid w:val="45064985"/>
    <w:rsid w:val="451994D9"/>
    <w:rsid w:val="452331DB"/>
    <w:rsid w:val="4547BF29"/>
    <w:rsid w:val="455A209A"/>
    <w:rsid w:val="4566A422"/>
    <w:rsid w:val="4575E6E4"/>
    <w:rsid w:val="45890703"/>
    <w:rsid w:val="45914ADA"/>
    <w:rsid w:val="45AA230F"/>
    <w:rsid w:val="45C2B204"/>
    <w:rsid w:val="45EA9BD1"/>
    <w:rsid w:val="460B7F2B"/>
    <w:rsid w:val="4620F79E"/>
    <w:rsid w:val="4625ED09"/>
    <w:rsid w:val="463834EF"/>
    <w:rsid w:val="464507C0"/>
    <w:rsid w:val="46469068"/>
    <w:rsid w:val="464CB3E2"/>
    <w:rsid w:val="464D355D"/>
    <w:rsid w:val="464E72F7"/>
    <w:rsid w:val="46571024"/>
    <w:rsid w:val="466028A6"/>
    <w:rsid w:val="46626C44"/>
    <w:rsid w:val="4663361C"/>
    <w:rsid w:val="467B0078"/>
    <w:rsid w:val="468525C7"/>
    <w:rsid w:val="46B8A914"/>
    <w:rsid w:val="46D9ADA7"/>
    <w:rsid w:val="46F21ACD"/>
    <w:rsid w:val="46FF8EF0"/>
    <w:rsid w:val="4706A2DC"/>
    <w:rsid w:val="471F3052"/>
    <w:rsid w:val="47246D59"/>
    <w:rsid w:val="474F8289"/>
    <w:rsid w:val="475549C0"/>
    <w:rsid w:val="475B8A92"/>
    <w:rsid w:val="475FC270"/>
    <w:rsid w:val="478A7E99"/>
    <w:rsid w:val="47948487"/>
    <w:rsid w:val="47A111A0"/>
    <w:rsid w:val="47A636FA"/>
    <w:rsid w:val="47B283FF"/>
    <w:rsid w:val="47D23842"/>
    <w:rsid w:val="47D4D438"/>
    <w:rsid w:val="47E95478"/>
    <w:rsid w:val="47E97F16"/>
    <w:rsid w:val="47F51711"/>
    <w:rsid w:val="47F55446"/>
    <w:rsid w:val="47F898E2"/>
    <w:rsid w:val="48094B13"/>
    <w:rsid w:val="4809CF96"/>
    <w:rsid w:val="48239472"/>
    <w:rsid w:val="48313EB8"/>
    <w:rsid w:val="4835F225"/>
    <w:rsid w:val="483D9422"/>
    <w:rsid w:val="4860132C"/>
    <w:rsid w:val="4880BD4E"/>
    <w:rsid w:val="48C30FCF"/>
    <w:rsid w:val="48C5A869"/>
    <w:rsid w:val="48C8EAF1"/>
    <w:rsid w:val="48DABC13"/>
    <w:rsid w:val="48E04EB3"/>
    <w:rsid w:val="48E7A32D"/>
    <w:rsid w:val="48E863AC"/>
    <w:rsid w:val="48FD1E65"/>
    <w:rsid w:val="49004386"/>
    <w:rsid w:val="4903713A"/>
    <w:rsid w:val="490A142F"/>
    <w:rsid w:val="497C3C43"/>
    <w:rsid w:val="499A23D0"/>
    <w:rsid w:val="49B2CD66"/>
    <w:rsid w:val="49CA4368"/>
    <w:rsid w:val="49D4FE5E"/>
    <w:rsid w:val="4A02ECC6"/>
    <w:rsid w:val="4A0BFD1C"/>
    <w:rsid w:val="4A1165B2"/>
    <w:rsid w:val="4A12DD79"/>
    <w:rsid w:val="4A1FC5C2"/>
    <w:rsid w:val="4A2072AC"/>
    <w:rsid w:val="4A27AD78"/>
    <w:rsid w:val="4A4E8EA7"/>
    <w:rsid w:val="4A50A6F0"/>
    <w:rsid w:val="4A54DA22"/>
    <w:rsid w:val="4A705026"/>
    <w:rsid w:val="4A89BA01"/>
    <w:rsid w:val="4A947B01"/>
    <w:rsid w:val="4A97B397"/>
    <w:rsid w:val="4AAD8DDC"/>
    <w:rsid w:val="4ACDB174"/>
    <w:rsid w:val="4AD11B76"/>
    <w:rsid w:val="4AED247A"/>
    <w:rsid w:val="4B01745A"/>
    <w:rsid w:val="4B2580F1"/>
    <w:rsid w:val="4B2CAF8A"/>
    <w:rsid w:val="4B314C4E"/>
    <w:rsid w:val="4B34B133"/>
    <w:rsid w:val="4B3FC6EB"/>
    <w:rsid w:val="4B4ADE89"/>
    <w:rsid w:val="4B6AF6CE"/>
    <w:rsid w:val="4B7B178D"/>
    <w:rsid w:val="4B84E6F2"/>
    <w:rsid w:val="4B85E2ED"/>
    <w:rsid w:val="4B86ED01"/>
    <w:rsid w:val="4B904C1A"/>
    <w:rsid w:val="4B96428E"/>
    <w:rsid w:val="4BA4BD48"/>
    <w:rsid w:val="4BB3D575"/>
    <w:rsid w:val="4BB408BA"/>
    <w:rsid w:val="4BD5F434"/>
    <w:rsid w:val="4BE72793"/>
    <w:rsid w:val="4BEFF83A"/>
    <w:rsid w:val="4BF4C5B5"/>
    <w:rsid w:val="4C023499"/>
    <w:rsid w:val="4C0A05D8"/>
    <w:rsid w:val="4C286B56"/>
    <w:rsid w:val="4C340D57"/>
    <w:rsid w:val="4C40E549"/>
    <w:rsid w:val="4C5846E0"/>
    <w:rsid w:val="4C5C02B8"/>
    <w:rsid w:val="4C739EC0"/>
    <w:rsid w:val="4C8ABEA3"/>
    <w:rsid w:val="4CA4451B"/>
    <w:rsid w:val="4CA85799"/>
    <w:rsid w:val="4CA8EB01"/>
    <w:rsid w:val="4CA8FFC6"/>
    <w:rsid w:val="4CC257C9"/>
    <w:rsid w:val="4CC4643D"/>
    <w:rsid w:val="4CC5ED07"/>
    <w:rsid w:val="4CCB55D5"/>
    <w:rsid w:val="4CCBFA92"/>
    <w:rsid w:val="4CE52D4E"/>
    <w:rsid w:val="4D0040BC"/>
    <w:rsid w:val="4D024516"/>
    <w:rsid w:val="4D069D1E"/>
    <w:rsid w:val="4D13713A"/>
    <w:rsid w:val="4D173948"/>
    <w:rsid w:val="4D2C03FB"/>
    <w:rsid w:val="4D34661C"/>
    <w:rsid w:val="4D375922"/>
    <w:rsid w:val="4D460EC7"/>
    <w:rsid w:val="4D495710"/>
    <w:rsid w:val="4D4D7176"/>
    <w:rsid w:val="4D5419BE"/>
    <w:rsid w:val="4D92702E"/>
    <w:rsid w:val="4D9E4A3D"/>
    <w:rsid w:val="4DACF01A"/>
    <w:rsid w:val="4DB02715"/>
    <w:rsid w:val="4DB8EEE8"/>
    <w:rsid w:val="4DCCE000"/>
    <w:rsid w:val="4DDDF634"/>
    <w:rsid w:val="4DE18233"/>
    <w:rsid w:val="4DEF419B"/>
    <w:rsid w:val="4DFFA7BA"/>
    <w:rsid w:val="4E160FEB"/>
    <w:rsid w:val="4E2C123D"/>
    <w:rsid w:val="4E53DB3B"/>
    <w:rsid w:val="4E5DB133"/>
    <w:rsid w:val="4E6E4A80"/>
    <w:rsid w:val="4E8128E4"/>
    <w:rsid w:val="4E82FC8A"/>
    <w:rsid w:val="4E8C6762"/>
    <w:rsid w:val="4E93CE46"/>
    <w:rsid w:val="4E9A9F60"/>
    <w:rsid w:val="4EAB1A09"/>
    <w:rsid w:val="4EC4D654"/>
    <w:rsid w:val="4EE07855"/>
    <w:rsid w:val="4EE15826"/>
    <w:rsid w:val="4EF0BB41"/>
    <w:rsid w:val="4EF17A8A"/>
    <w:rsid w:val="4EFDEF79"/>
    <w:rsid w:val="4F09C954"/>
    <w:rsid w:val="4F16A67C"/>
    <w:rsid w:val="4F1AC1D1"/>
    <w:rsid w:val="4F2D5674"/>
    <w:rsid w:val="4F2D5DE8"/>
    <w:rsid w:val="4F2FB1CC"/>
    <w:rsid w:val="4F5E797B"/>
    <w:rsid w:val="4F651670"/>
    <w:rsid w:val="4F6E6877"/>
    <w:rsid w:val="4F861D39"/>
    <w:rsid w:val="4F8CE4B0"/>
    <w:rsid w:val="4FB3966B"/>
    <w:rsid w:val="4FB75AE1"/>
    <w:rsid w:val="4FBF0A87"/>
    <w:rsid w:val="4FCB85BE"/>
    <w:rsid w:val="4FD20A89"/>
    <w:rsid w:val="4FD7BD45"/>
    <w:rsid w:val="4FE4A18A"/>
    <w:rsid w:val="50069E80"/>
    <w:rsid w:val="5016231E"/>
    <w:rsid w:val="501E41EF"/>
    <w:rsid w:val="502582C5"/>
    <w:rsid w:val="508971A7"/>
    <w:rsid w:val="5093659D"/>
    <w:rsid w:val="50982308"/>
    <w:rsid w:val="509A1B46"/>
    <w:rsid w:val="50B15944"/>
    <w:rsid w:val="50B2F18B"/>
    <w:rsid w:val="50C6FFBA"/>
    <w:rsid w:val="50CE0E07"/>
    <w:rsid w:val="50D33B18"/>
    <w:rsid w:val="50F1E023"/>
    <w:rsid w:val="51016F85"/>
    <w:rsid w:val="510BBF02"/>
    <w:rsid w:val="511208FA"/>
    <w:rsid w:val="511675AB"/>
    <w:rsid w:val="51176284"/>
    <w:rsid w:val="512B2815"/>
    <w:rsid w:val="5137487C"/>
    <w:rsid w:val="5139D5A8"/>
    <w:rsid w:val="51590784"/>
    <w:rsid w:val="516A5F4C"/>
    <w:rsid w:val="5187B266"/>
    <w:rsid w:val="51A29D42"/>
    <w:rsid w:val="51B0D94C"/>
    <w:rsid w:val="51C0FE8D"/>
    <w:rsid w:val="51C53FEE"/>
    <w:rsid w:val="51DF7C45"/>
    <w:rsid w:val="51DFD2C5"/>
    <w:rsid w:val="51E33280"/>
    <w:rsid w:val="51E48280"/>
    <w:rsid w:val="51E59074"/>
    <w:rsid w:val="51F5F804"/>
    <w:rsid w:val="5210CE71"/>
    <w:rsid w:val="52229FCA"/>
    <w:rsid w:val="5257D554"/>
    <w:rsid w:val="5259E243"/>
    <w:rsid w:val="52666465"/>
    <w:rsid w:val="5271B9B0"/>
    <w:rsid w:val="52801B87"/>
    <w:rsid w:val="529D8576"/>
    <w:rsid w:val="529FFA7E"/>
    <w:rsid w:val="52A82F33"/>
    <w:rsid w:val="52C372BF"/>
    <w:rsid w:val="52C5F1BF"/>
    <w:rsid w:val="52D98284"/>
    <w:rsid w:val="52E03487"/>
    <w:rsid w:val="52EDFB85"/>
    <w:rsid w:val="5304BE1D"/>
    <w:rsid w:val="5307AC63"/>
    <w:rsid w:val="530914E2"/>
    <w:rsid w:val="53173BBF"/>
    <w:rsid w:val="5325351B"/>
    <w:rsid w:val="532C6324"/>
    <w:rsid w:val="5334D1D4"/>
    <w:rsid w:val="533F8C60"/>
    <w:rsid w:val="535D4762"/>
    <w:rsid w:val="535DAE28"/>
    <w:rsid w:val="536D4DDB"/>
    <w:rsid w:val="5371DC55"/>
    <w:rsid w:val="538EA97B"/>
    <w:rsid w:val="539188AA"/>
    <w:rsid w:val="5392266F"/>
    <w:rsid w:val="53A6DFAD"/>
    <w:rsid w:val="53B9F120"/>
    <w:rsid w:val="53C86872"/>
    <w:rsid w:val="53CB978B"/>
    <w:rsid w:val="53D2D641"/>
    <w:rsid w:val="53D65478"/>
    <w:rsid w:val="53D904D8"/>
    <w:rsid w:val="53DADADE"/>
    <w:rsid w:val="53F1E40C"/>
    <w:rsid w:val="53F78888"/>
    <w:rsid w:val="5400FD4F"/>
    <w:rsid w:val="54048CDB"/>
    <w:rsid w:val="5406DB5B"/>
    <w:rsid w:val="540C4870"/>
    <w:rsid w:val="54148DE0"/>
    <w:rsid w:val="54161195"/>
    <w:rsid w:val="542DBF82"/>
    <w:rsid w:val="542ED328"/>
    <w:rsid w:val="543841BC"/>
    <w:rsid w:val="54442D01"/>
    <w:rsid w:val="5455C0E1"/>
    <w:rsid w:val="5458B2AD"/>
    <w:rsid w:val="547643AE"/>
    <w:rsid w:val="54836C93"/>
    <w:rsid w:val="5484EF64"/>
    <w:rsid w:val="54898090"/>
    <w:rsid w:val="5490C117"/>
    <w:rsid w:val="54912721"/>
    <w:rsid w:val="54A75639"/>
    <w:rsid w:val="54A89F7D"/>
    <w:rsid w:val="54A9A6EB"/>
    <w:rsid w:val="54B804B4"/>
    <w:rsid w:val="54C088D7"/>
    <w:rsid w:val="54DC3666"/>
    <w:rsid w:val="54DF63AC"/>
    <w:rsid w:val="54E887D5"/>
    <w:rsid w:val="54EE7CD7"/>
    <w:rsid w:val="550AB1D5"/>
    <w:rsid w:val="551635BA"/>
    <w:rsid w:val="552B3F4B"/>
    <w:rsid w:val="5532AD73"/>
    <w:rsid w:val="553F6345"/>
    <w:rsid w:val="555EE687"/>
    <w:rsid w:val="558B72A2"/>
    <w:rsid w:val="55B1B5BE"/>
    <w:rsid w:val="55B20A8D"/>
    <w:rsid w:val="55B8A97B"/>
    <w:rsid w:val="55EDD29C"/>
    <w:rsid w:val="560927C5"/>
    <w:rsid w:val="560AB214"/>
    <w:rsid w:val="56365DA2"/>
    <w:rsid w:val="565714CA"/>
    <w:rsid w:val="566057E0"/>
    <w:rsid w:val="566660EE"/>
    <w:rsid w:val="56695C4F"/>
    <w:rsid w:val="56862989"/>
    <w:rsid w:val="56BBD377"/>
    <w:rsid w:val="56BED2E4"/>
    <w:rsid w:val="56D29F30"/>
    <w:rsid w:val="56E2872B"/>
    <w:rsid w:val="56F50AE3"/>
    <w:rsid w:val="56F57240"/>
    <w:rsid w:val="5701D913"/>
    <w:rsid w:val="57090AB2"/>
    <w:rsid w:val="5721E9FA"/>
    <w:rsid w:val="5724D053"/>
    <w:rsid w:val="573C5120"/>
    <w:rsid w:val="57609F99"/>
    <w:rsid w:val="57715C93"/>
    <w:rsid w:val="577D0A61"/>
    <w:rsid w:val="5782E743"/>
    <w:rsid w:val="5789A2FD"/>
    <w:rsid w:val="5792F720"/>
    <w:rsid w:val="57932DBF"/>
    <w:rsid w:val="5795CB4E"/>
    <w:rsid w:val="5795F52C"/>
    <w:rsid w:val="57BA1661"/>
    <w:rsid w:val="57CD46E3"/>
    <w:rsid w:val="57CE2665"/>
    <w:rsid w:val="57DC617F"/>
    <w:rsid w:val="57DD7596"/>
    <w:rsid w:val="57E8A4FE"/>
    <w:rsid w:val="57EE4DC3"/>
    <w:rsid w:val="57F2D6FC"/>
    <w:rsid w:val="57F6D7AE"/>
    <w:rsid w:val="5827CF4F"/>
    <w:rsid w:val="5851294B"/>
    <w:rsid w:val="5897C429"/>
    <w:rsid w:val="58CB4F27"/>
    <w:rsid w:val="58CC2994"/>
    <w:rsid w:val="58E896E9"/>
    <w:rsid w:val="58F4544B"/>
    <w:rsid w:val="590E9A3C"/>
    <w:rsid w:val="5925B5E3"/>
    <w:rsid w:val="5929D807"/>
    <w:rsid w:val="592D7B2F"/>
    <w:rsid w:val="593E3B34"/>
    <w:rsid w:val="595C5845"/>
    <w:rsid w:val="597444F9"/>
    <w:rsid w:val="597A17A9"/>
    <w:rsid w:val="5987EA8F"/>
    <w:rsid w:val="599963D6"/>
    <w:rsid w:val="599E64CC"/>
    <w:rsid w:val="59AE7537"/>
    <w:rsid w:val="59B0CEB3"/>
    <w:rsid w:val="59C10DA6"/>
    <w:rsid w:val="59C6315B"/>
    <w:rsid w:val="59D9538F"/>
    <w:rsid w:val="59DD1FCA"/>
    <w:rsid w:val="59E70AB2"/>
    <w:rsid w:val="5A0BDD0E"/>
    <w:rsid w:val="5A0EB5D0"/>
    <w:rsid w:val="5A0F7C7F"/>
    <w:rsid w:val="5A344401"/>
    <w:rsid w:val="5A3CEEBE"/>
    <w:rsid w:val="5A5C0411"/>
    <w:rsid w:val="5A70FE09"/>
    <w:rsid w:val="5A71EDF8"/>
    <w:rsid w:val="5A800AB0"/>
    <w:rsid w:val="5A8DE5D9"/>
    <w:rsid w:val="5A8F3F9E"/>
    <w:rsid w:val="5A9753AD"/>
    <w:rsid w:val="5AB732B6"/>
    <w:rsid w:val="5AB7E6B8"/>
    <w:rsid w:val="5ABFFDBB"/>
    <w:rsid w:val="5AC50265"/>
    <w:rsid w:val="5ADA7602"/>
    <w:rsid w:val="5ADE781C"/>
    <w:rsid w:val="5AEABDA9"/>
    <w:rsid w:val="5B020CC9"/>
    <w:rsid w:val="5B044DA3"/>
    <w:rsid w:val="5B23B8E0"/>
    <w:rsid w:val="5B3B9C6C"/>
    <w:rsid w:val="5B416073"/>
    <w:rsid w:val="5B8469DD"/>
    <w:rsid w:val="5B8605D1"/>
    <w:rsid w:val="5B8A24AB"/>
    <w:rsid w:val="5B9DE98E"/>
    <w:rsid w:val="5BB622FC"/>
    <w:rsid w:val="5BC4E822"/>
    <w:rsid w:val="5BC8EF98"/>
    <w:rsid w:val="5BE78096"/>
    <w:rsid w:val="5BF5AE91"/>
    <w:rsid w:val="5C2DFB75"/>
    <w:rsid w:val="5C395FF1"/>
    <w:rsid w:val="5C3B6C25"/>
    <w:rsid w:val="5C3DE089"/>
    <w:rsid w:val="5C52CFD3"/>
    <w:rsid w:val="5C6DEE70"/>
    <w:rsid w:val="5C84C6E7"/>
    <w:rsid w:val="5C859D68"/>
    <w:rsid w:val="5C9B9073"/>
    <w:rsid w:val="5CA540C8"/>
    <w:rsid w:val="5CA775F2"/>
    <w:rsid w:val="5CB45743"/>
    <w:rsid w:val="5CB7A429"/>
    <w:rsid w:val="5CD4F094"/>
    <w:rsid w:val="5CDEA5F6"/>
    <w:rsid w:val="5CDEEB5F"/>
    <w:rsid w:val="5CE2A06B"/>
    <w:rsid w:val="5CED5BE5"/>
    <w:rsid w:val="5D10CDBA"/>
    <w:rsid w:val="5D18C4CC"/>
    <w:rsid w:val="5D1B4F9B"/>
    <w:rsid w:val="5D1EF70A"/>
    <w:rsid w:val="5D2E39FA"/>
    <w:rsid w:val="5D394F16"/>
    <w:rsid w:val="5D3BFAB5"/>
    <w:rsid w:val="5D3F0109"/>
    <w:rsid w:val="5D41B18D"/>
    <w:rsid w:val="5D42C3E3"/>
    <w:rsid w:val="5D489AF7"/>
    <w:rsid w:val="5D59203F"/>
    <w:rsid w:val="5D5CC63E"/>
    <w:rsid w:val="5D702C80"/>
    <w:rsid w:val="5D89631D"/>
    <w:rsid w:val="5D93462D"/>
    <w:rsid w:val="5DA9E364"/>
    <w:rsid w:val="5DAD3197"/>
    <w:rsid w:val="5DAFACC2"/>
    <w:rsid w:val="5DCD173C"/>
    <w:rsid w:val="5DF8E481"/>
    <w:rsid w:val="5E066A9E"/>
    <w:rsid w:val="5E232FF5"/>
    <w:rsid w:val="5E2F98E9"/>
    <w:rsid w:val="5E3DA4D1"/>
    <w:rsid w:val="5E435BAF"/>
    <w:rsid w:val="5E487583"/>
    <w:rsid w:val="5E53ADEE"/>
    <w:rsid w:val="5E5F5CD1"/>
    <w:rsid w:val="5E6165FB"/>
    <w:rsid w:val="5E65286C"/>
    <w:rsid w:val="5E78C21B"/>
    <w:rsid w:val="5E7DB1EC"/>
    <w:rsid w:val="5E976239"/>
    <w:rsid w:val="5E9B5C97"/>
    <w:rsid w:val="5E9E0185"/>
    <w:rsid w:val="5EA426BB"/>
    <w:rsid w:val="5EC67222"/>
    <w:rsid w:val="5EC91ACA"/>
    <w:rsid w:val="5ED85F33"/>
    <w:rsid w:val="5EDD667F"/>
    <w:rsid w:val="5F062BCC"/>
    <w:rsid w:val="5F0BB155"/>
    <w:rsid w:val="5F0BFCE1"/>
    <w:rsid w:val="5F4C4A5E"/>
    <w:rsid w:val="5F50EB46"/>
    <w:rsid w:val="5F5222DE"/>
    <w:rsid w:val="5F5F25A2"/>
    <w:rsid w:val="5F7C6E78"/>
    <w:rsid w:val="5F7D4CAC"/>
    <w:rsid w:val="5F7F78A6"/>
    <w:rsid w:val="5F94BC70"/>
    <w:rsid w:val="5FA10711"/>
    <w:rsid w:val="5FA2CF78"/>
    <w:rsid w:val="5FA94908"/>
    <w:rsid w:val="5FAA9A1C"/>
    <w:rsid w:val="5FAC9428"/>
    <w:rsid w:val="5FAFF9B7"/>
    <w:rsid w:val="5FD97E83"/>
    <w:rsid w:val="5FE532E2"/>
    <w:rsid w:val="5FEAECDD"/>
    <w:rsid w:val="5FEE11C9"/>
    <w:rsid w:val="5FF804A9"/>
    <w:rsid w:val="60168AAB"/>
    <w:rsid w:val="60194522"/>
    <w:rsid w:val="60274491"/>
    <w:rsid w:val="604B0225"/>
    <w:rsid w:val="6061C8EF"/>
    <w:rsid w:val="607850C7"/>
    <w:rsid w:val="60903883"/>
    <w:rsid w:val="6096E797"/>
    <w:rsid w:val="60A1FC2D"/>
    <w:rsid w:val="60A48348"/>
    <w:rsid w:val="60A604DB"/>
    <w:rsid w:val="60A7A30A"/>
    <w:rsid w:val="60AAB02F"/>
    <w:rsid w:val="60AD2782"/>
    <w:rsid w:val="60B11089"/>
    <w:rsid w:val="60B1E873"/>
    <w:rsid w:val="60CDACD2"/>
    <w:rsid w:val="60D7D639"/>
    <w:rsid w:val="60DAE638"/>
    <w:rsid w:val="60F326EA"/>
    <w:rsid w:val="60FB4D7E"/>
    <w:rsid w:val="6101717E"/>
    <w:rsid w:val="61156E25"/>
    <w:rsid w:val="612BFB8B"/>
    <w:rsid w:val="612C091A"/>
    <w:rsid w:val="613583E1"/>
    <w:rsid w:val="613B8319"/>
    <w:rsid w:val="613FD210"/>
    <w:rsid w:val="614ECA9B"/>
    <w:rsid w:val="614FA805"/>
    <w:rsid w:val="615456A8"/>
    <w:rsid w:val="616D4F8F"/>
    <w:rsid w:val="616F5B05"/>
    <w:rsid w:val="618864C6"/>
    <w:rsid w:val="61A13DAD"/>
    <w:rsid w:val="61B3D782"/>
    <w:rsid w:val="61C8FE6F"/>
    <w:rsid w:val="61D30D92"/>
    <w:rsid w:val="61DFFDB3"/>
    <w:rsid w:val="61FCD31C"/>
    <w:rsid w:val="620C3D8F"/>
    <w:rsid w:val="62137BAB"/>
    <w:rsid w:val="621718D3"/>
    <w:rsid w:val="621EF032"/>
    <w:rsid w:val="62274B6D"/>
    <w:rsid w:val="622A4014"/>
    <w:rsid w:val="622F5750"/>
    <w:rsid w:val="623295F7"/>
    <w:rsid w:val="6237BB8A"/>
    <w:rsid w:val="6243C3F3"/>
    <w:rsid w:val="6256877D"/>
    <w:rsid w:val="6259B3FE"/>
    <w:rsid w:val="626EC243"/>
    <w:rsid w:val="629100DA"/>
    <w:rsid w:val="62AC61B1"/>
    <w:rsid w:val="62E9F0AD"/>
    <w:rsid w:val="62F2E9C3"/>
    <w:rsid w:val="63087BB2"/>
    <w:rsid w:val="631A8BDE"/>
    <w:rsid w:val="6321C197"/>
    <w:rsid w:val="6329FE6C"/>
    <w:rsid w:val="6331B1FE"/>
    <w:rsid w:val="633577AC"/>
    <w:rsid w:val="635463B8"/>
    <w:rsid w:val="639FA9D3"/>
    <w:rsid w:val="63B43E23"/>
    <w:rsid w:val="63BFF35A"/>
    <w:rsid w:val="63C05590"/>
    <w:rsid w:val="63C5C877"/>
    <w:rsid w:val="63C66F5F"/>
    <w:rsid w:val="63DFB818"/>
    <w:rsid w:val="6402C39C"/>
    <w:rsid w:val="640BCE05"/>
    <w:rsid w:val="6417A62B"/>
    <w:rsid w:val="642DC440"/>
    <w:rsid w:val="64301D4F"/>
    <w:rsid w:val="643201A6"/>
    <w:rsid w:val="64390B2D"/>
    <w:rsid w:val="64485460"/>
    <w:rsid w:val="64554424"/>
    <w:rsid w:val="645E56F2"/>
    <w:rsid w:val="647BCCCA"/>
    <w:rsid w:val="647C5E08"/>
    <w:rsid w:val="648E4870"/>
    <w:rsid w:val="64D12EAE"/>
    <w:rsid w:val="64DD31BA"/>
    <w:rsid w:val="64F53797"/>
    <w:rsid w:val="64F84A62"/>
    <w:rsid w:val="6526BFD7"/>
    <w:rsid w:val="652833CD"/>
    <w:rsid w:val="652F633C"/>
    <w:rsid w:val="65829649"/>
    <w:rsid w:val="65877270"/>
    <w:rsid w:val="658B4BA1"/>
    <w:rsid w:val="6597117C"/>
    <w:rsid w:val="65C60F03"/>
    <w:rsid w:val="65C9C57A"/>
    <w:rsid w:val="65D2468E"/>
    <w:rsid w:val="66107B93"/>
    <w:rsid w:val="6619541D"/>
    <w:rsid w:val="66227823"/>
    <w:rsid w:val="6646637E"/>
    <w:rsid w:val="6657D331"/>
    <w:rsid w:val="66589C36"/>
    <w:rsid w:val="665EDA1B"/>
    <w:rsid w:val="6672C1A3"/>
    <w:rsid w:val="669CD88D"/>
    <w:rsid w:val="66A3E0BF"/>
    <w:rsid w:val="67023579"/>
    <w:rsid w:val="671D22C7"/>
    <w:rsid w:val="67219B0A"/>
    <w:rsid w:val="6727A107"/>
    <w:rsid w:val="674CF771"/>
    <w:rsid w:val="678509B3"/>
    <w:rsid w:val="6786679B"/>
    <w:rsid w:val="6787D0FA"/>
    <w:rsid w:val="679DC6F1"/>
    <w:rsid w:val="67A75FDA"/>
    <w:rsid w:val="67E541E3"/>
    <w:rsid w:val="67E5ECA8"/>
    <w:rsid w:val="681A432E"/>
    <w:rsid w:val="681F20AC"/>
    <w:rsid w:val="6824B0F8"/>
    <w:rsid w:val="682A4BDE"/>
    <w:rsid w:val="683343C5"/>
    <w:rsid w:val="68542664"/>
    <w:rsid w:val="688CEB2D"/>
    <w:rsid w:val="68A74EB5"/>
    <w:rsid w:val="68AEE255"/>
    <w:rsid w:val="68D7CCEA"/>
    <w:rsid w:val="68E1577A"/>
    <w:rsid w:val="690B0D51"/>
    <w:rsid w:val="691F1C72"/>
    <w:rsid w:val="69440B6D"/>
    <w:rsid w:val="6958CFA7"/>
    <w:rsid w:val="69697703"/>
    <w:rsid w:val="697D7409"/>
    <w:rsid w:val="69851A7C"/>
    <w:rsid w:val="69933D6C"/>
    <w:rsid w:val="6998D212"/>
    <w:rsid w:val="69AECB4E"/>
    <w:rsid w:val="69B23C01"/>
    <w:rsid w:val="69B85C00"/>
    <w:rsid w:val="69C9ADC3"/>
    <w:rsid w:val="69CBC077"/>
    <w:rsid w:val="69E21DF7"/>
    <w:rsid w:val="69EFE8B3"/>
    <w:rsid w:val="69F533FB"/>
    <w:rsid w:val="6A01EE6C"/>
    <w:rsid w:val="6A0EAEDB"/>
    <w:rsid w:val="6A22B970"/>
    <w:rsid w:val="6A26125F"/>
    <w:rsid w:val="6A30E118"/>
    <w:rsid w:val="6A4D3B92"/>
    <w:rsid w:val="6A558549"/>
    <w:rsid w:val="6A69A3F6"/>
    <w:rsid w:val="6A8412EB"/>
    <w:rsid w:val="6AACA1F4"/>
    <w:rsid w:val="6AC3311D"/>
    <w:rsid w:val="6AC79B55"/>
    <w:rsid w:val="6AC8FF6C"/>
    <w:rsid w:val="6AE4AAA9"/>
    <w:rsid w:val="6AEAC90D"/>
    <w:rsid w:val="6AEE41ED"/>
    <w:rsid w:val="6AF73B70"/>
    <w:rsid w:val="6B0E6706"/>
    <w:rsid w:val="6B1CB365"/>
    <w:rsid w:val="6B26D340"/>
    <w:rsid w:val="6B46B795"/>
    <w:rsid w:val="6B5C16BB"/>
    <w:rsid w:val="6B72B601"/>
    <w:rsid w:val="6B765100"/>
    <w:rsid w:val="6B7866C4"/>
    <w:rsid w:val="6B7C7105"/>
    <w:rsid w:val="6B8F0D9E"/>
    <w:rsid w:val="6BB648DA"/>
    <w:rsid w:val="6BCEE922"/>
    <w:rsid w:val="6BFD7702"/>
    <w:rsid w:val="6C10F684"/>
    <w:rsid w:val="6C1DE74B"/>
    <w:rsid w:val="6C330847"/>
    <w:rsid w:val="6C348B13"/>
    <w:rsid w:val="6C4DBB5E"/>
    <w:rsid w:val="6C514A3D"/>
    <w:rsid w:val="6C5A6C9A"/>
    <w:rsid w:val="6C5F283F"/>
    <w:rsid w:val="6C604675"/>
    <w:rsid w:val="6C6162DC"/>
    <w:rsid w:val="6C941DD6"/>
    <w:rsid w:val="6CC79ACE"/>
    <w:rsid w:val="6CCEC8DA"/>
    <w:rsid w:val="6CD01702"/>
    <w:rsid w:val="6CD7091E"/>
    <w:rsid w:val="6CDE08AF"/>
    <w:rsid w:val="6CF56171"/>
    <w:rsid w:val="6D1A1D55"/>
    <w:rsid w:val="6D2E12AD"/>
    <w:rsid w:val="6D31C371"/>
    <w:rsid w:val="6D68CBDD"/>
    <w:rsid w:val="6D8BB0D1"/>
    <w:rsid w:val="6D8C6EE9"/>
    <w:rsid w:val="6D960235"/>
    <w:rsid w:val="6D9781E0"/>
    <w:rsid w:val="6D9B96CD"/>
    <w:rsid w:val="6DAAA16C"/>
    <w:rsid w:val="6DAF5D14"/>
    <w:rsid w:val="6DCF98E9"/>
    <w:rsid w:val="6DD0B726"/>
    <w:rsid w:val="6E03EBCF"/>
    <w:rsid w:val="6E11A59E"/>
    <w:rsid w:val="6E2EB9DC"/>
    <w:rsid w:val="6E446D8B"/>
    <w:rsid w:val="6EC36D2A"/>
    <w:rsid w:val="6EDD14C1"/>
    <w:rsid w:val="6F0657E8"/>
    <w:rsid w:val="6F0F6E1D"/>
    <w:rsid w:val="6F19D0C6"/>
    <w:rsid w:val="6F1CBA1B"/>
    <w:rsid w:val="6F2171D1"/>
    <w:rsid w:val="6F2984FE"/>
    <w:rsid w:val="6F414791"/>
    <w:rsid w:val="6F44322C"/>
    <w:rsid w:val="6F54ADD3"/>
    <w:rsid w:val="6F738709"/>
    <w:rsid w:val="6FA0BE8C"/>
    <w:rsid w:val="6FA1BB39"/>
    <w:rsid w:val="6FB25C75"/>
    <w:rsid w:val="6FBF6B76"/>
    <w:rsid w:val="6FCD413A"/>
    <w:rsid w:val="6FDD829E"/>
    <w:rsid w:val="6FEEDBD4"/>
    <w:rsid w:val="6FFD122F"/>
    <w:rsid w:val="7013A546"/>
    <w:rsid w:val="701F8872"/>
    <w:rsid w:val="7034877F"/>
    <w:rsid w:val="703925FF"/>
    <w:rsid w:val="7040745B"/>
    <w:rsid w:val="7045FB8E"/>
    <w:rsid w:val="705A4150"/>
    <w:rsid w:val="705A5F65"/>
    <w:rsid w:val="7060A9D8"/>
    <w:rsid w:val="707A4C45"/>
    <w:rsid w:val="70883583"/>
    <w:rsid w:val="709080CB"/>
    <w:rsid w:val="7099D7B1"/>
    <w:rsid w:val="709EBA1C"/>
    <w:rsid w:val="70A3B47A"/>
    <w:rsid w:val="70D45A57"/>
    <w:rsid w:val="70E2639E"/>
    <w:rsid w:val="70E66B19"/>
    <w:rsid w:val="70F0B2B8"/>
    <w:rsid w:val="71152A40"/>
    <w:rsid w:val="712350F9"/>
    <w:rsid w:val="712B8396"/>
    <w:rsid w:val="712F1E06"/>
    <w:rsid w:val="713C83C4"/>
    <w:rsid w:val="714DE668"/>
    <w:rsid w:val="715CC4F6"/>
    <w:rsid w:val="7163A196"/>
    <w:rsid w:val="719C1A11"/>
    <w:rsid w:val="719C9E74"/>
    <w:rsid w:val="71B42F21"/>
    <w:rsid w:val="71C499B5"/>
    <w:rsid w:val="71C8D605"/>
    <w:rsid w:val="71DB463E"/>
    <w:rsid w:val="72049313"/>
    <w:rsid w:val="72188C53"/>
    <w:rsid w:val="721AA381"/>
    <w:rsid w:val="7222A0C0"/>
    <w:rsid w:val="7273FE19"/>
    <w:rsid w:val="7279D307"/>
    <w:rsid w:val="727E428A"/>
    <w:rsid w:val="7286EB56"/>
    <w:rsid w:val="72B7B99B"/>
    <w:rsid w:val="72C7E0B7"/>
    <w:rsid w:val="72D998BE"/>
    <w:rsid w:val="72DCD695"/>
    <w:rsid w:val="72E605B5"/>
    <w:rsid w:val="72E82FB4"/>
    <w:rsid w:val="72F62233"/>
    <w:rsid w:val="72FF3769"/>
    <w:rsid w:val="730073B7"/>
    <w:rsid w:val="731AA6DF"/>
    <w:rsid w:val="731C9941"/>
    <w:rsid w:val="731F4973"/>
    <w:rsid w:val="7320F5C1"/>
    <w:rsid w:val="73284AAB"/>
    <w:rsid w:val="733A295E"/>
    <w:rsid w:val="733F3458"/>
    <w:rsid w:val="734925D0"/>
    <w:rsid w:val="734BADF2"/>
    <w:rsid w:val="734F62FE"/>
    <w:rsid w:val="735BD496"/>
    <w:rsid w:val="73B5A2F6"/>
    <w:rsid w:val="73D7981C"/>
    <w:rsid w:val="73EC76AD"/>
    <w:rsid w:val="73F26E50"/>
    <w:rsid w:val="74390746"/>
    <w:rsid w:val="743D35A8"/>
    <w:rsid w:val="744F41C1"/>
    <w:rsid w:val="746F70F8"/>
    <w:rsid w:val="7474BA19"/>
    <w:rsid w:val="747516C9"/>
    <w:rsid w:val="747970F0"/>
    <w:rsid w:val="7479A40A"/>
    <w:rsid w:val="748CE473"/>
    <w:rsid w:val="74960286"/>
    <w:rsid w:val="74B21352"/>
    <w:rsid w:val="74BAC023"/>
    <w:rsid w:val="74E47A5C"/>
    <w:rsid w:val="74EDAE1F"/>
    <w:rsid w:val="74F8976F"/>
    <w:rsid w:val="75020C49"/>
    <w:rsid w:val="750747E4"/>
    <w:rsid w:val="7507EF0D"/>
    <w:rsid w:val="751DE134"/>
    <w:rsid w:val="751F2EAD"/>
    <w:rsid w:val="752FF2D5"/>
    <w:rsid w:val="75326AB0"/>
    <w:rsid w:val="754654CB"/>
    <w:rsid w:val="755AFECB"/>
    <w:rsid w:val="75BFA3D0"/>
    <w:rsid w:val="75C15315"/>
    <w:rsid w:val="75F7CBF3"/>
    <w:rsid w:val="760264C5"/>
    <w:rsid w:val="7605C763"/>
    <w:rsid w:val="76126A1B"/>
    <w:rsid w:val="76331CB3"/>
    <w:rsid w:val="7638FD23"/>
    <w:rsid w:val="76530002"/>
    <w:rsid w:val="7656384D"/>
    <w:rsid w:val="7659E692"/>
    <w:rsid w:val="765CD06C"/>
    <w:rsid w:val="76615F08"/>
    <w:rsid w:val="76775EC4"/>
    <w:rsid w:val="7686C684"/>
    <w:rsid w:val="76A956E4"/>
    <w:rsid w:val="76B9A758"/>
    <w:rsid w:val="76C33070"/>
    <w:rsid w:val="76C8ED21"/>
    <w:rsid w:val="76C9F54D"/>
    <w:rsid w:val="76CFC3A9"/>
    <w:rsid w:val="76DBE76A"/>
    <w:rsid w:val="76F118C5"/>
    <w:rsid w:val="77089177"/>
    <w:rsid w:val="7713EE55"/>
    <w:rsid w:val="77598219"/>
    <w:rsid w:val="775CA900"/>
    <w:rsid w:val="7763FF55"/>
    <w:rsid w:val="7765D83E"/>
    <w:rsid w:val="7766AAC3"/>
    <w:rsid w:val="77854865"/>
    <w:rsid w:val="77868A0E"/>
    <w:rsid w:val="7790742C"/>
    <w:rsid w:val="779723E1"/>
    <w:rsid w:val="77981591"/>
    <w:rsid w:val="77A598EE"/>
    <w:rsid w:val="77AD354B"/>
    <w:rsid w:val="77BA2002"/>
    <w:rsid w:val="77C002E6"/>
    <w:rsid w:val="77C216DD"/>
    <w:rsid w:val="77C23CC0"/>
    <w:rsid w:val="77C2EDAF"/>
    <w:rsid w:val="77C8C25A"/>
    <w:rsid w:val="77D0F617"/>
    <w:rsid w:val="77D15B7F"/>
    <w:rsid w:val="77D534A1"/>
    <w:rsid w:val="77DE11E4"/>
    <w:rsid w:val="77F7B4B9"/>
    <w:rsid w:val="78048E77"/>
    <w:rsid w:val="781D3BFD"/>
    <w:rsid w:val="7823537A"/>
    <w:rsid w:val="782FBA50"/>
    <w:rsid w:val="7830ABDC"/>
    <w:rsid w:val="78358CE5"/>
    <w:rsid w:val="7836B263"/>
    <w:rsid w:val="783B5BE1"/>
    <w:rsid w:val="78606066"/>
    <w:rsid w:val="7865B594"/>
    <w:rsid w:val="786D0216"/>
    <w:rsid w:val="78799508"/>
    <w:rsid w:val="78B6C92E"/>
    <w:rsid w:val="78BCA4FF"/>
    <w:rsid w:val="78BDA7C8"/>
    <w:rsid w:val="78CD477B"/>
    <w:rsid w:val="78D6750A"/>
    <w:rsid w:val="78DF48A0"/>
    <w:rsid w:val="78E69856"/>
    <w:rsid w:val="78EC87EF"/>
    <w:rsid w:val="78F25BBE"/>
    <w:rsid w:val="790413B1"/>
    <w:rsid w:val="792429EB"/>
    <w:rsid w:val="79251938"/>
    <w:rsid w:val="79330D76"/>
    <w:rsid w:val="794CD24A"/>
    <w:rsid w:val="7976B7BA"/>
    <w:rsid w:val="7979394B"/>
    <w:rsid w:val="797E585B"/>
    <w:rsid w:val="7980DF0D"/>
    <w:rsid w:val="7985314E"/>
    <w:rsid w:val="7992CAF1"/>
    <w:rsid w:val="799EDCE8"/>
    <w:rsid w:val="79A61027"/>
    <w:rsid w:val="79A8ED3E"/>
    <w:rsid w:val="79AA1717"/>
    <w:rsid w:val="79C824E9"/>
    <w:rsid w:val="79D4B6B9"/>
    <w:rsid w:val="79E110AF"/>
    <w:rsid w:val="79E53134"/>
    <w:rsid w:val="7A09CBEB"/>
    <w:rsid w:val="7A4AEBB1"/>
    <w:rsid w:val="7A549EA7"/>
    <w:rsid w:val="7A6CF719"/>
    <w:rsid w:val="7A73377F"/>
    <w:rsid w:val="7A981442"/>
    <w:rsid w:val="7AB208D2"/>
    <w:rsid w:val="7AB7DE44"/>
    <w:rsid w:val="7AC83486"/>
    <w:rsid w:val="7ACF7A4E"/>
    <w:rsid w:val="7AD8BC8A"/>
    <w:rsid w:val="7AD8FE95"/>
    <w:rsid w:val="7ADF31EE"/>
    <w:rsid w:val="7AF25382"/>
    <w:rsid w:val="7AFD1FE8"/>
    <w:rsid w:val="7B18B1AD"/>
    <w:rsid w:val="7B26458B"/>
    <w:rsid w:val="7B37D220"/>
    <w:rsid w:val="7B453621"/>
    <w:rsid w:val="7B5E2645"/>
    <w:rsid w:val="7B600C45"/>
    <w:rsid w:val="7B67F19D"/>
    <w:rsid w:val="7B6FF540"/>
    <w:rsid w:val="7B866268"/>
    <w:rsid w:val="7B88A27D"/>
    <w:rsid w:val="7B8BB37E"/>
    <w:rsid w:val="7B952486"/>
    <w:rsid w:val="7BAA5944"/>
    <w:rsid w:val="7BC16297"/>
    <w:rsid w:val="7BC54B9B"/>
    <w:rsid w:val="7BC9BE9B"/>
    <w:rsid w:val="7BD31DFF"/>
    <w:rsid w:val="7BDA416F"/>
    <w:rsid w:val="7BE204A9"/>
    <w:rsid w:val="7BF1ACEA"/>
    <w:rsid w:val="7C3123D2"/>
    <w:rsid w:val="7C3BDA9B"/>
    <w:rsid w:val="7C42F7BC"/>
    <w:rsid w:val="7C4B7AE2"/>
    <w:rsid w:val="7C56EB19"/>
    <w:rsid w:val="7C6B4AAF"/>
    <w:rsid w:val="7C7E2BD8"/>
    <w:rsid w:val="7C8ADE60"/>
    <w:rsid w:val="7C8BEDBB"/>
    <w:rsid w:val="7CAA53EE"/>
    <w:rsid w:val="7CACB750"/>
    <w:rsid w:val="7CB23325"/>
    <w:rsid w:val="7CB8E9E7"/>
    <w:rsid w:val="7CBFBA02"/>
    <w:rsid w:val="7CC2C65D"/>
    <w:rsid w:val="7CDC00B6"/>
    <w:rsid w:val="7CF4B154"/>
    <w:rsid w:val="7CFB15E6"/>
    <w:rsid w:val="7CFF27CA"/>
    <w:rsid w:val="7D37B541"/>
    <w:rsid w:val="7D62D1DC"/>
    <w:rsid w:val="7D66B8E2"/>
    <w:rsid w:val="7D7D2CF7"/>
    <w:rsid w:val="7D8278A2"/>
    <w:rsid w:val="7D87597E"/>
    <w:rsid w:val="7D88E9BE"/>
    <w:rsid w:val="7D8EFEAB"/>
    <w:rsid w:val="7DAB4AE7"/>
    <w:rsid w:val="7DAF52C7"/>
    <w:rsid w:val="7DCC9158"/>
    <w:rsid w:val="7DCE22E6"/>
    <w:rsid w:val="7DD6644A"/>
    <w:rsid w:val="7DD80F7A"/>
    <w:rsid w:val="7E044E1E"/>
    <w:rsid w:val="7E1137D8"/>
    <w:rsid w:val="7E115545"/>
    <w:rsid w:val="7E115F1D"/>
    <w:rsid w:val="7E1C27CC"/>
    <w:rsid w:val="7E1DD39A"/>
    <w:rsid w:val="7E338BCF"/>
    <w:rsid w:val="7E340DC1"/>
    <w:rsid w:val="7E34B2AE"/>
    <w:rsid w:val="7E39ADEB"/>
    <w:rsid w:val="7E3F2211"/>
    <w:rsid w:val="7E48A975"/>
    <w:rsid w:val="7E51A195"/>
    <w:rsid w:val="7E5920AE"/>
    <w:rsid w:val="7E5B8455"/>
    <w:rsid w:val="7E5C1DE6"/>
    <w:rsid w:val="7E6F8FC7"/>
    <w:rsid w:val="7E809103"/>
    <w:rsid w:val="7E9D2926"/>
    <w:rsid w:val="7EA1E13A"/>
    <w:rsid w:val="7EA84ED3"/>
    <w:rsid w:val="7ECA3E81"/>
    <w:rsid w:val="7ED50269"/>
    <w:rsid w:val="7ED517D1"/>
    <w:rsid w:val="7EE74006"/>
    <w:rsid w:val="7F23FF9A"/>
    <w:rsid w:val="7F24BA1F"/>
    <w:rsid w:val="7F261CD2"/>
    <w:rsid w:val="7F26DF66"/>
    <w:rsid w:val="7F44F599"/>
    <w:rsid w:val="7F576B5B"/>
    <w:rsid w:val="7F58921E"/>
    <w:rsid w:val="7F69F347"/>
    <w:rsid w:val="7F76E151"/>
    <w:rsid w:val="7F7A443A"/>
    <w:rsid w:val="7F941C1C"/>
    <w:rsid w:val="7F970061"/>
    <w:rsid w:val="7FA2EB71"/>
    <w:rsid w:val="7FA6BAAF"/>
    <w:rsid w:val="7FAD0433"/>
    <w:rsid w:val="7FB88BF3"/>
    <w:rsid w:val="7FB916A6"/>
    <w:rsid w:val="7FBBDB32"/>
    <w:rsid w:val="7FC69118"/>
    <w:rsid w:val="7FD0770A"/>
    <w:rsid w:val="7FD6285E"/>
    <w:rsid w:val="7FDD04AB"/>
    <w:rsid w:val="7FF61D3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198F2"/>
  <w15:chartTrackingRefBased/>
  <w15:docId w15:val="{8EABD639-169F-4762-AA33-6EADEAC1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7"/>
    <w:lsdException w:name="heading 2" w:semiHidden="1" w:uiPriority="7" w:unhideWhenUsed="1"/>
    <w:lsdException w:name="heading 3" w:semiHidden="1" w:uiPriority="7" w:unhideWhenUsed="1"/>
    <w:lsdException w:name="heading 4" w:semiHidden="1" w:uiPriority="7" w:unhideWhenUsed="1"/>
    <w:lsdException w:name="heading 5" w:semiHidden="1" w:uiPriority="7" w:unhideWhenUsed="1"/>
    <w:lsdException w:name="heading 6" w:semiHidden="1" w:uiPriority="7" w:unhideWhenUsed="1"/>
    <w:lsdException w:name="heading 7" w:semiHidden="1" w:uiPriority="7" w:unhideWhenUsed="1"/>
    <w:lsdException w:name="heading 8" w:semiHidden="1" w:uiPriority="7" w:unhideWhenUsed="1"/>
    <w:lsdException w:name="heading 9" w:semiHidden="1" w:uiPriority="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5"/>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iPriority="10" w:unhideWhenUsed="1"/>
    <w:lsdException w:name="List Bullet 4" w:semiHidden="1" w:uiPriority="10" w:unhideWhenUsed="1"/>
    <w:lsdException w:name="List Bullet 5" w:semiHidden="1" w:uiPriority="10" w:unhideWhenUsed="1"/>
    <w:lsdException w:name="List Number 2" w:uiPriority="15"/>
    <w:lsdException w:name="List Number 3" w:uiPriority="15"/>
    <w:lsdException w:name="List Number 4" w:uiPriority="15"/>
    <w:lsdException w:name="List Number 5" w:uiPriority="15"/>
    <w:lsdException w:name="Title" w:uiPriority="4"/>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lsdException w:name="Intense Quote" w:uiPriority="2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23"/>
    <w:lsdException w:name="Intense Reference" w:uiPriority="24"/>
    <w:lsdException w:name="Book Title" w:semiHidden="1" w:unhideWhenUsed="1" w:qFormat="1"/>
    <w:lsdException w:name="Bibliography" w:semiHidden="1" w:uiPriority="38" w:unhideWhenUsed="1"/>
    <w:lsdException w:name="TOC Heading" w:semiHidden="1" w:uiPriority="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9"/>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10"/>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12"/>
      </w:numPr>
    </w:pPr>
  </w:style>
  <w:style w:type="numbering" w:customStyle="1" w:styleId="VariantaB-sla">
    <w:name w:val="Varianta B - čísla"/>
    <w:uiPriority w:val="99"/>
    <w:rsid w:val="009F7F46"/>
    <w:pPr>
      <w:numPr>
        <w:numId w:val="11"/>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15"/>
      </w:numPr>
      <w:spacing w:after="0"/>
    </w:pPr>
  </w:style>
  <w:style w:type="paragraph" w:styleId="slovanseznam2">
    <w:name w:val="List Number 2"/>
    <w:aliases w:val="Číslovaný seznam A 2"/>
    <w:basedOn w:val="Normln"/>
    <w:uiPriority w:val="15"/>
    <w:rsid w:val="001B1E4A"/>
    <w:pPr>
      <w:numPr>
        <w:ilvl w:val="1"/>
        <w:numId w:val="15"/>
      </w:numPr>
      <w:spacing w:after="0"/>
      <w:contextualSpacing/>
    </w:pPr>
  </w:style>
  <w:style w:type="paragraph" w:styleId="slovanseznam3">
    <w:name w:val="List Number 3"/>
    <w:aliases w:val="Číslovaný seznam A 3"/>
    <w:basedOn w:val="Normln"/>
    <w:uiPriority w:val="15"/>
    <w:rsid w:val="001B1E4A"/>
    <w:pPr>
      <w:numPr>
        <w:ilvl w:val="2"/>
        <w:numId w:val="15"/>
      </w:numPr>
      <w:spacing w:after="0"/>
      <w:contextualSpacing/>
    </w:pPr>
  </w:style>
  <w:style w:type="paragraph" w:styleId="slovanseznam4">
    <w:name w:val="List Number 4"/>
    <w:aliases w:val="Číslovaný seznam A 4"/>
    <w:basedOn w:val="Normln"/>
    <w:uiPriority w:val="15"/>
    <w:rsid w:val="001B1E4A"/>
    <w:pPr>
      <w:numPr>
        <w:ilvl w:val="3"/>
        <w:numId w:val="15"/>
      </w:numPr>
      <w:spacing w:after="0"/>
      <w:contextualSpacing/>
    </w:pPr>
  </w:style>
  <w:style w:type="paragraph" w:styleId="slovanseznam5">
    <w:name w:val="List Number 5"/>
    <w:aliases w:val="Číslovaný seznam A 5"/>
    <w:basedOn w:val="Normln"/>
    <w:uiPriority w:val="15"/>
    <w:rsid w:val="001B1E4A"/>
    <w:pPr>
      <w:numPr>
        <w:ilvl w:val="4"/>
        <w:numId w:val="15"/>
      </w:numPr>
      <w:spacing w:after="0"/>
      <w:contextualSpacing/>
    </w:pPr>
  </w:style>
  <w:style w:type="paragraph" w:customStyle="1" w:styleId="slovanseznamB">
    <w:name w:val="Číslovaný seznam B"/>
    <w:basedOn w:val="Normln"/>
    <w:uiPriority w:val="16"/>
    <w:rsid w:val="009F7F46"/>
    <w:pPr>
      <w:numPr>
        <w:numId w:val="13"/>
      </w:numPr>
      <w:spacing w:after="0"/>
    </w:pPr>
  </w:style>
  <w:style w:type="paragraph" w:customStyle="1" w:styleId="slovanseznamB2">
    <w:name w:val="Číslovaný seznam B 2"/>
    <w:basedOn w:val="Normln"/>
    <w:uiPriority w:val="16"/>
    <w:rsid w:val="009F7F46"/>
    <w:pPr>
      <w:numPr>
        <w:ilvl w:val="1"/>
        <w:numId w:val="13"/>
      </w:numPr>
      <w:spacing w:after="0"/>
    </w:pPr>
  </w:style>
  <w:style w:type="paragraph" w:customStyle="1" w:styleId="slovanseznamB3">
    <w:name w:val="Číslovaný seznam B 3"/>
    <w:basedOn w:val="Normln"/>
    <w:uiPriority w:val="16"/>
    <w:rsid w:val="009F7F46"/>
    <w:pPr>
      <w:numPr>
        <w:ilvl w:val="2"/>
        <w:numId w:val="13"/>
      </w:numPr>
      <w:spacing w:after="0"/>
    </w:pPr>
  </w:style>
  <w:style w:type="paragraph" w:customStyle="1" w:styleId="slovanseznamB4">
    <w:name w:val="Číslovaný seznam B 4"/>
    <w:basedOn w:val="Normln"/>
    <w:uiPriority w:val="16"/>
    <w:rsid w:val="009F7F46"/>
    <w:pPr>
      <w:numPr>
        <w:ilvl w:val="3"/>
        <w:numId w:val="13"/>
      </w:numPr>
      <w:spacing w:after="0"/>
    </w:pPr>
  </w:style>
  <w:style w:type="paragraph" w:customStyle="1" w:styleId="slovanseznamB5">
    <w:name w:val="Číslovaný seznam B 5"/>
    <w:basedOn w:val="Normln"/>
    <w:uiPriority w:val="16"/>
    <w:rsid w:val="009F7F46"/>
    <w:pPr>
      <w:numPr>
        <w:ilvl w:val="4"/>
        <w:numId w:val="13"/>
      </w:numPr>
      <w:spacing w:after="0"/>
    </w:pPr>
  </w:style>
  <w:style w:type="paragraph" w:styleId="Seznamsodrkami3">
    <w:name w:val="List Bullet 3"/>
    <w:aliases w:val="Seznam s odrážkami A 3"/>
    <w:basedOn w:val="Normln"/>
    <w:uiPriority w:val="10"/>
    <w:rsid w:val="00262DAF"/>
    <w:pPr>
      <w:numPr>
        <w:ilvl w:val="2"/>
        <w:numId w:val="14"/>
      </w:numPr>
      <w:spacing w:after="0"/>
      <w:contextualSpacing/>
    </w:pPr>
  </w:style>
  <w:style w:type="paragraph" w:styleId="Seznamsodrkami4">
    <w:name w:val="List Bullet 4"/>
    <w:aliases w:val="Seznam s odrážkami A 4"/>
    <w:basedOn w:val="Normln"/>
    <w:uiPriority w:val="10"/>
    <w:rsid w:val="00262DAF"/>
    <w:pPr>
      <w:numPr>
        <w:ilvl w:val="3"/>
        <w:numId w:val="14"/>
      </w:numPr>
      <w:spacing w:after="0"/>
      <w:contextualSpacing/>
    </w:pPr>
  </w:style>
  <w:style w:type="paragraph" w:styleId="Seznamsodrkami5">
    <w:name w:val="List Bullet 5"/>
    <w:aliases w:val="Seznam s odrážkami A 5"/>
    <w:basedOn w:val="Normln"/>
    <w:uiPriority w:val="10"/>
    <w:rsid w:val="00262DAF"/>
    <w:pPr>
      <w:numPr>
        <w:ilvl w:val="4"/>
        <w:numId w:val="14"/>
      </w:numPr>
      <w:spacing w:after="0"/>
    </w:pPr>
  </w:style>
  <w:style w:type="paragraph" w:styleId="Seznamsodrkami">
    <w:name w:val="List Bullet"/>
    <w:aliases w:val="Seznam s odrážkami A"/>
    <w:basedOn w:val="Normln"/>
    <w:uiPriority w:val="10"/>
    <w:rsid w:val="00262DAF"/>
    <w:pPr>
      <w:numPr>
        <w:numId w:val="14"/>
      </w:numPr>
      <w:spacing w:after="0"/>
      <w:contextualSpacing/>
    </w:pPr>
  </w:style>
  <w:style w:type="paragraph" w:styleId="Seznamsodrkami2">
    <w:name w:val="List Bullet 2"/>
    <w:aliases w:val="Seznam s odrážkami A 2"/>
    <w:basedOn w:val="Normln"/>
    <w:uiPriority w:val="10"/>
    <w:rsid w:val="00262DAF"/>
    <w:pPr>
      <w:numPr>
        <w:ilvl w:val="1"/>
        <w:numId w:val="14"/>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16"/>
      </w:numPr>
      <w:spacing w:after="0"/>
    </w:pPr>
  </w:style>
  <w:style w:type="paragraph" w:customStyle="1" w:styleId="SeznamsodrkamiB2">
    <w:name w:val="Seznam s odrážkami B 2"/>
    <w:basedOn w:val="Normln"/>
    <w:uiPriority w:val="11"/>
    <w:rsid w:val="007102D2"/>
    <w:pPr>
      <w:numPr>
        <w:ilvl w:val="1"/>
        <w:numId w:val="16"/>
      </w:numPr>
      <w:spacing w:after="0"/>
    </w:pPr>
  </w:style>
  <w:style w:type="paragraph" w:customStyle="1" w:styleId="SeznamsodrkamiB3">
    <w:name w:val="Seznam s odrážkami B 3"/>
    <w:basedOn w:val="Normln"/>
    <w:uiPriority w:val="11"/>
    <w:rsid w:val="007102D2"/>
    <w:pPr>
      <w:numPr>
        <w:ilvl w:val="2"/>
        <w:numId w:val="16"/>
      </w:numPr>
      <w:spacing w:after="0"/>
    </w:pPr>
  </w:style>
  <w:style w:type="paragraph" w:customStyle="1" w:styleId="SeznamsodrkamiB4">
    <w:name w:val="Seznam s odrážkami B 4"/>
    <w:basedOn w:val="Normln"/>
    <w:uiPriority w:val="11"/>
    <w:rsid w:val="007102D2"/>
    <w:pPr>
      <w:numPr>
        <w:ilvl w:val="3"/>
        <w:numId w:val="16"/>
      </w:numPr>
      <w:spacing w:after="0"/>
    </w:pPr>
  </w:style>
  <w:style w:type="paragraph" w:customStyle="1" w:styleId="SeznamsodrkamiB5">
    <w:name w:val="Seznam s odrážkami B 5"/>
    <w:basedOn w:val="Normln"/>
    <w:uiPriority w:val="11"/>
    <w:rsid w:val="007102D2"/>
    <w:pPr>
      <w:numPr>
        <w:ilvl w:val="4"/>
        <w:numId w:val="1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EEIP_Text pozn. pod čarou,Footnote Text Char3,Footnote Text Char1 Char1,Footnote Text Char2 Char Char,Footnote Text Char1 Char1 Char Char,Footnote Text Char2 Char Char Char Char,Footnote Text Char1 Char1 Char Char Char Char Char,fn"/>
    <w:basedOn w:val="Normln"/>
    <w:link w:val="TextpoznpodarouChar"/>
    <w:uiPriority w:val="99"/>
    <w:unhideWhenUsed/>
    <w:qFormat/>
    <w:rsid w:val="00CE0581"/>
    <w:pPr>
      <w:spacing w:after="0" w:line="240" w:lineRule="auto"/>
    </w:pPr>
    <w:rPr>
      <w:sz w:val="20"/>
      <w:szCs w:val="20"/>
    </w:rPr>
  </w:style>
  <w:style w:type="character" w:customStyle="1" w:styleId="TextpoznpodarouChar">
    <w:name w:val="Text pozn. pod čarou Char"/>
    <w:aliases w:val="EEIP_Text pozn. pod čarou Char1,Footnote Text Char3 Char,Footnote Text Char1 Char1 Char,Footnote Text Char2 Char Char Char,Footnote Text Char1 Char1 Char Char Char,Footnote Text Char2 Char Char Char Char Char,fn Char"/>
    <w:basedOn w:val="Standardnpsmoodstavce"/>
    <w:link w:val="Textpoznpodarou"/>
    <w:uiPriority w:val="99"/>
    <w:semiHidden/>
    <w:rsid w:val="00CE0581"/>
    <w:rPr>
      <w:color w:val="000000" w:themeColor="text1"/>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SUPERS,o"/>
    <w:basedOn w:val="Standardnpsmoodstavce"/>
    <w:uiPriority w:val="99"/>
    <w:unhideWhenUsed/>
    <w:rsid w:val="00CE0581"/>
    <w:rPr>
      <w:vertAlign w:val="superscript"/>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qForma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
    <w:name w:val="00 Body"/>
    <w:basedOn w:val="Normln"/>
    <w:link w:val="00BodyChar"/>
    <w:qFormat/>
    <w:rsid w:val="005275BD"/>
    <w:pPr>
      <w:spacing w:before="180" w:after="180" w:line="264" w:lineRule="auto"/>
    </w:pPr>
    <w:rPr>
      <w:rFonts w:ascii="Arial (Body)" w:eastAsia="Times New Roman" w:hAnsi="Arial (Body)" w:cs="Times New Roman"/>
      <w:color w:val="auto"/>
      <w:szCs w:val="20"/>
    </w:rPr>
  </w:style>
  <w:style w:type="character" w:customStyle="1" w:styleId="00BodyChar">
    <w:name w:val="00 Body Char"/>
    <w:basedOn w:val="Standardnpsmoodstavce"/>
    <w:link w:val="00Body"/>
    <w:rsid w:val="005275BD"/>
    <w:rPr>
      <w:rFonts w:ascii="Arial (Body)" w:eastAsia="Times New Roman" w:hAnsi="Arial (Body)" w:cs="Times New Roman"/>
      <w:szCs w:val="20"/>
    </w:rPr>
  </w:style>
  <w:style w:type="paragraph" w:styleId="Normlnweb">
    <w:name w:val="Normal (Web)"/>
    <w:basedOn w:val="Normln"/>
    <w:uiPriority w:val="99"/>
    <w:unhideWhenUsed/>
    <w:rsid w:val="006C28D8"/>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EEIPNadpis3Char">
    <w:name w:val="EEIP_Nadpis (3) Char"/>
    <w:basedOn w:val="Standardnpsmoodstavce"/>
    <w:link w:val="EEIPNadpis3"/>
    <w:qFormat/>
    <w:rsid w:val="00D42000"/>
    <w:rPr>
      <w:rFonts w:ascii="Cambria" w:eastAsia="Times New Roman" w:hAnsi="Cambria"/>
      <w:b/>
      <w:bCs/>
      <w:color w:val="B6B002"/>
      <w:sz w:val="24"/>
    </w:rPr>
  </w:style>
  <w:style w:type="paragraph" w:customStyle="1" w:styleId="EEIPNadpis3">
    <w:name w:val="EEIP_Nadpis (3)"/>
    <w:basedOn w:val="Nadpis3"/>
    <w:link w:val="EEIPNadpis3Char"/>
    <w:rsid w:val="00D42000"/>
    <w:pPr>
      <w:keepNext w:val="0"/>
      <w:keepLines w:val="0"/>
      <w:widowControl w:val="0"/>
      <w:spacing w:before="120" w:after="120" w:line="240" w:lineRule="auto"/>
      <w:ind w:left="709" w:hanging="709"/>
    </w:pPr>
    <w:rPr>
      <w:rFonts w:ascii="Cambria" w:eastAsia="Times New Roman" w:hAnsi="Cambria" w:cstheme="minorBidi"/>
      <w:bCs/>
      <w:color w:val="B6B002"/>
      <w:szCs w:val="22"/>
    </w:rPr>
  </w:style>
  <w:style w:type="paragraph" w:customStyle="1" w:styleId="Normln-tun">
    <w:name w:val="Normální - tučné"/>
    <w:basedOn w:val="Normln"/>
    <w:uiPriority w:val="99"/>
    <w:qFormat/>
    <w:rsid w:val="00D42000"/>
    <w:pPr>
      <w:spacing w:before="120" w:after="120" w:line="240" w:lineRule="auto"/>
      <w:jc w:val="both"/>
    </w:pPr>
    <w:rPr>
      <w:rFonts w:ascii="Garamond" w:eastAsia="Times New Roman" w:hAnsi="Garamond" w:cs="Times New Roman"/>
      <w:color w:val="auto"/>
      <w:sz w:val="24"/>
      <w:szCs w:val="24"/>
      <w:lang w:eastAsia="cs-CZ"/>
    </w:rPr>
  </w:style>
  <w:style w:type="character" w:customStyle="1" w:styleId="TextpoznpodarouChar1">
    <w:name w:val="Text pozn. pod čarou Char1"/>
    <w:aliases w:val="EEIP_Text pozn. pod čarou Char,Footnote Text Char3 Char1,Footnote Text Char1 Char1 Char1,Footnote Text Char2 Char Char Char1,Footnote Text Char1 Char1 Char Char Char1,Footnote Text Char2 Char Char Char Char Char1,fn Char1"/>
    <w:qFormat/>
    <w:rsid w:val="00451A0B"/>
    <w:rPr>
      <w:rFonts w:ascii="Times New Roman" w:eastAsia="Times New Roman" w:hAnsi="Times New Roman"/>
      <w:sz w:val="18"/>
      <w:lang w:eastAsia="cs-CZ"/>
    </w:rPr>
  </w:style>
  <w:style w:type="character" w:customStyle="1" w:styleId="TitulekChar">
    <w:name w:val="Titulek Char"/>
    <w:aliases w:val="EEIP_Titulek Char,Titulek tabulky Char,Title for table Char,picture Char,graph Char,formula Char,Zdroj_moje Char,titulek tabulka Char,Tabulka-PK Char,Tabulka Char,Tabulka_nadpis Char,Figure Caption Char,Figure Caption + Avant : 14 pt Char"/>
    <w:link w:val="Titulek"/>
    <w:uiPriority w:val="35"/>
    <w:qFormat/>
    <w:rsid w:val="0084170F"/>
    <w:rPr>
      <w:rFonts w:ascii="Times New Roman" w:eastAsia="Times New Roman" w:hAnsi="Times New Roman"/>
      <w:b/>
      <w:bCs/>
      <w:color w:val="000000"/>
      <w:lang w:eastAsia="cs-CZ"/>
    </w:rPr>
  </w:style>
  <w:style w:type="paragraph" w:styleId="Titulek">
    <w:name w:val="caption"/>
    <w:aliases w:val="EEIP_Titulek,Titulek tabulky,Title for table,picture,graph,formula,Zdroj_moje,titulek tabulka,Tabulka-PK,Tabulka,Tabulka_nadpis,Figure Caption,Figure Caption + Avant : 14 pt,Motif : Transparente (Gris - 15 %),TF,Beschriftung_tab,Titulek Obr."/>
    <w:basedOn w:val="Normln"/>
    <w:next w:val="Normln"/>
    <w:link w:val="TitulekChar"/>
    <w:uiPriority w:val="35"/>
    <w:qFormat/>
    <w:rsid w:val="0084170F"/>
    <w:pPr>
      <w:widowControl w:val="0"/>
      <w:spacing w:before="120" w:after="120" w:line="240" w:lineRule="auto"/>
      <w:jc w:val="both"/>
    </w:pPr>
    <w:rPr>
      <w:rFonts w:ascii="Times New Roman" w:eastAsia="Times New Roman" w:hAnsi="Times New Roman"/>
      <w:b/>
      <w:bCs/>
      <w:color w:val="000000"/>
      <w:lang w:eastAsia="cs-CZ"/>
    </w:rPr>
  </w:style>
  <w:style w:type="table" w:styleId="Tabulkasmkou2">
    <w:name w:val="Grid Table 2"/>
    <w:basedOn w:val="Normlntabulka"/>
    <w:uiPriority w:val="47"/>
    <w:rsid w:val="00E372E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
    <w:name w:val="Grid Table 6 Colorful"/>
    <w:basedOn w:val="Normlntabulka"/>
    <w:uiPriority w:val="51"/>
    <w:rsid w:val="00E372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ze">
    <w:name w:val="Revision"/>
    <w:hidden/>
    <w:uiPriority w:val="99"/>
    <w:semiHidden/>
    <w:rsid w:val="00D166DE"/>
    <w:pPr>
      <w:spacing w:after="0" w:line="240" w:lineRule="auto"/>
    </w:pPr>
    <w:rPr>
      <w:color w:val="000000" w:themeColor="text1"/>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basedOn w:val="Standardnpsmoodstavce"/>
    <w:link w:val="Odstavecseseznamem"/>
    <w:uiPriority w:val="34"/>
    <w:rsid w:val="00C92863"/>
    <w:rPr>
      <w:color w:val="000000" w:themeColor="text1"/>
    </w:rPr>
  </w:style>
  <w:style w:type="paragraph" w:customStyle="1" w:styleId="EYIndent1">
    <w:name w:val="EY Indent 1"/>
    <w:basedOn w:val="Normln"/>
    <w:link w:val="EYIndent1Char"/>
    <w:rsid w:val="00C92863"/>
    <w:pPr>
      <w:spacing w:after="240" w:line="240" w:lineRule="auto"/>
      <w:ind w:left="425"/>
    </w:pPr>
    <w:rPr>
      <w:rFonts w:ascii="EYInterstate Light" w:eastAsia="Times New Roman" w:hAnsi="EYInterstate Light" w:cs="Times New Roman"/>
      <w:color w:val="auto"/>
      <w:kern w:val="12"/>
      <w:sz w:val="20"/>
      <w:szCs w:val="24"/>
      <w:lang w:val="en-US"/>
    </w:rPr>
  </w:style>
  <w:style w:type="character" w:customStyle="1" w:styleId="EYIndent1Char">
    <w:name w:val="EY Indent 1 Char"/>
    <w:basedOn w:val="Standardnpsmoodstavce"/>
    <w:link w:val="EYIndent1"/>
    <w:rsid w:val="00C92863"/>
    <w:rPr>
      <w:rFonts w:ascii="EYInterstate Light" w:eastAsia="Times New Roman" w:hAnsi="EYInterstate Light" w:cs="Times New Roman"/>
      <w:kern w:val="12"/>
      <w:sz w:val="20"/>
      <w:szCs w:val="24"/>
      <w:lang w:val="en-US"/>
    </w:rPr>
  </w:style>
  <w:style w:type="table" w:styleId="Tabulkaseznamu4">
    <w:name w:val="List Table 4"/>
    <w:basedOn w:val="Normlntabulka"/>
    <w:uiPriority w:val="49"/>
    <w:rsid w:val="009D6D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Standardnpsmoodstavce"/>
    <w:rsid w:val="006F7E79"/>
  </w:style>
  <w:style w:type="character" w:customStyle="1" w:styleId="spellingerror">
    <w:name w:val="spellingerror"/>
    <w:basedOn w:val="Standardnpsmoodstavce"/>
    <w:rsid w:val="006F7E79"/>
  </w:style>
  <w:style w:type="paragraph" w:customStyle="1" w:styleId="paragraph">
    <w:name w:val="paragraph"/>
    <w:basedOn w:val="Normln"/>
    <w:rsid w:val="006F7E79"/>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eop">
    <w:name w:val="eop"/>
    <w:basedOn w:val="Standardnpsmoodstavce"/>
    <w:rsid w:val="006F7E79"/>
  </w:style>
  <w:style w:type="character" w:customStyle="1" w:styleId="UnresolvedMention1">
    <w:name w:val="Unresolved Mention1"/>
    <w:basedOn w:val="Standardnpsmoodstavce"/>
    <w:uiPriority w:val="99"/>
    <w:semiHidden/>
    <w:unhideWhenUsed/>
    <w:rsid w:val="0046616E"/>
    <w:rPr>
      <w:color w:val="605E5C"/>
      <w:shd w:val="clear" w:color="auto" w:fill="E1DFDD"/>
    </w:rPr>
  </w:style>
  <w:style w:type="character" w:customStyle="1" w:styleId="Mention1">
    <w:name w:val="Mention1"/>
    <w:basedOn w:val="Standardnpsmoodstavce"/>
    <w:uiPriority w:val="99"/>
    <w:unhideWhenUsed/>
    <w:rsid w:val="0046616E"/>
    <w:rPr>
      <w:color w:val="2B579A"/>
      <w:shd w:val="clear" w:color="auto" w:fill="E6E6E6"/>
    </w:rPr>
  </w:style>
  <w:style w:type="character" w:customStyle="1" w:styleId="Nevyeenzmnka1">
    <w:name w:val="Nevyřešená zmínka1"/>
    <w:basedOn w:val="Standardnpsmoodstavce"/>
    <w:uiPriority w:val="99"/>
    <w:semiHidden/>
    <w:unhideWhenUsed/>
    <w:rsid w:val="004A3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33917622">
      <w:bodyDiv w:val="1"/>
      <w:marLeft w:val="0"/>
      <w:marRight w:val="0"/>
      <w:marTop w:val="0"/>
      <w:marBottom w:val="0"/>
      <w:divBdr>
        <w:top w:val="none" w:sz="0" w:space="0" w:color="auto"/>
        <w:left w:val="none" w:sz="0" w:space="0" w:color="auto"/>
        <w:bottom w:val="none" w:sz="0" w:space="0" w:color="auto"/>
        <w:right w:val="none" w:sz="0" w:space="0" w:color="auto"/>
      </w:divBdr>
      <w:divsChild>
        <w:div w:id="835414474">
          <w:marLeft w:val="0"/>
          <w:marRight w:val="0"/>
          <w:marTop w:val="0"/>
          <w:marBottom w:val="0"/>
          <w:divBdr>
            <w:top w:val="none" w:sz="0" w:space="0" w:color="auto"/>
            <w:left w:val="none" w:sz="0" w:space="0" w:color="auto"/>
            <w:bottom w:val="none" w:sz="0" w:space="0" w:color="auto"/>
            <w:right w:val="none" w:sz="0" w:space="0" w:color="auto"/>
          </w:divBdr>
        </w:div>
      </w:divsChild>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76075191">
      <w:bodyDiv w:val="1"/>
      <w:marLeft w:val="0"/>
      <w:marRight w:val="0"/>
      <w:marTop w:val="0"/>
      <w:marBottom w:val="0"/>
      <w:divBdr>
        <w:top w:val="none" w:sz="0" w:space="0" w:color="auto"/>
        <w:left w:val="none" w:sz="0" w:space="0" w:color="auto"/>
        <w:bottom w:val="none" w:sz="0" w:space="0" w:color="auto"/>
        <w:right w:val="none" w:sz="0" w:space="0" w:color="auto"/>
      </w:divBdr>
      <w:divsChild>
        <w:div w:id="699866772">
          <w:marLeft w:val="0"/>
          <w:marRight w:val="0"/>
          <w:marTop w:val="0"/>
          <w:marBottom w:val="0"/>
          <w:divBdr>
            <w:top w:val="none" w:sz="0" w:space="0" w:color="auto"/>
            <w:left w:val="none" w:sz="0" w:space="0" w:color="auto"/>
            <w:bottom w:val="none" w:sz="0" w:space="0" w:color="auto"/>
            <w:right w:val="none" w:sz="0" w:space="0" w:color="auto"/>
          </w:divBdr>
        </w:div>
      </w:divsChild>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60213022">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977222850">
      <w:bodyDiv w:val="1"/>
      <w:marLeft w:val="0"/>
      <w:marRight w:val="0"/>
      <w:marTop w:val="0"/>
      <w:marBottom w:val="0"/>
      <w:divBdr>
        <w:top w:val="none" w:sz="0" w:space="0" w:color="auto"/>
        <w:left w:val="none" w:sz="0" w:space="0" w:color="auto"/>
        <w:bottom w:val="none" w:sz="0" w:space="0" w:color="auto"/>
        <w:right w:val="none" w:sz="0" w:space="0" w:color="auto"/>
      </w:divBdr>
      <w:divsChild>
        <w:div w:id="1671521328">
          <w:marLeft w:val="0"/>
          <w:marRight w:val="0"/>
          <w:marTop w:val="0"/>
          <w:marBottom w:val="0"/>
          <w:divBdr>
            <w:top w:val="none" w:sz="0" w:space="0" w:color="auto"/>
            <w:left w:val="none" w:sz="0" w:space="0" w:color="auto"/>
            <w:bottom w:val="none" w:sz="0" w:space="0" w:color="auto"/>
            <w:right w:val="none" w:sz="0" w:space="0" w:color="auto"/>
          </w:divBdr>
        </w:div>
      </w:divsChild>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270503223">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548300997">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1925796406">
      <w:bodyDiv w:val="1"/>
      <w:marLeft w:val="0"/>
      <w:marRight w:val="0"/>
      <w:marTop w:val="0"/>
      <w:marBottom w:val="0"/>
      <w:divBdr>
        <w:top w:val="none" w:sz="0" w:space="0" w:color="auto"/>
        <w:left w:val="none" w:sz="0" w:space="0" w:color="auto"/>
        <w:bottom w:val="none" w:sz="0" w:space="0" w:color="auto"/>
        <w:right w:val="none" w:sz="0" w:space="0" w:color="auto"/>
      </w:divBdr>
      <w:divsChild>
        <w:div w:id="46876976">
          <w:marLeft w:val="0"/>
          <w:marRight w:val="0"/>
          <w:marTop w:val="0"/>
          <w:marBottom w:val="0"/>
          <w:divBdr>
            <w:top w:val="none" w:sz="0" w:space="0" w:color="auto"/>
            <w:left w:val="none" w:sz="0" w:space="0" w:color="auto"/>
            <w:bottom w:val="none" w:sz="0" w:space="0" w:color="auto"/>
            <w:right w:val="none" w:sz="0" w:space="0" w:color="auto"/>
          </w:divBdr>
        </w:div>
        <w:div w:id="1505393883">
          <w:marLeft w:val="0"/>
          <w:marRight w:val="0"/>
          <w:marTop w:val="0"/>
          <w:marBottom w:val="0"/>
          <w:divBdr>
            <w:top w:val="none" w:sz="0" w:space="0" w:color="auto"/>
            <w:left w:val="none" w:sz="0" w:space="0" w:color="auto"/>
            <w:bottom w:val="none" w:sz="0" w:space="0" w:color="auto"/>
            <w:right w:val="none" w:sz="0" w:space="0" w:color="auto"/>
          </w:divBdr>
        </w:div>
        <w:div w:id="2051414758">
          <w:marLeft w:val="0"/>
          <w:marRight w:val="0"/>
          <w:marTop w:val="0"/>
          <w:marBottom w:val="0"/>
          <w:divBdr>
            <w:top w:val="none" w:sz="0" w:space="0" w:color="auto"/>
            <w:left w:val="none" w:sz="0" w:space="0" w:color="auto"/>
            <w:bottom w:val="none" w:sz="0" w:space="0" w:color="auto"/>
            <w:right w:val="none" w:sz="0" w:space="0" w:color="auto"/>
          </w:divBdr>
        </w:div>
      </w:divsChild>
    </w:div>
    <w:div w:id="1996642311">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36809660">
      <w:bodyDiv w:val="1"/>
      <w:marLeft w:val="0"/>
      <w:marRight w:val="0"/>
      <w:marTop w:val="0"/>
      <w:marBottom w:val="0"/>
      <w:divBdr>
        <w:top w:val="none" w:sz="0" w:space="0" w:color="auto"/>
        <w:left w:val="none" w:sz="0" w:space="0" w:color="auto"/>
        <w:bottom w:val="none" w:sz="0" w:space="0" w:color="auto"/>
        <w:right w:val="none" w:sz="0" w:space="0" w:color="auto"/>
      </w:divBdr>
      <w:divsChild>
        <w:div w:id="837113375">
          <w:marLeft w:val="0"/>
          <w:marRight w:val="0"/>
          <w:marTop w:val="0"/>
          <w:marBottom w:val="0"/>
          <w:divBdr>
            <w:top w:val="none" w:sz="0" w:space="0" w:color="auto"/>
            <w:left w:val="none" w:sz="0" w:space="0" w:color="auto"/>
            <w:bottom w:val="none" w:sz="0" w:space="0" w:color="auto"/>
            <w:right w:val="none" w:sz="0" w:space="0" w:color="auto"/>
          </w:divBdr>
        </w:div>
      </w:divsChild>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po.cz/assets/cz/podnikani/financni-nastroje/2019/7/Aktualizace_predbezneho_posouzeni_financnich_nastroju-2019_1.pdf" TargetMode="External"/><Relationship Id="rId2" Type="http://schemas.openxmlformats.org/officeDocument/2006/relationships/hyperlink" Target="https://www.smocr.cz/Shared/Clanky/8196/ins-06-2020.pdf" TargetMode="External"/><Relationship Id="rId1" Type="http://schemas.openxmlformats.org/officeDocument/2006/relationships/hyperlink" Target="https://www.ceskovdatech.cz/clanek/59-zeme-brownfieldu-v-cesku-je-temer-500-lokalit-pripravenych-pro-investor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riva\AppData\Local\Microsoft\Windows\INetCache\Content.Outlook\JFNGE5FP\Brownfieldy%20celkem.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riva\AppData\Local\Microsoft\Windows\INetCache\Content.Outlook\JFNGE5FP\Brownfieldy%20celkem.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oriva\AppData\Local\Microsoft\Windows\INetCache\Content.Outlook\JFNGE5FP\Brownfieldy%20celkem.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sz="1200" b="1"/>
              <a:t>Graf</a:t>
            </a:r>
            <a:r>
              <a:rPr lang="cs-CZ" sz="1200" b="1" baseline="0"/>
              <a:t> 1: </a:t>
            </a:r>
            <a:r>
              <a:rPr lang="cs-CZ" sz="1200" b="1"/>
              <a:t>Rozdělení brownfieldů dle krajů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1"/>
          <c:order val="0"/>
          <c:tx>
            <c:strRef>
              <c:f>Statistika!$C$1</c:f>
              <c:strCache>
                <c:ptCount val="1"/>
                <c:pt idx="0">
                  <c:v>Počet (%)</c:v>
                </c:pt>
              </c:strCache>
            </c:strRef>
          </c:tx>
          <c:spPr>
            <a:solidFill>
              <a:schemeClr val="accent5"/>
            </a:solidFill>
            <a:ln>
              <a:noFill/>
            </a:ln>
            <a:effectLst/>
          </c:spPr>
          <c:invertIfNegative val="0"/>
          <c:cat>
            <c:strRef>
              <c:f>Statistika!$A$2:$A$15</c:f>
              <c:strCache>
                <c:ptCount val="14"/>
                <c:pt idx="0">
                  <c:v>Hlavní město Praha</c:v>
                </c:pt>
                <c:pt idx="1">
                  <c:v>Jihočeský kraj</c:v>
                </c:pt>
                <c:pt idx="2">
                  <c:v>Jihomoravský kraj</c:v>
                </c:pt>
                <c:pt idx="3">
                  <c:v>Karlovarský kraj</c:v>
                </c:pt>
                <c:pt idx="4">
                  <c:v>Královéhradecký kraj</c:v>
                </c:pt>
                <c:pt idx="5">
                  <c:v>Liberecký kraj</c:v>
                </c:pt>
                <c:pt idx="6">
                  <c:v>Moravskoslezský kraj</c:v>
                </c:pt>
                <c:pt idx="7">
                  <c:v>Olomoucký kraj</c:v>
                </c:pt>
                <c:pt idx="8">
                  <c:v>Pardubický kraj</c:v>
                </c:pt>
                <c:pt idx="9">
                  <c:v>Plzeňský kraj</c:v>
                </c:pt>
                <c:pt idx="10">
                  <c:v>Středočeský kraj</c:v>
                </c:pt>
                <c:pt idx="11">
                  <c:v>Ústecký kraj</c:v>
                </c:pt>
                <c:pt idx="12">
                  <c:v>Vysočina</c:v>
                </c:pt>
                <c:pt idx="13">
                  <c:v>Zlínský kraj</c:v>
                </c:pt>
              </c:strCache>
              <c:extLst/>
            </c:strRef>
          </c:cat>
          <c:val>
            <c:numRef>
              <c:f>Statistika!$C$2:$C$16</c:f>
              <c:numCache>
                <c:formatCode>#\ ##0.0</c:formatCode>
                <c:ptCount val="14"/>
                <c:pt idx="0">
                  <c:v>0.57962172056131789</c:v>
                </c:pt>
                <c:pt idx="1">
                  <c:v>5.2165954850518608</c:v>
                </c:pt>
                <c:pt idx="2">
                  <c:v>11.561928004881025</c:v>
                </c:pt>
                <c:pt idx="3">
                  <c:v>4.3014032946918848</c:v>
                </c:pt>
                <c:pt idx="4">
                  <c:v>6.9554606467358147</c:v>
                </c:pt>
                <c:pt idx="5">
                  <c:v>14.002440512507626</c:v>
                </c:pt>
                <c:pt idx="6">
                  <c:v>10.860280658938377</c:v>
                </c:pt>
                <c:pt idx="7">
                  <c:v>6.1012812690665035</c:v>
                </c:pt>
                <c:pt idx="8">
                  <c:v>6.6198901769371563</c:v>
                </c:pt>
                <c:pt idx="9">
                  <c:v>6.680902989627822</c:v>
                </c:pt>
                <c:pt idx="10">
                  <c:v>7.657107992678462</c:v>
                </c:pt>
                <c:pt idx="11">
                  <c:v>10.768761439902379</c:v>
                </c:pt>
                <c:pt idx="12">
                  <c:v>3.8743136058572301</c:v>
                </c:pt>
                <c:pt idx="13">
                  <c:v>4.8200122025625376</c:v>
                </c:pt>
              </c:numCache>
              <c:extLst/>
            </c:numRef>
          </c:val>
          <c:extLst>
            <c:ext xmlns:c16="http://schemas.microsoft.com/office/drawing/2014/chart" uri="{C3380CC4-5D6E-409C-BE32-E72D297353CC}">
              <c16:uniqueId val="{00000000-8683-423A-B3EB-BCA7A1CB93D3}"/>
            </c:ext>
          </c:extLst>
        </c:ser>
        <c:ser>
          <c:idx val="3"/>
          <c:order val="1"/>
          <c:tx>
            <c:strRef>
              <c:f>Statistika!$E$1</c:f>
              <c:strCache>
                <c:ptCount val="1"/>
                <c:pt idx="0">
                  <c:v>Rozloha (%)</c:v>
                </c:pt>
              </c:strCache>
            </c:strRef>
          </c:tx>
          <c:spPr>
            <a:solidFill>
              <a:schemeClr val="accent6">
                <a:lumMod val="60000"/>
              </a:schemeClr>
            </a:solidFill>
            <a:ln>
              <a:noFill/>
            </a:ln>
            <a:effectLst/>
          </c:spPr>
          <c:invertIfNegative val="0"/>
          <c:cat>
            <c:strRef>
              <c:f>Statistika!$A$2:$A$15</c:f>
              <c:strCache>
                <c:ptCount val="14"/>
                <c:pt idx="0">
                  <c:v>Hlavní město Praha</c:v>
                </c:pt>
                <c:pt idx="1">
                  <c:v>Jihočeský kraj</c:v>
                </c:pt>
                <c:pt idx="2">
                  <c:v>Jihomoravský kraj</c:v>
                </c:pt>
                <c:pt idx="3">
                  <c:v>Karlovarský kraj</c:v>
                </c:pt>
                <c:pt idx="4">
                  <c:v>Královéhradecký kraj</c:v>
                </c:pt>
                <c:pt idx="5">
                  <c:v>Liberecký kraj</c:v>
                </c:pt>
                <c:pt idx="6">
                  <c:v>Moravskoslezský kraj</c:v>
                </c:pt>
                <c:pt idx="7">
                  <c:v>Olomoucký kraj</c:v>
                </c:pt>
                <c:pt idx="8">
                  <c:v>Pardubický kraj</c:v>
                </c:pt>
                <c:pt idx="9">
                  <c:v>Plzeňský kraj</c:v>
                </c:pt>
                <c:pt idx="10">
                  <c:v>Středočeský kraj</c:v>
                </c:pt>
                <c:pt idx="11">
                  <c:v>Ústecký kraj</c:v>
                </c:pt>
                <c:pt idx="12">
                  <c:v>Vysočina</c:v>
                </c:pt>
                <c:pt idx="13">
                  <c:v>Zlínský kraj</c:v>
                </c:pt>
              </c:strCache>
              <c:extLst/>
            </c:strRef>
          </c:cat>
          <c:val>
            <c:numRef>
              <c:f>Statistika!$E$2:$E$16</c:f>
              <c:numCache>
                <c:formatCode>#\ ##0.0</c:formatCode>
                <c:ptCount val="14"/>
                <c:pt idx="0">
                  <c:v>0.86487317288885679</c:v>
                </c:pt>
                <c:pt idx="1">
                  <c:v>4.301515618617489</c:v>
                </c:pt>
                <c:pt idx="2">
                  <c:v>12.136444985341964</c:v>
                </c:pt>
                <c:pt idx="3">
                  <c:v>4.1669310683811061</c:v>
                </c:pt>
                <c:pt idx="4">
                  <c:v>5.9562743211321276</c:v>
                </c:pt>
                <c:pt idx="5">
                  <c:v>6.900697269517126</c:v>
                </c:pt>
                <c:pt idx="6">
                  <c:v>15.901109026966466</c:v>
                </c:pt>
                <c:pt idx="7">
                  <c:v>4.9648720766136494</c:v>
                </c:pt>
                <c:pt idx="8">
                  <c:v>2.3844568539670266</c:v>
                </c:pt>
                <c:pt idx="9">
                  <c:v>8.0882041260478097</c:v>
                </c:pt>
                <c:pt idx="10">
                  <c:v>14.917771057646185</c:v>
                </c:pt>
                <c:pt idx="11">
                  <c:v>8.0533069482505422</c:v>
                </c:pt>
                <c:pt idx="12">
                  <c:v>6.5275568565763153</c:v>
                </c:pt>
                <c:pt idx="13">
                  <c:v>4.8359866180533304</c:v>
                </c:pt>
              </c:numCache>
              <c:extLst/>
            </c:numRef>
          </c:val>
          <c:extLst>
            <c:ext xmlns:c16="http://schemas.microsoft.com/office/drawing/2014/chart" uri="{C3380CC4-5D6E-409C-BE32-E72D297353CC}">
              <c16:uniqueId val="{00000001-8683-423A-B3EB-BCA7A1CB93D3}"/>
            </c:ext>
          </c:extLst>
        </c:ser>
        <c:dLbls>
          <c:showLegendKey val="0"/>
          <c:showVal val="0"/>
          <c:showCatName val="0"/>
          <c:showSerName val="0"/>
          <c:showPercent val="0"/>
          <c:showBubbleSize val="0"/>
        </c:dLbls>
        <c:gapWidth val="219"/>
        <c:overlap val="-27"/>
        <c:axId val="470661288"/>
        <c:axId val="470661680"/>
      </c:barChart>
      <c:catAx>
        <c:axId val="470661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0661680"/>
        <c:crosses val="autoZero"/>
        <c:auto val="1"/>
        <c:lblAlgn val="ctr"/>
        <c:lblOffset val="100"/>
        <c:noMultiLvlLbl val="0"/>
      </c:catAx>
      <c:valAx>
        <c:axId val="47066168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06612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sz="1200" b="1"/>
              <a:t>Graf 2: Rozdělení brownfieldů dle předchozího využití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1"/>
          <c:order val="0"/>
          <c:tx>
            <c:strRef>
              <c:f>'[Brownfieldy celkem.xlsx]Statistika'!$C$18</c:f>
              <c:strCache>
                <c:ptCount val="1"/>
                <c:pt idx="0">
                  <c:v>Počet (%)</c:v>
                </c:pt>
              </c:strCache>
            </c:strRef>
          </c:tx>
          <c:spPr>
            <a:solidFill>
              <a:schemeClr val="accent5"/>
            </a:solidFill>
            <a:ln>
              <a:noFill/>
            </a:ln>
            <a:effectLst/>
          </c:spPr>
          <c:invertIfNegative val="0"/>
          <c:cat>
            <c:strRef>
              <c:f>'[Brownfieldy celkem.xlsx]Statistika'!$A$19:$A$27</c:f>
              <c:strCache>
                <c:ptCount val="9"/>
                <c:pt idx="0">
                  <c:v>Bydlení</c:v>
                </c:pt>
                <c:pt idx="1">
                  <c:v>Cestovní ruch</c:v>
                </c:pt>
                <c:pt idx="2">
                  <c:v>Doprava</c:v>
                </c:pt>
                <c:pt idx="3">
                  <c:v>Jiné</c:v>
                </c:pt>
                <c:pt idx="4">
                  <c:v>Občanská vybavenost (kulturní domy, služby, obchod, atd.)</c:v>
                </c:pt>
                <c:pt idx="5">
                  <c:v>Průmysl</c:v>
                </c:pt>
                <c:pt idx="6">
                  <c:v>Těžba surovin</c:v>
                </c:pt>
                <c:pt idx="7">
                  <c:v>Vojenské areály, kasárny, střelnice</c:v>
                </c:pt>
                <c:pt idx="8">
                  <c:v>Zemědělství</c:v>
                </c:pt>
              </c:strCache>
            </c:strRef>
          </c:cat>
          <c:val>
            <c:numRef>
              <c:f>'[Brownfieldy celkem.xlsx]Statistika'!$C$19:$C$27</c:f>
              <c:numCache>
                <c:formatCode>#\ ##0.0</c:formatCode>
                <c:ptCount val="9"/>
                <c:pt idx="0">
                  <c:v>5.2776082977425256</c:v>
                </c:pt>
                <c:pt idx="1">
                  <c:v>1.4032946918852958</c:v>
                </c:pt>
                <c:pt idx="2">
                  <c:v>1.5863331299572909</c:v>
                </c:pt>
                <c:pt idx="3">
                  <c:v>6.0097620500305062</c:v>
                </c:pt>
                <c:pt idx="4">
                  <c:v>19.402074435631484</c:v>
                </c:pt>
                <c:pt idx="5">
                  <c:v>27.913361805979253</c:v>
                </c:pt>
                <c:pt idx="6">
                  <c:v>1.1897498474679682</c:v>
                </c:pt>
                <c:pt idx="7">
                  <c:v>6.4673581452104942</c:v>
                </c:pt>
                <c:pt idx="8">
                  <c:v>30.750457596095178</c:v>
                </c:pt>
              </c:numCache>
            </c:numRef>
          </c:val>
          <c:extLst>
            <c:ext xmlns:c16="http://schemas.microsoft.com/office/drawing/2014/chart" uri="{C3380CC4-5D6E-409C-BE32-E72D297353CC}">
              <c16:uniqueId val="{00000000-B65E-44C8-9AE4-A5C0DA678544}"/>
            </c:ext>
          </c:extLst>
        </c:ser>
        <c:ser>
          <c:idx val="3"/>
          <c:order val="1"/>
          <c:tx>
            <c:strRef>
              <c:f>'[Brownfieldy celkem.xlsx]Statistika'!$E$18</c:f>
              <c:strCache>
                <c:ptCount val="1"/>
                <c:pt idx="0">
                  <c:v>Rozloha (%)</c:v>
                </c:pt>
              </c:strCache>
            </c:strRef>
          </c:tx>
          <c:spPr>
            <a:solidFill>
              <a:schemeClr val="accent6">
                <a:lumMod val="60000"/>
              </a:schemeClr>
            </a:solidFill>
            <a:ln>
              <a:noFill/>
            </a:ln>
            <a:effectLst/>
          </c:spPr>
          <c:invertIfNegative val="0"/>
          <c:cat>
            <c:strRef>
              <c:f>'[Brownfieldy celkem.xlsx]Statistika'!$A$19:$A$27</c:f>
              <c:strCache>
                <c:ptCount val="9"/>
                <c:pt idx="0">
                  <c:v>Bydlení</c:v>
                </c:pt>
                <c:pt idx="1">
                  <c:v>Cestovní ruch</c:v>
                </c:pt>
                <c:pt idx="2">
                  <c:v>Doprava</c:v>
                </c:pt>
                <c:pt idx="3">
                  <c:v>Jiné</c:v>
                </c:pt>
                <c:pt idx="4">
                  <c:v>Občanská vybavenost (kulturní domy, služby, obchod, atd.)</c:v>
                </c:pt>
                <c:pt idx="5">
                  <c:v>Průmysl</c:v>
                </c:pt>
                <c:pt idx="6">
                  <c:v>Těžba surovin</c:v>
                </c:pt>
                <c:pt idx="7">
                  <c:v>Vojenské areály, kasárny, střelnice</c:v>
                </c:pt>
                <c:pt idx="8">
                  <c:v>Zemědělství</c:v>
                </c:pt>
              </c:strCache>
            </c:strRef>
          </c:cat>
          <c:val>
            <c:numRef>
              <c:f>'[Brownfieldy celkem.xlsx]Statistika'!$E$19:$E$27</c:f>
              <c:numCache>
                <c:formatCode>#\ ##0.0</c:formatCode>
                <c:ptCount val="9"/>
                <c:pt idx="0">
                  <c:v>0.6009358451721617</c:v>
                </c:pt>
                <c:pt idx="1">
                  <c:v>0.52465620254204559</c:v>
                </c:pt>
                <c:pt idx="2">
                  <c:v>1.5196408589224986</c:v>
                </c:pt>
                <c:pt idx="3">
                  <c:v>2.8689357247028417</c:v>
                </c:pt>
                <c:pt idx="4">
                  <c:v>5.4627151688873532</c:v>
                </c:pt>
                <c:pt idx="5">
                  <c:v>34.106089333762327</c:v>
                </c:pt>
                <c:pt idx="6">
                  <c:v>5.0693085088538297</c:v>
                </c:pt>
                <c:pt idx="7">
                  <c:v>27.986586561533031</c:v>
                </c:pt>
                <c:pt idx="8">
                  <c:v>21.861131795623908</c:v>
                </c:pt>
              </c:numCache>
            </c:numRef>
          </c:val>
          <c:extLst>
            <c:ext xmlns:c16="http://schemas.microsoft.com/office/drawing/2014/chart" uri="{C3380CC4-5D6E-409C-BE32-E72D297353CC}">
              <c16:uniqueId val="{00000001-B65E-44C8-9AE4-A5C0DA678544}"/>
            </c:ext>
          </c:extLst>
        </c:ser>
        <c:dLbls>
          <c:showLegendKey val="0"/>
          <c:showVal val="0"/>
          <c:showCatName val="0"/>
          <c:showSerName val="0"/>
          <c:showPercent val="0"/>
          <c:showBubbleSize val="0"/>
        </c:dLbls>
        <c:gapWidth val="219"/>
        <c:overlap val="-27"/>
        <c:axId val="470660896"/>
        <c:axId val="470663248"/>
      </c:barChart>
      <c:catAx>
        <c:axId val="47066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0663248"/>
        <c:crosses val="autoZero"/>
        <c:auto val="1"/>
        <c:lblAlgn val="ctr"/>
        <c:lblOffset val="100"/>
        <c:noMultiLvlLbl val="0"/>
      </c:catAx>
      <c:valAx>
        <c:axId val="470663248"/>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0660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sz="1200" b="1"/>
              <a:t>Graf 3:</a:t>
            </a:r>
            <a:r>
              <a:rPr lang="cs-CZ" sz="1200" b="1" baseline="0"/>
              <a:t> </a:t>
            </a:r>
            <a:r>
              <a:rPr lang="cs-CZ" sz="1200" b="1"/>
              <a:t>Rozdělení brownfieldů dle struktury vlastnictví (%)</a:t>
            </a:r>
          </a:p>
        </c:rich>
      </c:tx>
      <c:layout>
        <c:manualLayout>
          <c:xMode val="edge"/>
          <c:yMode val="edge"/>
          <c:x val="0.21324846310321791"/>
          <c:y val="3.15544027973379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1"/>
          <c:order val="0"/>
          <c:tx>
            <c:strRef>
              <c:f>'[Brownfieldy celkem.xlsx]Statistika'!$C$30</c:f>
              <c:strCache>
                <c:ptCount val="1"/>
                <c:pt idx="0">
                  <c:v>Počet (%)</c:v>
                </c:pt>
              </c:strCache>
            </c:strRef>
          </c:tx>
          <c:spPr>
            <a:solidFill>
              <a:schemeClr val="accent5"/>
            </a:solidFill>
            <a:ln>
              <a:noFill/>
            </a:ln>
            <a:effectLst/>
          </c:spPr>
          <c:invertIfNegative val="0"/>
          <c:cat>
            <c:strRef>
              <c:f>'[Brownfieldy celkem.xlsx]Statistika'!$A$31:$A$34</c:f>
              <c:strCache>
                <c:ptCount val="4"/>
                <c:pt idx="0">
                  <c:v>Soukromé</c:v>
                </c:pt>
                <c:pt idx="1">
                  <c:v>Veřejné</c:v>
                </c:pt>
                <c:pt idx="2">
                  <c:v>Kombinované</c:v>
                </c:pt>
                <c:pt idx="3">
                  <c:v>Neuvedeno</c:v>
                </c:pt>
              </c:strCache>
            </c:strRef>
          </c:cat>
          <c:val>
            <c:numRef>
              <c:f>'[Brownfieldy celkem.xlsx]Statistika'!$C$31:$C$34</c:f>
              <c:numCache>
                <c:formatCode>#\ ##0.0</c:formatCode>
                <c:ptCount val="4"/>
                <c:pt idx="0">
                  <c:v>55.094569859670528</c:v>
                </c:pt>
                <c:pt idx="1">
                  <c:v>28.126906650396581</c:v>
                </c:pt>
                <c:pt idx="2">
                  <c:v>14.948139109212935</c:v>
                </c:pt>
                <c:pt idx="3">
                  <c:v>1.8303843807199511</c:v>
                </c:pt>
              </c:numCache>
            </c:numRef>
          </c:val>
          <c:extLst>
            <c:ext xmlns:c16="http://schemas.microsoft.com/office/drawing/2014/chart" uri="{C3380CC4-5D6E-409C-BE32-E72D297353CC}">
              <c16:uniqueId val="{00000000-8DE5-41F9-A26B-A2249D121B81}"/>
            </c:ext>
          </c:extLst>
        </c:ser>
        <c:ser>
          <c:idx val="3"/>
          <c:order val="1"/>
          <c:tx>
            <c:strRef>
              <c:f>'[Brownfieldy celkem.xlsx]Statistika'!$E$30</c:f>
              <c:strCache>
                <c:ptCount val="1"/>
                <c:pt idx="0">
                  <c:v>Rozloha (%)</c:v>
                </c:pt>
              </c:strCache>
            </c:strRef>
          </c:tx>
          <c:spPr>
            <a:solidFill>
              <a:schemeClr val="accent6">
                <a:lumMod val="60000"/>
              </a:schemeClr>
            </a:solidFill>
            <a:ln>
              <a:noFill/>
            </a:ln>
            <a:effectLst/>
          </c:spPr>
          <c:invertIfNegative val="0"/>
          <c:cat>
            <c:strRef>
              <c:f>'[Brownfieldy celkem.xlsx]Statistika'!$A$31:$A$34</c:f>
              <c:strCache>
                <c:ptCount val="4"/>
                <c:pt idx="0">
                  <c:v>Soukromé</c:v>
                </c:pt>
                <c:pt idx="1">
                  <c:v>Veřejné</c:v>
                </c:pt>
                <c:pt idx="2">
                  <c:v>Kombinované</c:v>
                </c:pt>
                <c:pt idx="3">
                  <c:v>Neuvedeno</c:v>
                </c:pt>
              </c:strCache>
            </c:strRef>
          </c:cat>
          <c:val>
            <c:numRef>
              <c:f>'[Brownfieldy celkem.xlsx]Statistika'!$E$31:$E$34</c:f>
              <c:numCache>
                <c:formatCode>#\ ##0.0</c:formatCode>
                <c:ptCount val="4"/>
                <c:pt idx="0">
                  <c:v>72.812882854461364</c:v>
                </c:pt>
                <c:pt idx="1">
                  <c:v>19.893126472102704</c:v>
                </c:pt>
                <c:pt idx="2">
                  <c:v>5.8674265484890054</c:v>
                </c:pt>
                <c:pt idx="3">
                  <c:v>1.4265641249469165</c:v>
                </c:pt>
              </c:numCache>
            </c:numRef>
          </c:val>
          <c:extLst>
            <c:ext xmlns:c16="http://schemas.microsoft.com/office/drawing/2014/chart" uri="{C3380CC4-5D6E-409C-BE32-E72D297353CC}">
              <c16:uniqueId val="{00000001-8DE5-41F9-A26B-A2249D121B81}"/>
            </c:ext>
          </c:extLst>
        </c:ser>
        <c:dLbls>
          <c:showLegendKey val="0"/>
          <c:showVal val="0"/>
          <c:showCatName val="0"/>
          <c:showSerName val="0"/>
          <c:showPercent val="0"/>
          <c:showBubbleSize val="0"/>
        </c:dLbls>
        <c:gapWidth val="219"/>
        <c:overlap val="-27"/>
        <c:axId val="470656976"/>
        <c:axId val="470659720"/>
      </c:barChart>
      <c:catAx>
        <c:axId val="47065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0659720"/>
        <c:crosses val="autoZero"/>
        <c:auto val="1"/>
        <c:lblAlgn val="ctr"/>
        <c:lblOffset val="100"/>
        <c:noMultiLvlLbl val="0"/>
      </c:catAx>
      <c:valAx>
        <c:axId val="47065972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0656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0.57236</cdr:x>
      <cdr:y>0.90326</cdr:y>
    </cdr:from>
    <cdr:to>
      <cdr:x>1</cdr:x>
      <cdr:y>1</cdr:y>
    </cdr:to>
    <cdr:sp macro="" textlink="">
      <cdr:nvSpPr>
        <cdr:cNvPr id="2" name="Textové pole 2"/>
        <cdr:cNvSpPr txBox="1">
          <a:spLocks xmlns:a="http://schemas.openxmlformats.org/drawingml/2006/main" noChangeArrowheads="1"/>
        </cdr:cNvSpPr>
      </cdr:nvSpPr>
      <cdr:spPr bwMode="auto">
        <a:xfrm xmlns:a="http://schemas.openxmlformats.org/drawingml/2006/main">
          <a:off x="3521075" y="2252980"/>
          <a:ext cx="2630805" cy="2413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r">
            <a:spcAft>
              <a:spcPts val="0"/>
            </a:spcAft>
          </a:pPr>
          <a:r>
            <a:rPr lang="cs-CZ" sz="900"/>
            <a:t>Zdroj: Národní databáze brownfieldů, únor 2021</a:t>
          </a:r>
        </a:p>
        <a:p xmlns:a="http://schemas.openxmlformats.org/drawingml/2006/main">
          <a:pPr>
            <a:spcAft>
              <a:spcPts val="0"/>
            </a:spcAft>
          </a:pPr>
          <a:r>
            <a:rPr lang="cs-CZ" sz="900">
              <a:effectLst/>
              <a:latin typeface="Calibri" panose="020F0502020204030204" pitchFamily="34" charset="0"/>
              <a:ea typeface="Calibri" panose="020F0502020204030204" pitchFamily="34" charset="0"/>
            </a:rPr>
            <a:t> </a:t>
          </a:r>
          <a:endParaRPr lang="cs-CZ" sz="1100">
            <a:effectLst/>
            <a:latin typeface="Calibri" panose="020F0502020204030204" pitchFamily="34" charset="0"/>
            <a:ea typeface="Calibri" panose="020F0502020204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0.58896</cdr:x>
      <cdr:y>0.90686</cdr:y>
    </cdr:from>
    <cdr:to>
      <cdr:x>1</cdr:x>
      <cdr:y>1</cdr:y>
    </cdr:to>
    <cdr:sp macro="" textlink="">
      <cdr:nvSpPr>
        <cdr:cNvPr id="2" name="Textové pole 2"/>
        <cdr:cNvSpPr txBox="1">
          <a:spLocks xmlns:a="http://schemas.openxmlformats.org/drawingml/2006/main" noChangeArrowheads="1"/>
        </cdr:cNvSpPr>
      </cdr:nvSpPr>
      <cdr:spPr bwMode="auto">
        <a:xfrm xmlns:a="http://schemas.openxmlformats.org/drawingml/2006/main">
          <a:off x="3657600" y="2349493"/>
          <a:ext cx="2552700" cy="24130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cs-CZ" sz="900"/>
            <a:t>Zdroj: Národní databáze brownfieldů, únor 2021</a:t>
          </a:r>
        </a:p>
        <a:p xmlns:a="http://schemas.openxmlformats.org/drawingml/2006/main">
          <a:pPr algn="r">
            <a:spcAft>
              <a:spcPts val="0"/>
            </a:spcAft>
          </a:pPr>
          <a:r>
            <a:rPr lang="cs-CZ" sz="900">
              <a:effectLst/>
              <a:latin typeface="Calibri" panose="020F0502020204030204" pitchFamily="34" charset="0"/>
              <a:ea typeface="Calibri" panose="020F0502020204030204" pitchFamily="34" charset="0"/>
            </a:rPr>
            <a:t> </a:t>
          </a:r>
          <a:endParaRPr lang="cs-CZ" sz="1100">
            <a:effectLst/>
            <a:latin typeface="Calibri" panose="020F0502020204030204" pitchFamily="34" charset="0"/>
            <a:ea typeface="Calibri" panose="020F050202020403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0.85472</cdr:x>
      <cdr:y>0.73841</cdr:y>
    </cdr:from>
    <cdr:to>
      <cdr:x>1</cdr:x>
      <cdr:y>0.83727</cdr:y>
    </cdr:to>
    <cdr:sp macro="" textlink="">
      <cdr:nvSpPr>
        <cdr:cNvPr id="2" name="Textové pole 2"/>
        <cdr:cNvSpPr txBox="1">
          <a:spLocks xmlns:a="http://schemas.openxmlformats.org/drawingml/2006/main" noChangeArrowheads="1"/>
        </cdr:cNvSpPr>
      </cdr:nvSpPr>
      <cdr:spPr bwMode="auto">
        <a:xfrm xmlns:a="http://schemas.openxmlformats.org/drawingml/2006/main">
          <a:off x="5124091" y="1878833"/>
          <a:ext cx="870944" cy="2515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cs-CZ" sz="900"/>
            <a:t>Zdroj: Národní databáze brownfieldů, únor 2021</a:t>
          </a:r>
        </a:p>
        <a:p xmlns:a="http://schemas.openxmlformats.org/drawingml/2006/main">
          <a:pPr>
            <a:spcAft>
              <a:spcPts val="0"/>
            </a:spcAft>
          </a:pPr>
          <a:r>
            <a:rPr lang="cs-CZ" sz="900">
              <a:effectLst/>
              <a:latin typeface="Calibri" panose="020F0502020204030204" pitchFamily="34" charset="0"/>
              <a:ea typeface="Calibri" panose="020F0502020204030204" pitchFamily="34" charset="0"/>
            </a:rPr>
            <a:t> </a:t>
          </a:r>
          <a:endParaRPr lang="cs-CZ" sz="1100">
            <a:effectLst/>
            <a:latin typeface="Calibri" panose="020F0502020204030204" pitchFamily="34" charset="0"/>
            <a:ea typeface="Calibri" panose="020F0502020204030204" pitchFamily="34" charset="0"/>
          </a:endParaRPr>
        </a:p>
      </cdr:txBody>
    </cdr:sp>
  </cdr:relSizeAnchor>
</c:userShape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0BAA-46BC-4E37-9532-CF3300018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3.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 ds:uri="ae529b29-b2bb-4f0f-bf76-47ede62a77b9"/>
  </ds:schemaRefs>
</ds:datastoreItem>
</file>

<file path=customXml/itemProps4.xml><?xml version="1.0" encoding="utf-8"?>
<ds:datastoreItem xmlns:ds="http://schemas.openxmlformats.org/officeDocument/2006/customXml" ds:itemID="{58859929-6EED-49EC-8B94-199EEBEA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E065E766.dotm</Template>
  <TotalTime>7</TotalTime>
  <Pages>14</Pages>
  <Words>6473</Words>
  <Characters>38191</Characters>
  <Application>Microsoft Office Word</Application>
  <DocSecurity>0</DocSecurity>
  <Lines>318</Lines>
  <Paragraphs>89</Paragraphs>
  <ScaleCrop>false</ScaleCrop>
  <Company>Ministerstvo průmyslu a obchodu</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Pápai Adam</cp:lastModifiedBy>
  <cp:revision>1</cp:revision>
  <cp:lastPrinted>2020-12-10T19:08:00Z</cp:lastPrinted>
  <dcterms:created xsi:type="dcterms:W3CDTF">2021-05-14T12:00:00Z</dcterms:created>
  <dcterms:modified xsi:type="dcterms:W3CDTF">2021-09-06T11:02:00Z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4,5,6</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62efa105-c3f8-4cbe-8762-742b4054f362</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2021-05-14T12:00:13Z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