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C25425" w14:textId="3A54964B" w:rsidR="00F17AAA" w:rsidRPr="00CB1019" w:rsidRDefault="009F230F" w:rsidP="43DF8A4C">
      <w:pPr>
        <w:pStyle w:val="K-Nadpis1"/>
        <w:spacing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8"/>
          <w:szCs w:val="28"/>
        </w:rPr>
        <w:t xml:space="preserve">2.9 </w:t>
      </w:r>
      <w:r w:rsidR="005C63BA" w:rsidRPr="43DF8A4C">
        <w:rPr>
          <w:rFonts w:asciiTheme="minorHAnsi" w:eastAsiaTheme="minorEastAsia" w:hAnsiTheme="minorHAnsi" w:cstheme="minorBidi"/>
          <w:color w:val="auto"/>
          <w:sz w:val="28"/>
          <w:szCs w:val="28"/>
        </w:rPr>
        <w:t>Podpora</w:t>
      </w:r>
      <w:r w:rsidRPr="43DF8A4C">
        <w:rPr>
          <w:rFonts w:asciiTheme="minorHAnsi" w:eastAsiaTheme="minorEastAsia" w:hAnsiTheme="minorHAnsi" w:cstheme="minorBidi"/>
          <w:color w:val="auto"/>
          <w:sz w:val="28"/>
          <w:szCs w:val="28"/>
        </w:rPr>
        <w:t xml:space="preserve"> biodiverzity a boj se suchem</w:t>
      </w:r>
      <w:r>
        <w:br/>
      </w:r>
      <w:r w:rsidRPr="43DF8A4C">
        <w:rPr>
          <w:rStyle w:val="K-Nadpis2Char"/>
          <w:rFonts w:asciiTheme="minorHAnsi" w:eastAsiaTheme="minorEastAsia" w:hAnsiTheme="minorHAnsi" w:cstheme="minorBidi"/>
          <w:b/>
          <w:bCs/>
          <w:color w:val="auto"/>
          <w:sz w:val="20"/>
          <w:szCs w:val="20"/>
        </w:rPr>
        <w:t>1. Popis komponenty</w:t>
      </w:r>
    </w:p>
    <w:tbl>
      <w:tblPr>
        <w:tblStyle w:val="Mkatabulky"/>
        <w:tblW w:w="9771" w:type="dxa"/>
        <w:tblLayout w:type="fixed"/>
        <w:tblLook w:val="04A0" w:firstRow="1" w:lastRow="0" w:firstColumn="1" w:lastColumn="0" w:noHBand="0" w:noVBand="1"/>
      </w:tblPr>
      <w:tblGrid>
        <w:gridCol w:w="9771"/>
      </w:tblGrid>
      <w:tr w:rsidR="0B27C9BE" w14:paraId="1F16D00B" w14:textId="77777777" w:rsidTr="00DC4886">
        <w:tc>
          <w:tcPr>
            <w:tcW w:w="9771" w:type="dxa"/>
            <w:tcBorders>
              <w:top w:val="single" w:sz="8" w:space="0" w:color="auto"/>
              <w:left w:val="single" w:sz="8" w:space="0" w:color="auto"/>
              <w:bottom w:val="single" w:sz="8" w:space="0" w:color="auto"/>
              <w:right w:val="single" w:sz="8" w:space="0" w:color="auto"/>
            </w:tcBorders>
          </w:tcPr>
          <w:p w14:paraId="183882EB" w14:textId="30395143" w:rsidR="29C4FE54" w:rsidRPr="005C63BA" w:rsidRDefault="005C63BA" w:rsidP="43DF8A4C">
            <w:pPr>
              <w:spacing w:line="240" w:lineRule="auto"/>
              <w:jc w:val="both"/>
              <w:rPr>
                <w:rStyle w:val="K-Nadpis2Char"/>
                <w:rFonts w:asciiTheme="minorHAnsi" w:eastAsiaTheme="minorEastAsia" w:hAnsiTheme="minorHAnsi" w:cstheme="minorBidi"/>
                <w:color w:val="auto"/>
                <w:sz w:val="20"/>
                <w:szCs w:val="20"/>
              </w:rPr>
            </w:pPr>
            <w:r w:rsidRPr="43DF8A4C">
              <w:rPr>
                <w:rFonts w:asciiTheme="minorHAnsi" w:eastAsiaTheme="minorEastAsia" w:hAnsiTheme="minorHAnsi" w:cstheme="minorBidi"/>
                <w:b/>
                <w:bCs/>
                <w:color w:val="auto"/>
                <w:sz w:val="20"/>
                <w:szCs w:val="20"/>
              </w:rPr>
              <w:t xml:space="preserve">Podpora </w:t>
            </w:r>
            <w:r w:rsidR="29C4FE54" w:rsidRPr="43DF8A4C">
              <w:rPr>
                <w:rFonts w:asciiTheme="minorHAnsi" w:eastAsiaTheme="minorEastAsia" w:hAnsiTheme="minorHAnsi" w:cstheme="minorBidi"/>
                <w:b/>
                <w:bCs/>
                <w:color w:val="auto"/>
                <w:sz w:val="20"/>
                <w:szCs w:val="20"/>
              </w:rPr>
              <w:t>biodiverzity a boj se suchem</w:t>
            </w:r>
          </w:p>
          <w:p w14:paraId="72CA41DD" w14:textId="13818787" w:rsidR="0B27C9BE" w:rsidRDefault="0B27C9BE" w:rsidP="43DF8A4C">
            <w:pPr>
              <w:pStyle w:val="Default"/>
              <w:spacing w:after="120"/>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b/>
                <w:bCs/>
                <w:color w:val="000000" w:themeColor="text1"/>
                <w:sz w:val="20"/>
                <w:szCs w:val="20"/>
              </w:rPr>
              <w:t xml:space="preserve">Oblast politiky: </w:t>
            </w:r>
            <w:proofErr w:type="spellStart"/>
            <w:r w:rsidR="0B958F73" w:rsidRPr="43DF8A4C">
              <w:rPr>
                <w:rFonts w:asciiTheme="minorHAnsi" w:eastAsiaTheme="minorEastAsia" w:hAnsiTheme="minorHAnsi" w:cstheme="minorBidi"/>
                <w:i/>
                <w:iCs/>
                <w:color w:val="auto"/>
                <w:sz w:val="20"/>
                <w:szCs w:val="20"/>
              </w:rPr>
              <w:t>climate</w:t>
            </w:r>
            <w:proofErr w:type="spellEnd"/>
            <w:r w:rsidR="0B958F73" w:rsidRPr="43DF8A4C">
              <w:rPr>
                <w:rFonts w:asciiTheme="minorHAnsi" w:eastAsiaTheme="minorEastAsia" w:hAnsiTheme="minorHAnsi" w:cstheme="minorBidi"/>
                <w:i/>
                <w:iCs/>
                <w:color w:val="auto"/>
                <w:sz w:val="20"/>
                <w:szCs w:val="20"/>
              </w:rPr>
              <w:t xml:space="preserve"> </w:t>
            </w:r>
            <w:proofErr w:type="spellStart"/>
            <w:r w:rsidR="0B958F73" w:rsidRPr="43DF8A4C">
              <w:rPr>
                <w:rFonts w:asciiTheme="minorHAnsi" w:eastAsiaTheme="minorEastAsia" w:hAnsiTheme="minorHAnsi" w:cstheme="minorBidi"/>
                <w:i/>
                <w:iCs/>
                <w:color w:val="auto"/>
                <w:sz w:val="20"/>
                <w:szCs w:val="20"/>
              </w:rPr>
              <w:t>policy</w:t>
            </w:r>
            <w:proofErr w:type="spellEnd"/>
            <w:r w:rsidR="0B958F73" w:rsidRPr="43DF8A4C">
              <w:rPr>
                <w:rFonts w:asciiTheme="minorHAnsi" w:eastAsiaTheme="minorEastAsia" w:hAnsiTheme="minorHAnsi" w:cstheme="minorBidi"/>
                <w:i/>
                <w:iCs/>
                <w:color w:val="auto"/>
                <w:sz w:val="20"/>
                <w:szCs w:val="20"/>
              </w:rPr>
              <w:t xml:space="preserve">, </w:t>
            </w:r>
            <w:proofErr w:type="spellStart"/>
            <w:r w:rsidR="0B958F73" w:rsidRPr="43DF8A4C">
              <w:rPr>
                <w:rFonts w:asciiTheme="minorHAnsi" w:eastAsiaTheme="minorEastAsia" w:hAnsiTheme="minorHAnsi" w:cstheme="minorBidi"/>
                <w:i/>
                <w:iCs/>
                <w:color w:val="auto"/>
                <w:sz w:val="20"/>
                <w:szCs w:val="20"/>
              </w:rPr>
              <w:t>adaptation</w:t>
            </w:r>
            <w:proofErr w:type="spellEnd"/>
            <w:r w:rsidR="0B958F73" w:rsidRPr="43DF8A4C">
              <w:rPr>
                <w:rFonts w:asciiTheme="minorHAnsi" w:eastAsiaTheme="minorEastAsia" w:hAnsiTheme="minorHAnsi" w:cstheme="minorBidi"/>
                <w:i/>
                <w:iCs/>
                <w:color w:val="auto"/>
                <w:sz w:val="20"/>
                <w:szCs w:val="20"/>
              </w:rPr>
              <w:t xml:space="preserve">, </w:t>
            </w:r>
            <w:proofErr w:type="spellStart"/>
            <w:r w:rsidR="0B958F73" w:rsidRPr="43DF8A4C">
              <w:rPr>
                <w:rFonts w:asciiTheme="minorHAnsi" w:eastAsiaTheme="minorEastAsia" w:hAnsiTheme="minorHAnsi" w:cstheme="minorBidi"/>
                <w:i/>
                <w:iCs/>
                <w:color w:val="auto"/>
                <w:sz w:val="20"/>
                <w:szCs w:val="20"/>
              </w:rPr>
              <w:t>drought</w:t>
            </w:r>
            <w:proofErr w:type="spellEnd"/>
            <w:r w:rsidR="0B958F73" w:rsidRPr="43DF8A4C">
              <w:rPr>
                <w:rFonts w:asciiTheme="minorHAnsi" w:eastAsiaTheme="minorEastAsia" w:hAnsiTheme="minorHAnsi" w:cstheme="minorBidi"/>
                <w:i/>
                <w:iCs/>
                <w:color w:val="auto"/>
                <w:sz w:val="20"/>
                <w:szCs w:val="20"/>
              </w:rPr>
              <w:t xml:space="preserve"> and </w:t>
            </w:r>
            <w:proofErr w:type="spellStart"/>
            <w:r w:rsidR="0B958F73" w:rsidRPr="43DF8A4C">
              <w:rPr>
                <w:rFonts w:asciiTheme="minorHAnsi" w:eastAsiaTheme="minorEastAsia" w:hAnsiTheme="minorHAnsi" w:cstheme="minorBidi"/>
                <w:i/>
                <w:iCs/>
                <w:color w:val="auto"/>
                <w:sz w:val="20"/>
                <w:szCs w:val="20"/>
              </w:rPr>
              <w:t>water</w:t>
            </w:r>
            <w:proofErr w:type="spellEnd"/>
            <w:r w:rsidR="0B958F73" w:rsidRPr="43DF8A4C">
              <w:rPr>
                <w:rFonts w:asciiTheme="minorHAnsi" w:eastAsiaTheme="minorEastAsia" w:hAnsiTheme="minorHAnsi" w:cstheme="minorBidi"/>
                <w:i/>
                <w:iCs/>
                <w:color w:val="auto"/>
                <w:sz w:val="20"/>
                <w:szCs w:val="20"/>
              </w:rPr>
              <w:t xml:space="preserve"> management, biodiversity </w:t>
            </w:r>
            <w:proofErr w:type="spellStart"/>
            <w:r w:rsidR="0B958F73" w:rsidRPr="43DF8A4C">
              <w:rPr>
                <w:rFonts w:asciiTheme="minorHAnsi" w:eastAsiaTheme="minorEastAsia" w:hAnsiTheme="minorHAnsi" w:cstheme="minorBidi"/>
                <w:i/>
                <w:iCs/>
                <w:color w:val="auto"/>
                <w:sz w:val="20"/>
                <w:szCs w:val="20"/>
              </w:rPr>
              <w:t>protection</w:t>
            </w:r>
            <w:proofErr w:type="spellEnd"/>
          </w:p>
          <w:p w14:paraId="119CEBC8" w14:textId="63BE3375" w:rsidR="0B27C9BE" w:rsidRDefault="0B27C9BE" w:rsidP="43DF8A4C">
            <w:pPr>
              <w:spacing w:line="240" w:lineRule="auto"/>
              <w:jc w:val="both"/>
              <w:rPr>
                <w:rFonts w:asciiTheme="minorHAnsi" w:eastAsiaTheme="minorEastAsia" w:hAnsiTheme="minorHAnsi" w:cstheme="minorBidi"/>
                <w:b/>
                <w:bCs/>
                <w:sz w:val="20"/>
                <w:szCs w:val="20"/>
              </w:rPr>
            </w:pPr>
            <w:r w:rsidRPr="43DF8A4C">
              <w:rPr>
                <w:rFonts w:asciiTheme="minorHAnsi" w:eastAsiaTheme="minorEastAsia" w:hAnsiTheme="minorHAnsi" w:cstheme="minorBidi"/>
                <w:b/>
                <w:bCs/>
                <w:sz w:val="20"/>
                <w:szCs w:val="20"/>
              </w:rPr>
              <w:t xml:space="preserve">Cíl: </w:t>
            </w:r>
          </w:p>
          <w:p w14:paraId="272DA1CF" w14:textId="38C7C028" w:rsidR="100070B0" w:rsidRDefault="100070B0" w:rsidP="43DF8A4C">
            <w:pPr>
              <w:pStyle w:val="Default"/>
              <w:spacing w:after="120"/>
              <w:jc w:val="both"/>
              <w:rPr>
                <w:rFonts w:asciiTheme="minorHAnsi" w:eastAsiaTheme="minorEastAsia" w:hAnsiTheme="minorHAnsi" w:cstheme="minorBidi"/>
                <w:color w:val="auto"/>
                <w:sz w:val="20"/>
                <w:szCs w:val="20"/>
              </w:rPr>
            </w:pPr>
            <w:r w:rsidRPr="43DF8A4C">
              <w:rPr>
                <w:rStyle w:val="K-TextChar"/>
                <w:rFonts w:asciiTheme="minorHAnsi" w:eastAsiaTheme="minorEastAsia" w:hAnsiTheme="minorHAnsi" w:cstheme="minorBidi"/>
                <w:color w:val="auto"/>
                <w:sz w:val="20"/>
                <w:szCs w:val="20"/>
              </w:rPr>
              <w:t xml:space="preserve">Cílem komponenty je podpořit </w:t>
            </w:r>
            <w:r w:rsidRPr="43DF8A4C">
              <w:rPr>
                <w:rFonts w:asciiTheme="minorHAnsi" w:eastAsiaTheme="minorEastAsia" w:hAnsiTheme="minorHAnsi" w:cstheme="minorBidi"/>
                <w:color w:val="auto"/>
                <w:sz w:val="20"/>
                <w:szCs w:val="20"/>
                <w:highlight w:val="white"/>
              </w:rPr>
              <w:t>hospodaření se srážkovými vodami</w:t>
            </w:r>
            <w:r w:rsidRPr="43DF8A4C">
              <w:rPr>
                <w:rFonts w:asciiTheme="minorHAnsi" w:eastAsiaTheme="minorEastAsia" w:hAnsiTheme="minorHAnsi" w:cstheme="minorBidi"/>
                <w:color w:val="auto"/>
                <w:sz w:val="20"/>
                <w:szCs w:val="20"/>
              </w:rPr>
              <w:t xml:space="preserve"> v </w:t>
            </w:r>
            <w:proofErr w:type="spellStart"/>
            <w:r w:rsidRPr="43DF8A4C">
              <w:rPr>
                <w:rFonts w:asciiTheme="minorHAnsi" w:eastAsiaTheme="minorEastAsia" w:hAnsiTheme="minorHAnsi" w:cstheme="minorBidi"/>
                <w:color w:val="auto"/>
                <w:sz w:val="20"/>
                <w:szCs w:val="20"/>
              </w:rPr>
              <w:t>intravilánu</w:t>
            </w:r>
            <w:proofErr w:type="spellEnd"/>
            <w:r w:rsidRPr="43DF8A4C">
              <w:rPr>
                <w:rFonts w:asciiTheme="minorHAnsi" w:eastAsiaTheme="minorEastAsia" w:hAnsiTheme="minorHAnsi" w:cstheme="minorBidi"/>
                <w:color w:val="auto"/>
                <w:sz w:val="20"/>
                <w:szCs w:val="20"/>
              </w:rPr>
              <w:t xml:space="preserve"> a zajistit ochranu proti suchu a </w:t>
            </w:r>
            <w:r w:rsidRPr="43DF8A4C">
              <w:rPr>
                <w:rFonts w:asciiTheme="minorHAnsi" w:eastAsiaTheme="minorEastAsia" w:hAnsiTheme="minorHAnsi" w:cstheme="minorBidi"/>
                <w:color w:val="auto"/>
                <w:sz w:val="20"/>
                <w:szCs w:val="20"/>
                <w:highlight w:val="white"/>
              </w:rPr>
              <w:t xml:space="preserve">přírodě blízkou povodňovou ochranu </w:t>
            </w:r>
            <w:proofErr w:type="spellStart"/>
            <w:r w:rsidRPr="43DF8A4C">
              <w:rPr>
                <w:rFonts w:asciiTheme="minorHAnsi" w:eastAsiaTheme="minorEastAsia" w:hAnsiTheme="minorHAnsi" w:cstheme="minorBidi"/>
                <w:color w:val="auto"/>
                <w:sz w:val="20"/>
                <w:szCs w:val="20"/>
                <w:highlight w:val="white"/>
              </w:rPr>
              <w:t>intravilánu</w:t>
            </w:r>
            <w:proofErr w:type="spellEnd"/>
            <w:r w:rsidRPr="43DF8A4C">
              <w:rPr>
                <w:rFonts w:asciiTheme="minorHAnsi" w:eastAsiaTheme="minorEastAsia" w:hAnsiTheme="minorHAnsi" w:cstheme="minorBidi"/>
                <w:color w:val="auto"/>
                <w:sz w:val="20"/>
                <w:szCs w:val="20"/>
                <w:highlight w:val="white"/>
              </w:rPr>
              <w:t xml:space="preserve"> města Brna. </w:t>
            </w:r>
            <w:r w:rsidRPr="43DF8A4C">
              <w:rPr>
                <w:rFonts w:asciiTheme="minorHAnsi" w:eastAsiaTheme="minorEastAsia" w:hAnsiTheme="minorHAnsi" w:cstheme="minorBidi"/>
                <w:color w:val="auto"/>
                <w:sz w:val="20"/>
                <w:szCs w:val="20"/>
              </w:rPr>
              <w:t>Komponenta dále cílí na zachování a zlepšování stavu předmětů ochrany zvláště chráněných území a území soustavy Natura 2000, obnovu vodních, nelesních a lesních ekosystémů a zmírnění dopadů změny klimatu na tyto ekosystémy, podporu biodiverzity a regulaci šíření invazních druhů.</w:t>
            </w:r>
          </w:p>
          <w:p w14:paraId="2012F91D" w14:textId="410C2B50" w:rsidR="0B27C9BE" w:rsidRDefault="0B27C9BE" w:rsidP="43DF8A4C">
            <w:pPr>
              <w:spacing w:line="240" w:lineRule="auto"/>
              <w:jc w:val="both"/>
              <w:rPr>
                <w:rFonts w:asciiTheme="minorHAnsi" w:eastAsiaTheme="minorEastAsia" w:hAnsiTheme="minorHAnsi" w:cstheme="minorBidi"/>
                <w:b/>
                <w:bCs/>
                <w:sz w:val="20"/>
                <w:szCs w:val="20"/>
              </w:rPr>
            </w:pPr>
            <w:r w:rsidRPr="43DF8A4C">
              <w:rPr>
                <w:rFonts w:asciiTheme="minorHAnsi" w:eastAsiaTheme="minorEastAsia" w:hAnsiTheme="minorHAnsi" w:cstheme="minorBidi"/>
                <w:b/>
                <w:bCs/>
                <w:sz w:val="20"/>
                <w:szCs w:val="20"/>
              </w:rPr>
              <w:t xml:space="preserve">Reformy a investice: </w:t>
            </w:r>
          </w:p>
          <w:p w14:paraId="02325CFA" w14:textId="04ECC206" w:rsidR="05840013" w:rsidRPr="00111C2C" w:rsidRDefault="05840013" w:rsidP="00111C2C">
            <w:pPr>
              <w:spacing w:after="0" w:line="240" w:lineRule="auto"/>
              <w:jc w:val="both"/>
            </w:pPr>
            <w:r w:rsidRPr="00A463A7">
              <w:rPr>
                <w:rFonts w:asciiTheme="minorHAnsi" w:hAnsiTheme="minorHAnsi"/>
                <w:b/>
                <w:color w:val="auto"/>
                <w:sz w:val="20"/>
              </w:rPr>
              <w:t>1.</w:t>
            </w:r>
            <w:hyperlink r:id="rId11">
              <w:r w:rsidRPr="43DF8A4C">
                <w:rPr>
                  <w:rStyle w:val="Hypertextovodkaz"/>
                  <w:rFonts w:asciiTheme="minorHAnsi" w:eastAsiaTheme="minorEastAsia" w:hAnsiTheme="minorHAnsi" w:cstheme="minorBidi"/>
                  <w:b/>
                  <w:bCs/>
                  <w:color w:val="auto"/>
                  <w:sz w:val="20"/>
                  <w:szCs w:val="20"/>
                  <w:u w:val="none"/>
                </w:rPr>
                <w:t> </w:t>
              </w:r>
              <w:r w:rsidRPr="43DF8A4C">
                <w:rPr>
                  <w:rStyle w:val="Hypertextovodkaz"/>
                  <w:rFonts w:asciiTheme="minorHAnsi" w:eastAsiaTheme="minorEastAsia" w:hAnsiTheme="minorHAnsi" w:cstheme="minorBidi"/>
                  <w:b/>
                  <w:bCs/>
                  <w:color w:val="auto"/>
                  <w:sz w:val="20"/>
                  <w:szCs w:val="20"/>
                  <w:highlight w:val="white"/>
                  <w:u w:val="none"/>
                </w:rPr>
                <w:t>Zajistit</w:t>
              </w:r>
            </w:hyperlink>
            <w:r w:rsidRPr="00A463A7">
              <w:rPr>
                <w:rFonts w:asciiTheme="minorHAnsi" w:hAnsiTheme="minorHAnsi"/>
                <w:b/>
                <w:color w:val="auto"/>
                <w:sz w:val="20"/>
                <w:highlight w:val="white"/>
              </w:rPr>
              <w:t xml:space="preserve"> ochranu proti suchu a přírodě blízkou povodňovou ochranu </w:t>
            </w:r>
            <w:proofErr w:type="spellStart"/>
            <w:r w:rsidRPr="00A463A7">
              <w:rPr>
                <w:rFonts w:asciiTheme="minorHAnsi" w:hAnsiTheme="minorHAnsi"/>
                <w:b/>
                <w:color w:val="auto"/>
                <w:sz w:val="20"/>
                <w:highlight w:val="white"/>
              </w:rPr>
              <w:t>intravilánu</w:t>
            </w:r>
            <w:proofErr w:type="spellEnd"/>
            <w:r w:rsidRPr="00A463A7">
              <w:rPr>
                <w:rFonts w:asciiTheme="minorHAnsi" w:hAnsiTheme="minorHAnsi"/>
                <w:b/>
                <w:color w:val="auto"/>
                <w:sz w:val="20"/>
                <w:highlight w:val="white"/>
              </w:rPr>
              <w:t xml:space="preserve"> města Brna</w:t>
            </w:r>
            <w:r w:rsidRPr="00A463A7">
              <w:rPr>
                <w:rFonts w:asciiTheme="minorHAnsi" w:hAnsiTheme="minorHAnsi"/>
                <w:color w:val="auto"/>
                <w:sz w:val="20"/>
                <w:highlight w:val="white"/>
              </w:rPr>
              <w:t xml:space="preserve">, </w:t>
            </w:r>
            <w:r w:rsidR="00546D02" w:rsidRPr="00A463A7">
              <w:rPr>
                <w:rFonts w:asciiTheme="minorHAnsi" w:hAnsiTheme="minorHAnsi"/>
                <w:sz w:val="20"/>
                <w:szCs w:val="20"/>
                <w:highlight w:val="white"/>
              </w:rPr>
              <w:t>projektem dojde k</w:t>
            </w:r>
            <w:r w:rsidR="00FC1633">
              <w:rPr>
                <w:rFonts w:asciiTheme="minorHAnsi" w:hAnsiTheme="minorHAnsi"/>
                <w:sz w:val="20"/>
                <w:szCs w:val="20"/>
                <w:highlight w:val="white"/>
              </w:rPr>
              <w:t xml:space="preserve"> realizaci opatření zajišťující </w:t>
            </w:r>
            <w:r w:rsidR="00CA6D5C" w:rsidRPr="00A463A7">
              <w:rPr>
                <w:rFonts w:asciiTheme="minorHAnsi" w:hAnsiTheme="minorHAnsi"/>
                <w:sz w:val="20"/>
                <w:szCs w:val="20"/>
              </w:rPr>
              <w:t>přírodě blízk</w:t>
            </w:r>
            <w:r w:rsidR="00FC1633">
              <w:rPr>
                <w:rFonts w:asciiTheme="minorHAnsi" w:hAnsiTheme="minorHAnsi"/>
                <w:sz w:val="20"/>
                <w:szCs w:val="20"/>
              </w:rPr>
              <w:t>ou</w:t>
            </w:r>
            <w:r w:rsidR="00CA6D5C" w:rsidRPr="00A463A7">
              <w:rPr>
                <w:rFonts w:asciiTheme="minorHAnsi" w:hAnsiTheme="minorHAnsi"/>
                <w:sz w:val="20"/>
                <w:szCs w:val="20"/>
              </w:rPr>
              <w:t xml:space="preserve"> povodňov</w:t>
            </w:r>
            <w:r w:rsidR="00FC1633">
              <w:rPr>
                <w:rFonts w:asciiTheme="minorHAnsi" w:hAnsiTheme="minorHAnsi"/>
                <w:sz w:val="20"/>
                <w:szCs w:val="20"/>
              </w:rPr>
              <w:t>ou</w:t>
            </w:r>
            <w:r w:rsidR="00CA6D5C" w:rsidRPr="00A463A7">
              <w:rPr>
                <w:rFonts w:asciiTheme="minorHAnsi" w:hAnsiTheme="minorHAnsi"/>
                <w:sz w:val="20"/>
                <w:szCs w:val="20"/>
              </w:rPr>
              <w:t xml:space="preserve"> ochran</w:t>
            </w:r>
            <w:r w:rsidR="00FC1633">
              <w:rPr>
                <w:rFonts w:asciiTheme="minorHAnsi" w:hAnsiTheme="minorHAnsi"/>
                <w:sz w:val="20"/>
                <w:szCs w:val="20"/>
              </w:rPr>
              <w:t>u</w:t>
            </w:r>
            <w:r w:rsidR="00CA6D5C" w:rsidRPr="00A463A7">
              <w:rPr>
                <w:rFonts w:asciiTheme="minorHAnsi" w:hAnsiTheme="minorHAnsi"/>
                <w:sz w:val="20"/>
                <w:szCs w:val="20"/>
              </w:rPr>
              <w:t xml:space="preserve"> </w:t>
            </w:r>
            <w:proofErr w:type="spellStart"/>
            <w:r w:rsidR="00CA6D5C" w:rsidRPr="00A463A7">
              <w:rPr>
                <w:rFonts w:asciiTheme="minorHAnsi" w:hAnsiTheme="minorHAnsi"/>
                <w:sz w:val="20"/>
                <w:szCs w:val="20"/>
              </w:rPr>
              <w:t>intravilánu</w:t>
            </w:r>
            <w:proofErr w:type="spellEnd"/>
            <w:r w:rsidR="00CA6D5C" w:rsidRPr="00A463A7">
              <w:rPr>
                <w:rFonts w:asciiTheme="minorHAnsi" w:hAnsiTheme="minorHAnsi"/>
                <w:sz w:val="20"/>
                <w:szCs w:val="20"/>
              </w:rPr>
              <w:t xml:space="preserve"> města Brna</w:t>
            </w:r>
            <w:r w:rsidR="00546D02" w:rsidRPr="00A463A7">
              <w:rPr>
                <w:rFonts w:asciiTheme="minorHAnsi" w:hAnsiTheme="minorHAnsi"/>
                <w:sz w:val="20"/>
                <w:szCs w:val="20"/>
              </w:rPr>
              <w:t>.</w:t>
            </w:r>
            <w:r w:rsidR="00CA6D5C" w:rsidRPr="00A463A7">
              <w:rPr>
                <w:rFonts w:asciiTheme="minorHAnsi" w:hAnsiTheme="minorHAnsi"/>
                <w:sz w:val="20"/>
                <w:szCs w:val="20"/>
              </w:rPr>
              <w:t xml:space="preserve"> </w:t>
            </w:r>
            <w:r w:rsidR="00546D02" w:rsidRPr="00A463A7">
              <w:rPr>
                <w:rFonts w:asciiTheme="minorHAnsi" w:hAnsiTheme="minorHAnsi"/>
                <w:sz w:val="20"/>
                <w:szCs w:val="20"/>
              </w:rPr>
              <w:t>C</w:t>
            </w:r>
            <w:r w:rsidR="00CA6D5C" w:rsidRPr="00A463A7">
              <w:rPr>
                <w:rFonts w:asciiTheme="minorHAnsi" w:hAnsiTheme="minorHAnsi"/>
                <w:sz w:val="20"/>
                <w:szCs w:val="20"/>
              </w:rPr>
              <w:t>ílem</w:t>
            </w:r>
            <w:r w:rsidR="00FC1633">
              <w:rPr>
                <w:rFonts w:asciiTheme="minorHAnsi" w:hAnsiTheme="minorHAnsi"/>
                <w:sz w:val="20"/>
                <w:szCs w:val="20"/>
              </w:rPr>
              <w:t xml:space="preserve"> opatření</w:t>
            </w:r>
            <w:r w:rsidR="00CA6D5C" w:rsidRPr="00A463A7">
              <w:rPr>
                <w:rFonts w:asciiTheme="minorHAnsi" w:hAnsiTheme="minorHAnsi"/>
                <w:sz w:val="20"/>
                <w:szCs w:val="20"/>
              </w:rPr>
              <w:t xml:space="preserve"> je zajistit přirozený tlumivý rozliv povodní v nivě (snížení kapacity koryta a umožnění rozlivu); úprava kapacity koryta složeným profilem; úpravy nevhodného opevnění; zvýšení členitosti a zlepšení morfologie koryta vodního toku;</w:t>
            </w:r>
            <w:r w:rsidR="00CA6D5C" w:rsidRPr="00A463A7" w:rsidDel="00E07FFA">
              <w:rPr>
                <w:rFonts w:asciiTheme="minorHAnsi" w:hAnsiTheme="minorHAnsi"/>
                <w:sz w:val="20"/>
                <w:szCs w:val="20"/>
              </w:rPr>
              <w:t xml:space="preserve"> </w:t>
            </w:r>
            <w:r w:rsidR="00CA6D5C" w:rsidRPr="00A463A7">
              <w:rPr>
                <w:rFonts w:asciiTheme="minorHAnsi" w:hAnsiTheme="minorHAnsi"/>
                <w:sz w:val="20"/>
                <w:szCs w:val="20"/>
              </w:rPr>
              <w:t>tvorba mokřin a tůní.</w:t>
            </w:r>
          </w:p>
          <w:p w14:paraId="14A2C6C6" w14:textId="77777777" w:rsidR="05840013" w:rsidRDefault="05840013" w:rsidP="43DF8A4C">
            <w:pPr>
              <w:pStyle w:val="Default"/>
              <w:spacing w:after="120"/>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b/>
                <w:bCs/>
                <w:color w:val="auto"/>
                <w:sz w:val="20"/>
                <w:szCs w:val="20"/>
              </w:rPr>
              <w:t>2.</w:t>
            </w:r>
            <w:r w:rsidRPr="43DF8A4C">
              <w:rPr>
                <w:rFonts w:asciiTheme="minorHAnsi" w:eastAsiaTheme="minorEastAsia" w:hAnsiTheme="minorHAnsi" w:cstheme="minorBidi"/>
                <w:color w:val="auto"/>
                <w:sz w:val="20"/>
                <w:szCs w:val="20"/>
              </w:rPr>
              <w:t xml:space="preserve"> </w:t>
            </w:r>
            <w:r w:rsidRPr="43DF8A4C">
              <w:rPr>
                <w:rFonts w:asciiTheme="minorHAnsi" w:eastAsiaTheme="minorEastAsia" w:hAnsiTheme="minorHAnsi" w:cstheme="minorBidi"/>
                <w:b/>
                <w:bCs/>
                <w:color w:val="auto"/>
                <w:sz w:val="20"/>
                <w:szCs w:val="20"/>
              </w:rPr>
              <w:t>Hospodaření se srážkovými vodami v </w:t>
            </w:r>
            <w:proofErr w:type="spellStart"/>
            <w:r w:rsidRPr="43DF8A4C">
              <w:rPr>
                <w:rFonts w:asciiTheme="minorHAnsi" w:eastAsiaTheme="minorEastAsia" w:hAnsiTheme="minorHAnsi" w:cstheme="minorBidi"/>
                <w:b/>
                <w:bCs/>
                <w:color w:val="auto"/>
                <w:sz w:val="20"/>
                <w:szCs w:val="20"/>
              </w:rPr>
              <w:t>intravilánu</w:t>
            </w:r>
            <w:proofErr w:type="spellEnd"/>
            <w:r w:rsidRPr="43DF8A4C">
              <w:rPr>
                <w:rFonts w:asciiTheme="minorHAnsi" w:eastAsiaTheme="minorEastAsia" w:hAnsiTheme="minorHAnsi" w:cstheme="minorBidi"/>
                <w:b/>
                <w:bCs/>
                <w:color w:val="auto"/>
                <w:sz w:val="20"/>
                <w:szCs w:val="20"/>
              </w:rPr>
              <w:t xml:space="preserve"> </w:t>
            </w:r>
            <w:r w:rsidRPr="00A463A7">
              <w:rPr>
                <w:rFonts w:asciiTheme="minorHAnsi" w:hAnsiTheme="minorHAnsi"/>
                <w:color w:val="auto"/>
                <w:sz w:val="20"/>
              </w:rPr>
              <w:t>(</w:t>
            </w:r>
            <w:r w:rsidRPr="43DF8A4C">
              <w:rPr>
                <w:rFonts w:asciiTheme="minorHAnsi" w:eastAsiaTheme="minorEastAsia" w:hAnsiTheme="minorHAnsi" w:cstheme="minorBidi"/>
                <w:color w:val="auto"/>
                <w:sz w:val="20"/>
                <w:szCs w:val="20"/>
              </w:rPr>
              <w:t xml:space="preserve">mezi podporovaná opatření patří povrchová vsakovací a retenční zařízení doplněná zelení (plošný vsak, </w:t>
            </w:r>
            <w:proofErr w:type="spellStart"/>
            <w:r w:rsidRPr="43DF8A4C">
              <w:rPr>
                <w:rFonts w:asciiTheme="minorHAnsi" w:eastAsiaTheme="minorEastAsia" w:hAnsiTheme="minorHAnsi" w:cstheme="minorBidi"/>
                <w:color w:val="auto"/>
                <w:sz w:val="20"/>
                <w:szCs w:val="20"/>
              </w:rPr>
              <w:t>průleh</w:t>
            </w:r>
            <w:proofErr w:type="spellEnd"/>
            <w:r w:rsidRPr="43DF8A4C">
              <w:rPr>
                <w:rFonts w:asciiTheme="minorHAnsi" w:eastAsiaTheme="minorEastAsia" w:hAnsiTheme="minorHAnsi" w:cstheme="minorBidi"/>
                <w:color w:val="auto"/>
                <w:sz w:val="20"/>
                <w:szCs w:val="20"/>
              </w:rPr>
              <w:t xml:space="preserve">, </w:t>
            </w:r>
            <w:proofErr w:type="spellStart"/>
            <w:r w:rsidRPr="43DF8A4C">
              <w:rPr>
                <w:rFonts w:asciiTheme="minorHAnsi" w:eastAsiaTheme="minorEastAsia" w:hAnsiTheme="minorHAnsi" w:cstheme="minorBidi"/>
                <w:color w:val="auto"/>
                <w:sz w:val="20"/>
                <w:szCs w:val="20"/>
              </w:rPr>
              <w:t>průleh</w:t>
            </w:r>
            <w:proofErr w:type="spellEnd"/>
            <w:r w:rsidRPr="43DF8A4C">
              <w:rPr>
                <w:rFonts w:asciiTheme="minorHAnsi" w:eastAsiaTheme="minorEastAsia" w:hAnsiTheme="minorHAnsi" w:cstheme="minorBidi"/>
                <w:color w:val="auto"/>
                <w:sz w:val="20"/>
                <w:szCs w:val="20"/>
              </w:rPr>
              <w:t xml:space="preserve"> s rýhou, vsakovací nádrž); dešťové zahrady (kombinace modré a zelené infrastruktury); podzemní vsakovací zařízení s retenčním prostorem vyplněným štěrkem nebo prefabrikáty; povrchové či podzemní retenční prostory s regulací odtoku do povrchových vod nebo kanalizace (suché retenční nádrže, retenční nádrže se zásobním prostorem, podzemní retenční nádrže, umělé mokřady); akumulační podzemní nádrže na zachytávání srážkových vod a jejich opětovné využití (např. na zálivku či splachování WC), apod.</w:t>
            </w:r>
          </w:p>
          <w:p w14:paraId="0E8DE482" w14:textId="77777777" w:rsidR="05840013" w:rsidRDefault="05840013" w:rsidP="43DF8A4C">
            <w:pPr>
              <w:pStyle w:val="Default"/>
              <w:shd w:val="clear" w:color="auto" w:fill="FFFFFF" w:themeFill="background1"/>
              <w:spacing w:after="120"/>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 xml:space="preserve">Opatření navazují na Operační program Životní prostředí </w:t>
            </w:r>
            <w:proofErr w:type="gramStart"/>
            <w:r w:rsidRPr="43DF8A4C">
              <w:rPr>
                <w:rFonts w:asciiTheme="minorHAnsi" w:eastAsiaTheme="minorEastAsia" w:hAnsiTheme="minorHAnsi" w:cstheme="minorBidi"/>
                <w:color w:val="auto"/>
                <w:sz w:val="20"/>
                <w:szCs w:val="20"/>
              </w:rPr>
              <w:t>2014 - 2020</w:t>
            </w:r>
            <w:proofErr w:type="gramEnd"/>
            <w:r w:rsidRPr="43DF8A4C">
              <w:rPr>
                <w:rFonts w:asciiTheme="minorHAnsi" w:eastAsiaTheme="minorEastAsia" w:hAnsiTheme="minorHAnsi" w:cstheme="minorBidi"/>
                <w:color w:val="auto"/>
                <w:sz w:val="20"/>
                <w:szCs w:val="20"/>
              </w:rPr>
              <w:t xml:space="preserve"> (OPŽP), kde na výše uvedená opatření již nejsou volné finanční prostředky. Prostředky v rámci komponenty 2.9.1 a 2.9.2 proto budou primárně sloužit k pokrytí projektů předložených do OPŽP, na které nejsou k dispozici EU prostředky. U opatření „</w:t>
            </w:r>
            <w:hyperlink r:id="rId12">
              <w:r w:rsidRPr="43DF8A4C">
                <w:rPr>
                  <w:rStyle w:val="Hypertextovodkaz"/>
                  <w:rFonts w:asciiTheme="minorHAnsi" w:eastAsiaTheme="minorEastAsia" w:hAnsiTheme="minorHAnsi" w:cstheme="minorBidi"/>
                  <w:color w:val="auto"/>
                  <w:sz w:val="20"/>
                  <w:szCs w:val="20"/>
                  <w:highlight w:val="white"/>
                  <w:u w:val="none"/>
                </w:rPr>
                <w:t>Zajistit</w:t>
              </w:r>
            </w:hyperlink>
            <w:r w:rsidRPr="43DF8A4C">
              <w:rPr>
                <w:rFonts w:asciiTheme="minorHAnsi" w:eastAsiaTheme="minorEastAsia" w:hAnsiTheme="minorHAnsi" w:cstheme="minorBidi"/>
                <w:color w:val="auto"/>
                <w:sz w:val="20"/>
                <w:szCs w:val="20"/>
                <w:highlight w:val="white"/>
              </w:rPr>
              <w:t xml:space="preserve"> ochranu proti suchu a přírodě blízkou povodňovou </w:t>
            </w:r>
            <w:r w:rsidRPr="43DF8A4C">
              <w:rPr>
                <w:rFonts w:asciiTheme="minorHAnsi" w:eastAsiaTheme="minorEastAsia" w:hAnsiTheme="minorHAnsi" w:cstheme="minorBidi"/>
                <w:color w:val="auto"/>
                <w:sz w:val="20"/>
                <w:szCs w:val="20"/>
              </w:rPr>
              <w:t xml:space="preserve">ochranu </w:t>
            </w:r>
            <w:proofErr w:type="spellStart"/>
            <w:r w:rsidRPr="43DF8A4C">
              <w:rPr>
                <w:rFonts w:asciiTheme="minorHAnsi" w:eastAsiaTheme="minorEastAsia" w:hAnsiTheme="minorHAnsi" w:cstheme="minorBidi"/>
                <w:color w:val="auto"/>
                <w:sz w:val="20"/>
                <w:szCs w:val="20"/>
              </w:rPr>
              <w:t>intravilánu</w:t>
            </w:r>
            <w:proofErr w:type="spellEnd"/>
            <w:r w:rsidRPr="43DF8A4C">
              <w:rPr>
                <w:rFonts w:asciiTheme="minorHAnsi" w:eastAsiaTheme="minorEastAsia" w:hAnsiTheme="minorHAnsi" w:cstheme="minorBidi"/>
                <w:color w:val="auto"/>
                <w:sz w:val="20"/>
                <w:szCs w:val="20"/>
              </w:rPr>
              <w:t xml:space="preserve"> města Brna“ se jedná o podporu jednoho komplexního a investičně náročného projektu. U oblasti „Hospodaření se srážkovými vodami v </w:t>
            </w:r>
            <w:proofErr w:type="spellStart"/>
            <w:r w:rsidRPr="43DF8A4C">
              <w:rPr>
                <w:rFonts w:asciiTheme="minorHAnsi" w:eastAsiaTheme="minorEastAsia" w:hAnsiTheme="minorHAnsi" w:cstheme="minorBidi"/>
                <w:color w:val="auto"/>
                <w:sz w:val="20"/>
                <w:szCs w:val="20"/>
              </w:rPr>
              <w:t>intravilánu</w:t>
            </w:r>
            <w:proofErr w:type="spellEnd"/>
            <w:r w:rsidRPr="43DF8A4C">
              <w:rPr>
                <w:rFonts w:asciiTheme="minorHAnsi" w:eastAsiaTheme="minorEastAsia" w:hAnsiTheme="minorHAnsi" w:cstheme="minorBidi"/>
                <w:color w:val="auto"/>
                <w:sz w:val="20"/>
                <w:szCs w:val="20"/>
              </w:rPr>
              <w:t>“ projekty OPŽP pokryjí pouze část dílčí alokace komponenty a předpokládá se, že bude nutné ještě zajištění dodatečných projektů na vyčerpání alokace.</w:t>
            </w:r>
          </w:p>
          <w:p w14:paraId="435D0DF5" w14:textId="77777777" w:rsidR="05840013" w:rsidRDefault="05840013" w:rsidP="43DF8A4C">
            <w:pP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b/>
                <w:bCs/>
                <w:color w:val="auto"/>
                <w:sz w:val="20"/>
                <w:szCs w:val="20"/>
              </w:rPr>
              <w:t xml:space="preserve">3. Péče o zvláště chráněná území a území soustavy Natura 2000 a péče o zvláště chráněné druhy rostlin a živočichů. </w:t>
            </w:r>
            <w:r w:rsidRPr="43DF8A4C">
              <w:rPr>
                <w:rFonts w:asciiTheme="minorHAnsi" w:eastAsiaTheme="minorEastAsia" w:hAnsiTheme="minorHAnsi" w:cstheme="minorBidi"/>
                <w:color w:val="auto"/>
                <w:sz w:val="20"/>
                <w:szCs w:val="20"/>
              </w:rPr>
              <w:t>Opatření k zachování a zlepšování předmětů ochrany zvláště chráněných území a území soustavy Natura 2000  a opatření k podpoře zvláště chráněných druhů vyplývají ze schválených plánů péče o zvláště chráněná území, zásad péče o národní parky a jejich ochranná pásma (dále jen zásady péče), souhrnů doporučených opatření pro lokality soustavy Natura 2000, záchranných programů a programů péče pro zvláště chráněné druhy rostlin a živočichů či regionálních akčních plánů a dalších koncepčních dokumentů ochrany přírody.</w:t>
            </w:r>
          </w:p>
          <w:p w14:paraId="28C5456F" w14:textId="73B95CAF" w:rsidR="05840013" w:rsidRDefault="05840013" w:rsidP="43DF8A4C">
            <w:pP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b/>
                <w:bCs/>
                <w:color w:val="auto"/>
                <w:sz w:val="20"/>
                <w:szCs w:val="20"/>
              </w:rPr>
              <w:t xml:space="preserve">4. Adaptace vodních, nelesních a lesních ekosystémů na změnu klimatu. </w:t>
            </w:r>
            <w:r w:rsidRPr="43DF8A4C">
              <w:rPr>
                <w:rFonts w:asciiTheme="minorHAnsi" w:eastAsiaTheme="minorEastAsia" w:hAnsiTheme="minorHAnsi" w:cstheme="minorBidi"/>
                <w:color w:val="auto"/>
                <w:sz w:val="20"/>
                <w:szCs w:val="20"/>
              </w:rPr>
              <w:t>Podpora bude směřovat do realizace opatření k posílení ekologické stability krajiny a biodiverzity v územním kontextu celé ČR. Ve zvláště chráněných územích a územích soustavy Natura 2000 budou opatření probíhat v souladu s plánovacími dokumenty (plány péče, zásady péče, souhrny doporučených opatření). Podporována bude zejména obnova a tvorba krajinných prvků, zvyšování zastoupení trvalé zeleně, obnova přirozené struktury lesních porostů či obnova vodního režimu krajiny vč. revitalizace vodních toků. Důraz bude kladen na přírodě blízká řešení a podporu biodiverzity, zahrnující i regulaci šíření invazních druhů.</w:t>
            </w:r>
            <w:r w:rsidR="00CA4202">
              <w:rPr>
                <w:rFonts w:asciiTheme="minorHAnsi" w:eastAsiaTheme="minorEastAsia" w:hAnsiTheme="minorHAnsi" w:cstheme="minorBidi"/>
                <w:color w:val="auto"/>
                <w:sz w:val="20"/>
                <w:szCs w:val="20"/>
              </w:rPr>
              <w:t xml:space="preserve"> </w:t>
            </w:r>
            <w:r w:rsidR="000E32F4">
              <w:rPr>
                <w:rFonts w:asciiTheme="minorHAnsi" w:eastAsiaTheme="minorEastAsia" w:hAnsiTheme="minorHAnsi" w:cstheme="minorBidi"/>
                <w:color w:val="auto"/>
                <w:sz w:val="20"/>
                <w:szCs w:val="20"/>
              </w:rPr>
              <w:t>Podporováno bude i p</w:t>
            </w:r>
            <w:r w:rsidR="000E32F4" w:rsidRPr="000E32F4">
              <w:rPr>
                <w:rFonts w:asciiTheme="minorHAnsi" w:eastAsiaTheme="minorEastAsia" w:hAnsiTheme="minorHAnsi" w:cstheme="minorBidi"/>
                <w:color w:val="auto"/>
                <w:sz w:val="20"/>
                <w:szCs w:val="20"/>
              </w:rPr>
              <w:t xml:space="preserve">osouzení potenciálu zadržování vody </w:t>
            </w:r>
            <w:r w:rsidR="000E32F4">
              <w:rPr>
                <w:rFonts w:asciiTheme="minorHAnsi" w:eastAsiaTheme="minorEastAsia" w:hAnsiTheme="minorHAnsi" w:cstheme="minorBidi"/>
                <w:color w:val="auto"/>
                <w:sz w:val="20"/>
                <w:szCs w:val="20"/>
              </w:rPr>
              <w:t xml:space="preserve">v krajině v rámci území malých povodí </w:t>
            </w:r>
            <w:r w:rsidR="000E32F4" w:rsidRPr="000E32F4">
              <w:rPr>
                <w:rFonts w:asciiTheme="minorHAnsi" w:eastAsiaTheme="minorEastAsia" w:hAnsiTheme="minorHAnsi" w:cstheme="minorBidi"/>
                <w:color w:val="auto"/>
                <w:sz w:val="20"/>
                <w:szCs w:val="20"/>
              </w:rPr>
              <w:t>a návrh konkrétních opatření</w:t>
            </w:r>
            <w:r w:rsidR="000E32F4">
              <w:rPr>
                <w:rFonts w:asciiTheme="minorHAnsi" w:eastAsiaTheme="minorEastAsia" w:hAnsiTheme="minorHAnsi" w:cstheme="minorBidi"/>
                <w:color w:val="auto"/>
                <w:sz w:val="20"/>
                <w:szCs w:val="20"/>
              </w:rPr>
              <w:t xml:space="preserve"> realizací předběžných studií proveditelnosti. Vybraná opatření z těchto studií budou realizována.</w:t>
            </w:r>
          </w:p>
          <w:p w14:paraId="3C60753D" w14:textId="3F4A304F" w:rsidR="05840013" w:rsidRDefault="05840013" w:rsidP="43DF8A4C">
            <w:pP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b/>
                <w:bCs/>
                <w:color w:val="auto"/>
                <w:sz w:val="20"/>
                <w:szCs w:val="20"/>
              </w:rPr>
              <w:t>5.</w:t>
            </w:r>
            <w:r w:rsidRPr="43DF8A4C">
              <w:rPr>
                <w:rFonts w:asciiTheme="minorHAnsi" w:eastAsiaTheme="minorEastAsia" w:hAnsiTheme="minorHAnsi" w:cstheme="minorBidi"/>
                <w:color w:val="auto"/>
                <w:sz w:val="20"/>
                <w:szCs w:val="20"/>
              </w:rPr>
              <w:t xml:space="preserve"> </w:t>
            </w:r>
            <w:proofErr w:type="gramStart"/>
            <w:r w:rsidRPr="43DF8A4C">
              <w:rPr>
                <w:rFonts w:asciiTheme="minorHAnsi" w:eastAsiaTheme="minorEastAsia" w:hAnsiTheme="minorHAnsi" w:cstheme="minorBidi"/>
                <w:b/>
                <w:bCs/>
                <w:color w:val="auto"/>
                <w:sz w:val="20"/>
                <w:szCs w:val="20"/>
              </w:rPr>
              <w:t>Reforma - Legislativní</w:t>
            </w:r>
            <w:proofErr w:type="gramEnd"/>
            <w:r w:rsidRPr="43DF8A4C">
              <w:rPr>
                <w:rFonts w:asciiTheme="minorHAnsi" w:eastAsiaTheme="minorEastAsia" w:hAnsiTheme="minorHAnsi" w:cstheme="minorBidi"/>
                <w:b/>
                <w:bCs/>
                <w:color w:val="auto"/>
                <w:sz w:val="20"/>
                <w:szCs w:val="20"/>
              </w:rPr>
              <w:t xml:space="preserve"> ukotvení zvládání sucha a stavu nedostatku vody</w:t>
            </w:r>
            <w:r w:rsidRPr="43DF8A4C">
              <w:rPr>
                <w:rFonts w:asciiTheme="minorHAnsi" w:eastAsiaTheme="minorEastAsia" w:hAnsiTheme="minorHAnsi" w:cstheme="minorBidi"/>
                <w:color w:val="auto"/>
                <w:sz w:val="20"/>
                <w:szCs w:val="20"/>
              </w:rPr>
              <w:t xml:space="preserve"> (</w:t>
            </w:r>
            <w:r w:rsidRPr="43DF8A4C">
              <w:rPr>
                <w:rFonts w:asciiTheme="minorHAnsi" w:eastAsiaTheme="minorEastAsia" w:hAnsiTheme="minorHAnsi" w:cstheme="minorBidi"/>
                <w:b/>
                <w:bCs/>
                <w:color w:val="auto"/>
                <w:sz w:val="20"/>
                <w:szCs w:val="20"/>
              </w:rPr>
              <w:t>Novela vodního zákona)</w:t>
            </w:r>
            <w:r w:rsidRPr="43DF8A4C">
              <w:rPr>
                <w:rFonts w:asciiTheme="minorHAnsi" w:eastAsiaTheme="minorEastAsia" w:hAnsiTheme="minorHAnsi" w:cstheme="minorBidi"/>
                <w:color w:val="auto"/>
                <w:sz w:val="20"/>
                <w:szCs w:val="20"/>
              </w:rPr>
              <w:t xml:space="preserve"> - z důvodu potřeby zvládat projevy změny klimatu, zejména dlouhodobého sucha je navržena nová část vodního zákona s názvem „</w:t>
            </w:r>
            <w:r w:rsidRPr="43DF8A4C">
              <w:rPr>
                <w:rFonts w:asciiTheme="minorHAnsi" w:eastAsiaTheme="minorEastAsia" w:hAnsiTheme="minorHAnsi" w:cstheme="minorBidi"/>
                <w:b/>
                <w:bCs/>
                <w:color w:val="auto"/>
                <w:sz w:val="20"/>
                <w:szCs w:val="20"/>
              </w:rPr>
              <w:t>Zvládání sucha a stavu nedostatku vody</w:t>
            </w:r>
            <w:r w:rsidRPr="43DF8A4C">
              <w:rPr>
                <w:rFonts w:asciiTheme="minorHAnsi" w:eastAsiaTheme="minorEastAsia" w:hAnsiTheme="minorHAnsi" w:cstheme="minorBidi"/>
                <w:color w:val="auto"/>
                <w:sz w:val="20"/>
                <w:szCs w:val="20"/>
              </w:rPr>
              <w:t xml:space="preserve">“, která nastavuje systém operativního řízení během sucha obdobně, jak je tomu během povodňových situací. Sucho spolu s povodněmi jsou zesilovány důsledkem probíhající klimatické změny, na níž je třeba se adaptovat a z pozice státu operativně reagovat. Novela vodního zákona vymezuje rámec monitoringu sucha, odpovědnosti kompetentních orgánů, přijímání opatření pro zvládání sucha i nedostatku vody i pro kontrolní mechanismy. Umožní mj. vytvoření komisí v jednotlivých krajích, které na základě nově pořízených plánů pro zvládání </w:t>
            </w:r>
            <w:r w:rsidRPr="43DF8A4C">
              <w:rPr>
                <w:rFonts w:asciiTheme="minorHAnsi" w:eastAsiaTheme="minorEastAsia" w:hAnsiTheme="minorHAnsi" w:cstheme="minorBidi"/>
                <w:color w:val="auto"/>
                <w:sz w:val="20"/>
                <w:szCs w:val="20"/>
              </w:rPr>
              <w:lastRenderedPageBreak/>
              <w:t>sucha a nedostatku vody budou moci vyhlašovat „stav nedostatku vody“ a uplatnit určitá omezení pro užívání vody, např. pro zalévání nebo napouštění bazénů.</w:t>
            </w:r>
          </w:p>
          <w:p w14:paraId="25F701DA" w14:textId="2F2025C5" w:rsidR="0B27C9BE" w:rsidRDefault="0B27C9BE" w:rsidP="43DF8A4C">
            <w:pPr>
              <w:spacing w:line="240" w:lineRule="auto"/>
              <w:rPr>
                <w:rFonts w:asciiTheme="minorHAnsi" w:eastAsiaTheme="minorEastAsia" w:hAnsiTheme="minorHAnsi" w:cstheme="minorBidi"/>
                <w:sz w:val="20"/>
                <w:szCs w:val="20"/>
              </w:rPr>
            </w:pPr>
          </w:p>
          <w:p w14:paraId="63B5006A" w14:textId="22672B49" w:rsidR="0B27C9BE" w:rsidRDefault="0B27C9BE" w:rsidP="00DC4886">
            <w:pPr>
              <w:spacing w:line="240" w:lineRule="auto"/>
              <w:rPr>
                <w:rFonts w:asciiTheme="minorHAnsi" w:eastAsiaTheme="minorEastAsia" w:hAnsiTheme="minorHAnsi" w:cstheme="minorBidi"/>
                <w:color w:val="auto"/>
                <w:sz w:val="20"/>
                <w:szCs w:val="20"/>
              </w:rPr>
            </w:pPr>
            <w:r w:rsidRPr="1CC69638">
              <w:rPr>
                <w:rFonts w:asciiTheme="minorHAnsi" w:eastAsiaTheme="minorEastAsia" w:hAnsiTheme="minorHAnsi" w:cstheme="minorBidi"/>
                <w:b/>
                <w:bCs/>
                <w:sz w:val="20"/>
                <w:szCs w:val="20"/>
              </w:rPr>
              <w:t xml:space="preserve">Odhadované náklady: </w:t>
            </w:r>
            <w:r>
              <w:br/>
            </w:r>
            <w:r w:rsidR="7DB0CDFF" w:rsidRPr="1CC69638">
              <w:rPr>
                <w:rFonts w:asciiTheme="minorHAnsi" w:eastAsiaTheme="minorEastAsia" w:hAnsiTheme="minorHAnsi" w:cstheme="minorBidi"/>
                <w:color w:val="auto"/>
                <w:sz w:val="20"/>
                <w:szCs w:val="20"/>
              </w:rPr>
              <w:t>2</w:t>
            </w:r>
            <w:r w:rsidR="00DC4886">
              <w:rPr>
                <w:rFonts w:asciiTheme="minorHAnsi" w:eastAsiaTheme="minorEastAsia" w:hAnsiTheme="minorHAnsi" w:cstheme="minorBidi"/>
                <w:color w:val="auto"/>
                <w:sz w:val="20"/>
                <w:szCs w:val="20"/>
              </w:rPr>
              <w:t xml:space="preserve"> </w:t>
            </w:r>
            <w:r w:rsidR="0078215C">
              <w:rPr>
                <w:rFonts w:asciiTheme="minorHAnsi" w:eastAsiaTheme="minorEastAsia" w:hAnsiTheme="minorHAnsi" w:cstheme="minorBidi"/>
                <w:color w:val="auto"/>
                <w:sz w:val="20"/>
                <w:szCs w:val="20"/>
              </w:rPr>
              <w:t>984</w:t>
            </w:r>
            <w:r w:rsidR="768ECB35" w:rsidRPr="1CC69638">
              <w:rPr>
                <w:rFonts w:asciiTheme="minorHAnsi" w:eastAsiaTheme="minorEastAsia" w:hAnsiTheme="minorHAnsi" w:cstheme="minorBidi"/>
                <w:color w:val="auto"/>
                <w:sz w:val="20"/>
                <w:szCs w:val="20"/>
              </w:rPr>
              <w:t xml:space="preserve"> </w:t>
            </w:r>
            <w:r w:rsidR="00DC4886">
              <w:rPr>
                <w:rFonts w:asciiTheme="minorHAnsi" w:eastAsiaTheme="minorEastAsia" w:hAnsiTheme="minorHAnsi" w:cstheme="minorBidi"/>
                <w:color w:val="auto"/>
                <w:sz w:val="20"/>
                <w:szCs w:val="20"/>
              </w:rPr>
              <w:t xml:space="preserve">mil. </w:t>
            </w:r>
            <w:r w:rsidR="768ECB35" w:rsidRPr="1CC69638">
              <w:rPr>
                <w:rFonts w:asciiTheme="minorHAnsi" w:eastAsiaTheme="minorEastAsia" w:hAnsiTheme="minorHAnsi" w:cstheme="minorBidi"/>
                <w:color w:val="auto"/>
                <w:sz w:val="20"/>
                <w:szCs w:val="20"/>
              </w:rPr>
              <w:t>Kč</w:t>
            </w:r>
            <w:r w:rsidR="00DC4886">
              <w:rPr>
                <w:rFonts w:asciiTheme="minorHAnsi" w:eastAsiaTheme="minorEastAsia" w:hAnsiTheme="minorHAnsi" w:cstheme="minorBidi"/>
                <w:color w:val="auto"/>
                <w:sz w:val="20"/>
                <w:szCs w:val="20"/>
              </w:rPr>
              <w:t xml:space="preserve"> (plně zahrnuto do RRF)</w:t>
            </w:r>
          </w:p>
        </w:tc>
      </w:tr>
    </w:tbl>
    <w:p w14:paraId="3D5A86A9" w14:textId="13CED728" w:rsidR="71301C15" w:rsidRDefault="71301C15" w:rsidP="43DF8A4C">
      <w:pPr>
        <w:pStyle w:val="K-Nadpis3"/>
        <w:rPr>
          <w:rStyle w:val="K-TabulkaChar"/>
          <w:rFonts w:asciiTheme="minorHAnsi" w:eastAsiaTheme="minorEastAsia" w:hAnsiTheme="minorHAnsi" w:cstheme="minorBidi"/>
          <w:b/>
          <w:color w:val="000000" w:themeColor="text1"/>
          <w:sz w:val="20"/>
          <w:szCs w:val="20"/>
        </w:rPr>
      </w:pPr>
    </w:p>
    <w:p w14:paraId="52F72F97" w14:textId="77777777" w:rsidR="66AE66DD" w:rsidRDefault="66AE66DD" w:rsidP="43DF8A4C">
      <w:pPr>
        <w:pStyle w:val="Default"/>
        <w:spacing w:after="120"/>
        <w:jc w:val="both"/>
        <w:rPr>
          <w:rFonts w:asciiTheme="minorHAnsi" w:eastAsiaTheme="minorEastAsia" w:hAnsiTheme="minorHAnsi" w:cstheme="minorBidi"/>
          <w:color w:val="auto"/>
          <w:sz w:val="20"/>
          <w:szCs w:val="20"/>
          <w:highlight w:val="white"/>
        </w:rPr>
      </w:pPr>
      <w:r w:rsidRPr="43DF8A4C">
        <w:rPr>
          <w:rFonts w:asciiTheme="minorHAnsi" w:eastAsiaTheme="minorEastAsia" w:hAnsiTheme="minorHAnsi" w:cstheme="minorBidi"/>
          <w:color w:val="auto"/>
          <w:sz w:val="20"/>
          <w:szCs w:val="20"/>
          <w:highlight w:val="white"/>
        </w:rPr>
        <w:t xml:space="preserve">Hlavním cílem v oblasti ochrany proti suchu a </w:t>
      </w:r>
      <w:hyperlink r:id="rId13">
        <w:r w:rsidRPr="43DF8A4C">
          <w:rPr>
            <w:rFonts w:asciiTheme="minorHAnsi" w:eastAsiaTheme="minorEastAsia" w:hAnsiTheme="minorHAnsi" w:cstheme="minorBidi"/>
            <w:color w:val="auto"/>
            <w:sz w:val="20"/>
            <w:szCs w:val="20"/>
            <w:highlight w:val="white"/>
          </w:rPr>
          <w:t>zajištění</w:t>
        </w:r>
      </w:hyperlink>
      <w:r w:rsidRPr="43DF8A4C">
        <w:rPr>
          <w:rFonts w:asciiTheme="minorHAnsi" w:eastAsiaTheme="minorEastAsia" w:hAnsiTheme="minorHAnsi" w:cstheme="minorBidi"/>
          <w:color w:val="auto"/>
          <w:sz w:val="20"/>
          <w:szCs w:val="20"/>
          <w:highlight w:val="white"/>
        </w:rPr>
        <w:t xml:space="preserve"> povodňové ochrany </w:t>
      </w:r>
      <w:proofErr w:type="spellStart"/>
      <w:r w:rsidRPr="43DF8A4C">
        <w:rPr>
          <w:rFonts w:asciiTheme="minorHAnsi" w:eastAsiaTheme="minorEastAsia" w:hAnsiTheme="minorHAnsi" w:cstheme="minorBidi"/>
          <w:color w:val="auto"/>
          <w:sz w:val="20"/>
          <w:szCs w:val="20"/>
          <w:highlight w:val="white"/>
        </w:rPr>
        <w:t>intravilánu</w:t>
      </w:r>
      <w:proofErr w:type="spellEnd"/>
      <w:r w:rsidRPr="43DF8A4C">
        <w:rPr>
          <w:rFonts w:asciiTheme="minorHAnsi" w:eastAsiaTheme="minorEastAsia" w:hAnsiTheme="minorHAnsi" w:cstheme="minorBidi"/>
          <w:color w:val="auto"/>
          <w:sz w:val="20"/>
          <w:szCs w:val="20"/>
          <w:highlight w:val="white"/>
        </w:rPr>
        <w:t xml:space="preserve"> je realizovat přírodě blízkým způsobem komplexní projekt protipovodňové ochranu ve městě Brně v délce 3 km s pozitivním přínosem pro biodiverzitu a ekologický stav řeky Svratky. </w:t>
      </w:r>
    </w:p>
    <w:p w14:paraId="5893318E" w14:textId="77777777" w:rsidR="66AE66DD" w:rsidRDefault="66AE66DD" w:rsidP="43DF8A4C">
      <w:pPr>
        <w:pStyle w:val="Default"/>
        <w:spacing w:after="120"/>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highlight w:val="white"/>
        </w:rPr>
        <w:t>V oblasti hospodaření se srážkovými vodami v </w:t>
      </w:r>
      <w:proofErr w:type="spellStart"/>
      <w:r w:rsidRPr="43DF8A4C">
        <w:rPr>
          <w:rFonts w:asciiTheme="minorHAnsi" w:eastAsiaTheme="minorEastAsia" w:hAnsiTheme="minorHAnsi" w:cstheme="minorBidi"/>
          <w:color w:val="auto"/>
          <w:sz w:val="20"/>
          <w:szCs w:val="20"/>
          <w:highlight w:val="white"/>
        </w:rPr>
        <w:t>intravilánu</w:t>
      </w:r>
      <w:proofErr w:type="spellEnd"/>
      <w:r w:rsidRPr="43DF8A4C">
        <w:rPr>
          <w:rFonts w:asciiTheme="minorHAnsi" w:eastAsiaTheme="minorEastAsia" w:hAnsiTheme="minorHAnsi" w:cstheme="minorBidi"/>
          <w:color w:val="auto"/>
          <w:sz w:val="20"/>
          <w:szCs w:val="20"/>
          <w:highlight w:val="white"/>
        </w:rPr>
        <w:t xml:space="preserve"> je hlavním cílem dosažení velikosti objemu retardované srážkové vody 40 000 m</w:t>
      </w:r>
      <w:r w:rsidRPr="43DF8A4C">
        <w:rPr>
          <w:rFonts w:asciiTheme="minorHAnsi" w:eastAsiaTheme="minorEastAsia" w:hAnsiTheme="minorHAnsi" w:cstheme="minorBidi"/>
          <w:color w:val="auto"/>
          <w:sz w:val="20"/>
          <w:szCs w:val="20"/>
          <w:highlight w:val="white"/>
          <w:vertAlign w:val="superscript"/>
        </w:rPr>
        <w:t>3</w:t>
      </w:r>
      <w:r w:rsidRPr="43DF8A4C">
        <w:rPr>
          <w:rFonts w:asciiTheme="minorHAnsi" w:eastAsiaTheme="minorEastAsia" w:hAnsiTheme="minorHAnsi" w:cstheme="minorBidi"/>
          <w:color w:val="auto"/>
          <w:sz w:val="20"/>
          <w:szCs w:val="20"/>
          <w:highlight w:val="white"/>
        </w:rPr>
        <w:t>.</w:t>
      </w:r>
    </w:p>
    <w:p w14:paraId="4906E906" w14:textId="77777777" w:rsidR="66AE66DD" w:rsidRDefault="66AE66DD" w:rsidP="43DF8A4C">
      <w:pPr>
        <w:pStyle w:val="Default"/>
        <w:spacing w:after="120"/>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Cílem v oblasti péče o zvláště chráněná území a druhů je dosáhnout výsledků zachování a zlepšování stavu předmětu ochrany ZCHÚ vč. Natura 2000 v ploše 2625 ha. Dále 145 obnovených či zachovaných lokalit pro zvláště chráněné druhy podle zpracovaných záchranných programů, plánů péče a regionálních akčních plánů. A 81 podkladových materiálů ke zlepšení stavu přírody a krajiny.</w:t>
      </w:r>
    </w:p>
    <w:p w14:paraId="749461D2" w14:textId="72B293B6" w:rsidR="66AE66DD" w:rsidRDefault="66AE66DD" w:rsidP="43DF8A4C">
      <w:pPr>
        <w:pStyle w:val="Default"/>
        <w:spacing w:after="120"/>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 xml:space="preserve">V oblasti adaptace ekosystémů na změnu klimatu je cílem zlepšení druhové a prostorové skladby lesa na ploše 200 ha. Zajištění péče o cenné nelesní terestrické biotopy v celkové ploše 1250 ha. Tvorba a obnova mokřadů, tůní a malých vodních nádrží v celkové ploše 48 ha. Revitalizace a </w:t>
      </w:r>
      <w:proofErr w:type="spellStart"/>
      <w:r w:rsidRPr="43DF8A4C">
        <w:rPr>
          <w:rFonts w:asciiTheme="minorHAnsi" w:eastAsiaTheme="minorEastAsia" w:hAnsiTheme="minorHAnsi" w:cstheme="minorBidi"/>
          <w:color w:val="auto"/>
          <w:sz w:val="20"/>
          <w:szCs w:val="20"/>
        </w:rPr>
        <w:t>renaturace</w:t>
      </w:r>
      <w:proofErr w:type="spellEnd"/>
      <w:r w:rsidRPr="43DF8A4C">
        <w:rPr>
          <w:rFonts w:asciiTheme="minorHAnsi" w:eastAsiaTheme="minorEastAsia" w:hAnsiTheme="minorHAnsi" w:cstheme="minorBidi"/>
          <w:color w:val="auto"/>
          <w:sz w:val="20"/>
          <w:szCs w:val="20"/>
        </w:rPr>
        <w:t xml:space="preserve"> vodních toků v ploše 4 ha a výsadba 32 tis. kusů dřevin mimo les.</w:t>
      </w:r>
      <w:r w:rsidR="00BB17BA">
        <w:rPr>
          <w:rFonts w:asciiTheme="minorHAnsi" w:eastAsiaTheme="minorEastAsia" w:hAnsiTheme="minorHAnsi" w:cstheme="minorBidi"/>
          <w:color w:val="auto"/>
          <w:sz w:val="20"/>
          <w:szCs w:val="20"/>
        </w:rPr>
        <w:t xml:space="preserve"> Dále p</w:t>
      </w:r>
      <w:r w:rsidR="00BB17BA" w:rsidRPr="00BB17BA">
        <w:rPr>
          <w:rFonts w:asciiTheme="minorHAnsi" w:eastAsiaTheme="minorEastAsia" w:hAnsiTheme="minorHAnsi" w:cstheme="minorBidi"/>
          <w:color w:val="auto"/>
          <w:sz w:val="20"/>
          <w:szCs w:val="20"/>
        </w:rPr>
        <w:t>osouzení potenciálu zadržování vody</w:t>
      </w:r>
      <w:r w:rsidR="00BB17BA">
        <w:rPr>
          <w:rFonts w:asciiTheme="minorHAnsi" w:eastAsiaTheme="minorEastAsia" w:hAnsiTheme="minorHAnsi" w:cstheme="minorBidi"/>
          <w:color w:val="auto"/>
          <w:sz w:val="20"/>
          <w:szCs w:val="20"/>
        </w:rPr>
        <w:t xml:space="preserve"> v krajině</w:t>
      </w:r>
      <w:r w:rsidR="00BB17BA" w:rsidRPr="00BB17BA">
        <w:rPr>
          <w:rFonts w:asciiTheme="minorHAnsi" w:eastAsiaTheme="minorEastAsia" w:hAnsiTheme="minorHAnsi" w:cstheme="minorBidi"/>
          <w:color w:val="auto"/>
          <w:sz w:val="20"/>
          <w:szCs w:val="20"/>
        </w:rPr>
        <w:t xml:space="preserve"> </w:t>
      </w:r>
      <w:r w:rsidR="00C54474">
        <w:rPr>
          <w:rFonts w:asciiTheme="minorHAnsi" w:eastAsiaTheme="minorEastAsia" w:hAnsiTheme="minorHAnsi" w:cstheme="minorBidi"/>
          <w:color w:val="auto"/>
          <w:sz w:val="20"/>
          <w:szCs w:val="20"/>
        </w:rPr>
        <w:t xml:space="preserve">v rámci území malých povodí </w:t>
      </w:r>
      <w:r w:rsidR="00BB17BA" w:rsidRPr="00BB17BA">
        <w:rPr>
          <w:rFonts w:asciiTheme="minorHAnsi" w:eastAsiaTheme="minorEastAsia" w:hAnsiTheme="minorHAnsi" w:cstheme="minorBidi"/>
          <w:color w:val="auto"/>
          <w:sz w:val="20"/>
          <w:szCs w:val="20"/>
        </w:rPr>
        <w:t>a návrh konkrétních opatření</w:t>
      </w:r>
      <w:r w:rsidR="00BB17BA">
        <w:rPr>
          <w:rFonts w:asciiTheme="minorHAnsi" w:eastAsiaTheme="minorEastAsia" w:hAnsiTheme="minorHAnsi" w:cstheme="minorBidi"/>
          <w:color w:val="auto"/>
          <w:sz w:val="20"/>
          <w:szCs w:val="20"/>
        </w:rPr>
        <w:t xml:space="preserve"> na ploše 5 000 km</w:t>
      </w:r>
      <w:r w:rsidR="00BB17BA" w:rsidRPr="00111C2C">
        <w:rPr>
          <w:rFonts w:asciiTheme="minorHAnsi" w:eastAsiaTheme="minorEastAsia" w:hAnsiTheme="minorHAnsi" w:cstheme="minorBidi"/>
          <w:color w:val="auto"/>
          <w:sz w:val="20"/>
          <w:szCs w:val="20"/>
          <w:vertAlign w:val="superscript"/>
        </w:rPr>
        <w:t>2</w:t>
      </w:r>
      <w:r w:rsidR="00C54474">
        <w:rPr>
          <w:rFonts w:asciiTheme="minorHAnsi" w:eastAsiaTheme="minorEastAsia" w:hAnsiTheme="minorHAnsi" w:cstheme="minorBidi"/>
          <w:color w:val="auto"/>
          <w:sz w:val="20"/>
          <w:szCs w:val="20"/>
        </w:rPr>
        <w:t xml:space="preserve"> a realizace vybraných navrhovaných opatření. </w:t>
      </w:r>
    </w:p>
    <w:p w14:paraId="56DF1418" w14:textId="3597885C" w:rsidR="71301C15" w:rsidRDefault="71301C15" w:rsidP="43DF8A4C">
      <w:pPr>
        <w:pStyle w:val="K-Nadpis3"/>
        <w:rPr>
          <w:rFonts w:asciiTheme="minorHAnsi" w:eastAsiaTheme="minorEastAsia" w:hAnsiTheme="minorHAnsi" w:cstheme="minorBidi"/>
          <w:bCs/>
          <w:color w:val="000000" w:themeColor="text1"/>
          <w:sz w:val="20"/>
          <w:szCs w:val="20"/>
        </w:rPr>
      </w:pPr>
    </w:p>
    <w:p w14:paraId="71BC64D2" w14:textId="77777777" w:rsidR="00F17AAA" w:rsidRPr="00CB1019" w:rsidRDefault="009F230F" w:rsidP="43DF8A4C">
      <w:pPr>
        <w:pStyle w:val="K-Nadpis3"/>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Další popis komponenty</w:t>
      </w:r>
    </w:p>
    <w:p w14:paraId="3F6EDBFC"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Oblast podpory je obecně zaměřena na realizaci </w:t>
      </w:r>
      <w:r w:rsidR="004C17AB" w:rsidRPr="43DF8A4C">
        <w:rPr>
          <w:rFonts w:asciiTheme="minorHAnsi" w:eastAsiaTheme="minorEastAsia" w:hAnsiTheme="minorHAnsi" w:cstheme="minorBidi"/>
          <w:i w:val="0"/>
          <w:iCs w:val="0"/>
          <w:color w:val="auto"/>
          <w:sz w:val="20"/>
          <w:szCs w:val="20"/>
        </w:rPr>
        <w:t xml:space="preserve">ochrany proti suchu a </w:t>
      </w:r>
      <w:r w:rsidRPr="43DF8A4C">
        <w:rPr>
          <w:rFonts w:asciiTheme="minorHAnsi" w:eastAsiaTheme="minorEastAsia" w:hAnsiTheme="minorHAnsi" w:cstheme="minorBidi"/>
          <w:i w:val="0"/>
          <w:iCs w:val="0"/>
          <w:color w:val="auto"/>
          <w:sz w:val="20"/>
          <w:szCs w:val="20"/>
        </w:rPr>
        <w:t xml:space="preserve">povodňových opatření v </w:t>
      </w:r>
      <w:proofErr w:type="spellStart"/>
      <w:r w:rsidRPr="43DF8A4C">
        <w:rPr>
          <w:rFonts w:asciiTheme="minorHAnsi" w:eastAsiaTheme="minorEastAsia" w:hAnsiTheme="minorHAnsi" w:cstheme="minorBidi"/>
          <w:i w:val="0"/>
          <w:iCs w:val="0"/>
          <w:color w:val="auto"/>
          <w:sz w:val="20"/>
          <w:szCs w:val="20"/>
        </w:rPr>
        <w:t>intravilánu</w:t>
      </w:r>
      <w:proofErr w:type="spellEnd"/>
      <w:r w:rsidRPr="43DF8A4C">
        <w:rPr>
          <w:rFonts w:asciiTheme="minorHAnsi" w:eastAsiaTheme="minorEastAsia" w:hAnsiTheme="minorHAnsi" w:cstheme="minorBidi"/>
          <w:i w:val="0"/>
          <w:iCs w:val="0"/>
          <w:color w:val="auto"/>
          <w:sz w:val="20"/>
          <w:szCs w:val="20"/>
        </w:rPr>
        <w:t xml:space="preserve"> města Brna, která budou mít pozitivní efekt na zmenšení rozsahu zaplaveného území a snížení počtu zaplavených nemovitostí, a tím snížení povodňových škod. Projekt města Brna má pozitivní přínos pro biodiverzitu a ekologický stav řeky Svratky a zatraktivnění dotčeného území. Jedná se o komplexní a značně rozsáhlý projekt. Brno je z hlediska počtu trvale bydlících obyvatel druhým největším městem České republiky s cca 380 tisíci obyvateli. Nachází se na jižní Moravě na pomezí Českého masivu a jihomoravských nížinných úvalů v kotlině řeky Svratky, která společně s řekou Svitavou vymezuje prostorový rámec Brna. </w:t>
      </w:r>
    </w:p>
    <w:p w14:paraId="3F781286"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highlight w:val="yellow"/>
        </w:rPr>
      </w:pPr>
      <w:r w:rsidRPr="43DF8A4C">
        <w:rPr>
          <w:rFonts w:asciiTheme="minorHAnsi" w:eastAsiaTheme="minorEastAsia" w:hAnsiTheme="minorHAnsi" w:cstheme="minorBidi"/>
          <w:i w:val="0"/>
          <w:iCs w:val="0"/>
          <w:color w:val="auto"/>
          <w:sz w:val="20"/>
          <w:szCs w:val="20"/>
        </w:rPr>
        <w:t>Uvažované opatření bude podpořeno na základě odůvodnění studií proveditelnosti a </w:t>
      </w:r>
      <w:proofErr w:type="spellStart"/>
      <w:r w:rsidRPr="43DF8A4C">
        <w:rPr>
          <w:rFonts w:asciiTheme="minorHAnsi" w:eastAsiaTheme="minorEastAsia" w:hAnsiTheme="minorHAnsi" w:cstheme="minorBidi"/>
          <w:i w:val="0"/>
          <w:iCs w:val="0"/>
          <w:color w:val="auto"/>
          <w:sz w:val="20"/>
          <w:szCs w:val="20"/>
        </w:rPr>
        <w:t>technicko-ekonomickou</w:t>
      </w:r>
      <w:proofErr w:type="spellEnd"/>
      <w:r w:rsidRPr="43DF8A4C">
        <w:rPr>
          <w:rFonts w:asciiTheme="minorHAnsi" w:eastAsiaTheme="minorEastAsia" w:hAnsiTheme="minorHAnsi" w:cstheme="minorBidi"/>
          <w:i w:val="0"/>
          <w:iCs w:val="0"/>
          <w:color w:val="auto"/>
          <w:sz w:val="20"/>
          <w:szCs w:val="20"/>
        </w:rPr>
        <w:t xml:space="preserve"> analýzou, která doloží proveditelnost zejména z hlediska majetkoprávních vztahů. Navrhovaná opatření musí být v souladu se směrnicemi Evropského parlamentu a Rady 2000/60/ES, o vyhodnocování a zvládání povodňových rizik.</w:t>
      </w:r>
    </w:p>
    <w:p w14:paraId="55244DFA"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Hospodaření se srážkovými vodami zejména v městských aglomeracích je vedeno snahou postupně omezovat vypouštění neznečištěných srážkových vod do kanalizace. Srážkové vody mohou být zadrženy a využívány např. k zavlažování zahrad a parků nebo zasakovány do podloží, v době povodně správná funkce zařízení může pomoci oddálit přetížení kanalizačních systémů a potenciálně snížit možné následky povodně. Výsledný efekt financovaných opatření by mělo být zlepšení povodňové ochrany sídelních aglomerací. </w:t>
      </w:r>
    </w:p>
    <w:p w14:paraId="2E8B73F0"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Zdravé a diverzifikované ekosystémy s vysokým podílem strukturovaných porostů a přirozených a přírodě blízkých vodních prvků se podílí na zajišťování přirozených funkcí krajiny, jako je funkce retenční – schopnost zadržovat vodu, a následně sytit vodní toky jejím postupným uvolňováním, klimatizační – schopnost ochlazovat prostředí odparem vody, hygienická a transformační – schopnost vázat a transformovat uvolněné látky, eliminovat prašnost atd. V neposlední řadě jsou takové ekosystémy předpokladem pro rozvoj biodiverzity.</w:t>
      </w:r>
    </w:p>
    <w:p w14:paraId="13DFAB93"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Vlivem intenzivního využívání krajiny dochází k narušování přirozených funkcí krajiny, což se projevuje mj. ztrátou její ekologické stability, tj. snižováním odolnosti vůči nepříznivým vlivům, rozvratem ekosystémů a úbytkem biodiverzity. Tyto jevy jsou navíc umocňovány projevy změny klimatu, zejména suchem nebo extrémními srážkami, nárůstem teplot apod.   </w:t>
      </w:r>
    </w:p>
    <w:p w14:paraId="1CCC8447"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 xml:space="preserve">V nepříznivých podmínkách mohou vydatné dešťové srážky vést k rychlému odtoku, zejména na zpevněném, málo propustném, nebo nasyceném povrchu, a k zatopení níže ležících poloh, případně k vzestupům hladin vody ve vodních tocích a k povodním. Vydatné srážky mohou zapříčinit i další nepříznivé jevy, zejména erozi půdy a svahové pohyby, které mohou následně způsobit škody i na zdraví a majetku obyvatel. V důsledku eroze dochází nejen k degradaci půdy, ale </w:t>
      </w:r>
      <w:r w:rsidRPr="43DF8A4C">
        <w:rPr>
          <w:rFonts w:asciiTheme="minorHAnsi" w:eastAsiaTheme="minorEastAsia" w:hAnsiTheme="minorHAnsi" w:cstheme="minorBidi"/>
          <w:color w:val="auto"/>
          <w:sz w:val="20"/>
          <w:szCs w:val="20"/>
        </w:rPr>
        <w:lastRenderedPageBreak/>
        <w:t>také k poškozování vodních ekosystémů splachy půdy a živin. Důležitou úlohu zde sehrává vegetační pokryv a schopnost půdního povrchu zadržovat srážkovou vodu. Zemědělsky intenzivně využívaná krajina ČR trpí nedostatkem struktur, které by retenci vody a omezení vzniku nadměrné eroze napomáhaly.</w:t>
      </w:r>
    </w:p>
    <w:p w14:paraId="4A541E3A"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 xml:space="preserve">Opačným extrémem je nedostatek srážek a nárůst teplot. Pokud nedochází k ochlazování povrchu evapotranspirací, která je závislá na zásobě vody v půdě, může taková situace vyústit v usychání porostů a </w:t>
      </w:r>
      <w:proofErr w:type="spellStart"/>
      <w:r w:rsidRPr="43DF8A4C">
        <w:rPr>
          <w:rFonts w:asciiTheme="minorHAnsi" w:eastAsiaTheme="minorEastAsia" w:hAnsiTheme="minorHAnsi" w:cstheme="minorBidi"/>
          <w:color w:val="auto"/>
          <w:sz w:val="20"/>
          <w:szCs w:val="20"/>
        </w:rPr>
        <w:t>dezertifikaci</w:t>
      </w:r>
      <w:proofErr w:type="spellEnd"/>
      <w:r w:rsidRPr="43DF8A4C">
        <w:rPr>
          <w:rFonts w:asciiTheme="minorHAnsi" w:eastAsiaTheme="minorEastAsia" w:hAnsiTheme="minorHAnsi" w:cstheme="minorBidi"/>
          <w:color w:val="auto"/>
          <w:sz w:val="20"/>
          <w:szCs w:val="20"/>
        </w:rPr>
        <w:t>. V suché vegetaci také vzrůstá riziko vzniku požárů. Rozsáhlé plošné požáry lesa mohou vést až k částečnému nebo úplnému zničení konkrétního lesního ekosystému. Malé průtoky a snížení rychlosti proudění působí delší dobu zdržení vody v tocích a nádržích a podporuje její prohřívání, což jsou další důvody snížení kvality povrchových vod s negativními vlivy na funkci dotčených ekosystémů a na ně vázaná přírodní stanoviště a druhy (přímá ztráta vhodných stanovišť výskytu druhů, ovlivnění chemicko-fyzikálních vlastností vodního prostředí, změna ekologických vazeb mezi jednotlivými složkami ekosystémů, omezení migrační prostupnosti toků, snížení stability na vodu vázaných přírodních stanovišť apod.). Je proto třeba obnovit retenční kapacitu krajiny.</w:t>
      </w:r>
    </w:p>
    <w:p w14:paraId="434E6D17"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Mezi další negativní dopady související např. se zvyšováním teplot patří šíření nepůvodních druhů, ohrožujících zejména existenci cenných biotopů.</w:t>
      </w:r>
    </w:p>
    <w:p w14:paraId="75617BC5"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Ve zvláště chráněných územích a územích soustavy Natura 2000 je třeba zachovat ekologicky stabilní přírodní a přírodě blízké ekosystémy, poskytující ekosystémové služby a umožňující přežití ohrožených druhů rostlin a živočichů. Ve volné krajině je třeba zvýšit </w:t>
      </w:r>
      <w:proofErr w:type="spellStart"/>
      <w:r w:rsidRPr="43DF8A4C">
        <w:rPr>
          <w:rFonts w:asciiTheme="minorHAnsi" w:eastAsiaTheme="minorEastAsia" w:hAnsiTheme="minorHAnsi" w:cstheme="minorBidi"/>
          <w:i w:val="0"/>
          <w:iCs w:val="0"/>
          <w:color w:val="auto"/>
          <w:sz w:val="20"/>
          <w:szCs w:val="20"/>
        </w:rPr>
        <w:t>resilienci</w:t>
      </w:r>
      <w:proofErr w:type="spellEnd"/>
      <w:r w:rsidRPr="43DF8A4C">
        <w:rPr>
          <w:rFonts w:asciiTheme="minorHAnsi" w:eastAsiaTheme="minorEastAsia" w:hAnsiTheme="minorHAnsi" w:cstheme="minorBidi"/>
          <w:i w:val="0"/>
          <w:iCs w:val="0"/>
          <w:color w:val="auto"/>
          <w:sz w:val="20"/>
          <w:szCs w:val="20"/>
        </w:rPr>
        <w:t xml:space="preserve"> ekosystémů vůči nepříznivým vlivům a posílit tak jejich schopnost poskytovat ekosystémové funkce.  </w:t>
      </w:r>
    </w:p>
    <w:p w14:paraId="793538CE"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b/>
          <w:bCs/>
          <w:i w:val="0"/>
          <w:iCs w:val="0"/>
          <w:color w:val="auto"/>
          <w:sz w:val="20"/>
          <w:szCs w:val="20"/>
        </w:rPr>
      </w:pPr>
      <w:r w:rsidRPr="43DF8A4C">
        <w:rPr>
          <w:rFonts w:asciiTheme="minorHAnsi" w:eastAsiaTheme="minorEastAsia" w:hAnsiTheme="minorHAnsi" w:cstheme="minorBidi"/>
          <w:b/>
          <w:bCs/>
          <w:i w:val="0"/>
          <w:iCs w:val="0"/>
          <w:color w:val="auto"/>
          <w:sz w:val="20"/>
          <w:szCs w:val="20"/>
        </w:rPr>
        <w:t>Podporované aktivity v rámci komponenty budou:</w:t>
      </w:r>
    </w:p>
    <w:p w14:paraId="477D53E7" w14:textId="31255591" w:rsidR="00F17AAA" w:rsidRPr="00A463A7" w:rsidRDefault="00546D02" w:rsidP="00A463A7">
      <w:pPr>
        <w:pStyle w:val="Odstavecseseznamem"/>
        <w:numPr>
          <w:ilvl w:val="0"/>
          <w:numId w:val="10"/>
        </w:numPr>
        <w:spacing w:after="0" w:line="240" w:lineRule="auto"/>
        <w:jc w:val="both"/>
        <w:rPr>
          <w:rFonts w:asciiTheme="minorHAnsi" w:hAnsiTheme="minorHAnsi"/>
          <w:i/>
          <w:sz w:val="20"/>
        </w:rPr>
      </w:pPr>
      <w:r w:rsidRPr="00A463A7">
        <w:rPr>
          <w:rFonts w:asciiTheme="minorHAnsi" w:hAnsiTheme="minorHAnsi"/>
          <w:sz w:val="20"/>
        </w:rPr>
        <w:t xml:space="preserve">opatření na přírodě blízkou povodňovou ochranu </w:t>
      </w:r>
      <w:proofErr w:type="spellStart"/>
      <w:r w:rsidRPr="00A463A7">
        <w:rPr>
          <w:rFonts w:asciiTheme="minorHAnsi" w:hAnsiTheme="minorHAnsi"/>
          <w:sz w:val="20"/>
        </w:rPr>
        <w:t>intravilánu</w:t>
      </w:r>
      <w:proofErr w:type="spellEnd"/>
      <w:r w:rsidRPr="00A463A7">
        <w:rPr>
          <w:rFonts w:asciiTheme="minorHAnsi" w:hAnsiTheme="minorHAnsi"/>
          <w:sz w:val="20"/>
        </w:rPr>
        <w:t xml:space="preserve"> města Brna. Bude zajištěn přirozený tlumivý rozliv povodní v nivě (snížení kapacity koryta a umožnění rozlivu); úprava kapacity koryta složeným profilem; úpravy nevhodného opevnění; zvýšení členitosti a zlepšení morfologie koryta vodního toku;</w:t>
      </w:r>
      <w:r w:rsidRPr="00A463A7" w:rsidDel="00E07FFA">
        <w:rPr>
          <w:rFonts w:asciiTheme="minorHAnsi" w:hAnsiTheme="minorHAnsi"/>
          <w:sz w:val="20"/>
        </w:rPr>
        <w:t xml:space="preserve"> </w:t>
      </w:r>
      <w:r w:rsidRPr="00A463A7">
        <w:rPr>
          <w:rFonts w:asciiTheme="minorHAnsi" w:hAnsiTheme="minorHAnsi"/>
          <w:sz w:val="20"/>
        </w:rPr>
        <w:t>tvorba mokřin a tůní.</w:t>
      </w:r>
    </w:p>
    <w:p w14:paraId="4F3C066D" w14:textId="77777777" w:rsidR="00F17AAA" w:rsidRPr="00CB1019" w:rsidRDefault="009F230F" w:rsidP="43DF8A4C">
      <w:pPr>
        <w:pStyle w:val="K-TextInfo"/>
        <w:numPr>
          <w:ilvl w:val="0"/>
          <w:numId w:val="10"/>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hospodaření se srážkovými vodami v </w:t>
      </w:r>
      <w:proofErr w:type="spellStart"/>
      <w:r w:rsidRPr="43DF8A4C">
        <w:rPr>
          <w:rFonts w:asciiTheme="minorHAnsi" w:eastAsiaTheme="minorEastAsia" w:hAnsiTheme="minorHAnsi" w:cstheme="minorBidi"/>
          <w:i w:val="0"/>
          <w:iCs w:val="0"/>
          <w:color w:val="auto"/>
          <w:sz w:val="20"/>
          <w:szCs w:val="20"/>
        </w:rPr>
        <w:t>intravilánu</w:t>
      </w:r>
      <w:proofErr w:type="spellEnd"/>
      <w:r w:rsidRPr="43DF8A4C">
        <w:rPr>
          <w:rFonts w:asciiTheme="minorHAnsi" w:eastAsiaTheme="minorEastAsia" w:hAnsiTheme="minorHAnsi" w:cstheme="minorBidi"/>
          <w:i w:val="0"/>
          <w:iCs w:val="0"/>
          <w:color w:val="auto"/>
          <w:sz w:val="20"/>
          <w:szCs w:val="20"/>
        </w:rPr>
        <w:t xml:space="preserve"> a jejich další využití namísto jejich urychleného odvádění kanalizací do toků,</w:t>
      </w:r>
    </w:p>
    <w:p w14:paraId="7F8DDE65" w14:textId="77777777" w:rsidR="00F17AAA" w:rsidRPr="00CB1019" w:rsidRDefault="009F230F" w:rsidP="43DF8A4C">
      <w:pPr>
        <w:pStyle w:val="Odstavecseseznamem"/>
        <w:numPr>
          <w:ilvl w:val="0"/>
          <w:numId w:val="13"/>
        </w:num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realizace záchranných programů přijatých MŽP pro zvláště chráněné druhy rostlin a živočichů, programů péče přijatých MŽP pro zvláště chráněné druhy a regionálních akčních plánů, schválených AOPK ČR</w:t>
      </w:r>
    </w:p>
    <w:p w14:paraId="3E614130" w14:textId="77777777" w:rsidR="00F17AAA" w:rsidRPr="00CB1019" w:rsidRDefault="009F230F" w:rsidP="43DF8A4C">
      <w:pPr>
        <w:pStyle w:val="Odstavecseseznamem"/>
        <w:numPr>
          <w:ilvl w:val="0"/>
          <w:numId w:val="13"/>
        </w:num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opatření přispívající ke zlepšování přirozených funkcí vodních toků a niv, včetně obnovy jejich migrační prostupnosti a podpory samovolného rozlivu</w:t>
      </w:r>
    </w:p>
    <w:p w14:paraId="7CC0C888" w14:textId="77777777" w:rsidR="00F17AAA" w:rsidRPr="00CB1019" w:rsidRDefault="009F230F" w:rsidP="43DF8A4C">
      <w:pPr>
        <w:pStyle w:val="Odstavecseseznamem"/>
        <w:numPr>
          <w:ilvl w:val="0"/>
          <w:numId w:val="13"/>
        </w:num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obnova nebo tvorba vodních prvků (např. mokřadů a tůní, malých vodních nádrží přírodě blízkého charakteru) s cílem zlepšení retenční schopnosti krajiny a podpory biodiverzity</w:t>
      </w:r>
    </w:p>
    <w:p w14:paraId="008BC338" w14:textId="77777777" w:rsidR="00F17AAA" w:rsidRPr="00CB1019" w:rsidRDefault="009F230F" w:rsidP="43DF8A4C">
      <w:pPr>
        <w:pStyle w:val="Odstavecseseznamem"/>
        <w:numPr>
          <w:ilvl w:val="0"/>
          <w:numId w:val="13"/>
        </w:num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 xml:space="preserve">tvorba a obnova biotopů pro zvláště chráněné druhy dle vyhlášky č. 395/1992 Sb., v platném znění a druhy uvedené v Červeném seznamu (v kategoriích CR, EN, VU) </w:t>
      </w:r>
    </w:p>
    <w:p w14:paraId="5901911F" w14:textId="77777777" w:rsidR="00F17AAA" w:rsidRPr="00CB1019" w:rsidRDefault="009F230F" w:rsidP="43DF8A4C">
      <w:pPr>
        <w:pStyle w:val="Odstavecseseznamem"/>
        <w:numPr>
          <w:ilvl w:val="0"/>
          <w:numId w:val="13"/>
        </w:num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tvorba a obnova ekostabilizačních prvků v krajině (např. remízy, meze, zasakovací pásy, mělké příkopy apod.)</w:t>
      </w:r>
    </w:p>
    <w:p w14:paraId="54051F73" w14:textId="2A881151" w:rsidR="00F17AAA" w:rsidRPr="00CB1019" w:rsidRDefault="009F230F" w:rsidP="43DF8A4C">
      <w:pPr>
        <w:pStyle w:val="Odstavecseseznamem"/>
        <w:numPr>
          <w:ilvl w:val="0"/>
          <w:numId w:val="13"/>
        </w:num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 xml:space="preserve">opatření k omezování fragmentace krajiny a podpoře migrační prostupnosti krajiny </w:t>
      </w:r>
    </w:p>
    <w:p w14:paraId="76784C08" w14:textId="77777777" w:rsidR="00F17AAA" w:rsidRPr="00CB1019" w:rsidRDefault="009F230F" w:rsidP="43DF8A4C">
      <w:pPr>
        <w:pStyle w:val="Odstavecseseznamem"/>
        <w:numPr>
          <w:ilvl w:val="0"/>
          <w:numId w:val="13"/>
        </w:num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opatření pro zlepšování druhové, věkové nebo prostorové skladby lesních porostů</w:t>
      </w:r>
    </w:p>
    <w:p w14:paraId="7424C95C" w14:textId="77777777" w:rsidR="00F17AAA" w:rsidRPr="00CB1019" w:rsidRDefault="009F230F" w:rsidP="43DF8A4C">
      <w:pPr>
        <w:pStyle w:val="Odstavecseseznamem"/>
        <w:numPr>
          <w:ilvl w:val="0"/>
          <w:numId w:val="13"/>
        </w:num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opatření za účelem bezpečného ponechání dřevní hmoty v lese</w:t>
      </w:r>
    </w:p>
    <w:p w14:paraId="6807E7CB" w14:textId="77777777" w:rsidR="00F17AAA" w:rsidRPr="00CB1019" w:rsidRDefault="009F230F" w:rsidP="43DF8A4C">
      <w:pPr>
        <w:pStyle w:val="Odstavecseseznamem"/>
        <w:numPr>
          <w:ilvl w:val="0"/>
          <w:numId w:val="13"/>
        </w:num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 xml:space="preserve">ponechání </w:t>
      </w:r>
      <w:proofErr w:type="spellStart"/>
      <w:r w:rsidRPr="43DF8A4C">
        <w:rPr>
          <w:rFonts w:asciiTheme="minorHAnsi" w:eastAsiaTheme="minorEastAsia" w:hAnsiTheme="minorHAnsi" w:cstheme="minorBidi"/>
          <w:color w:val="auto"/>
          <w:sz w:val="20"/>
          <w:szCs w:val="20"/>
        </w:rPr>
        <w:t>výstavků</w:t>
      </w:r>
      <w:proofErr w:type="spellEnd"/>
      <w:r w:rsidRPr="43DF8A4C">
        <w:rPr>
          <w:rFonts w:asciiTheme="minorHAnsi" w:eastAsiaTheme="minorEastAsia" w:hAnsiTheme="minorHAnsi" w:cstheme="minorBidi"/>
          <w:color w:val="auto"/>
          <w:sz w:val="20"/>
          <w:szCs w:val="20"/>
        </w:rPr>
        <w:t xml:space="preserve"> stanovištně původních dřevin na dožití a následnému přirozenému rozkladu v lesním porostu</w:t>
      </w:r>
    </w:p>
    <w:p w14:paraId="2F059442" w14:textId="77777777" w:rsidR="00F17AAA" w:rsidRPr="00CB1019" w:rsidRDefault="009F230F" w:rsidP="43DF8A4C">
      <w:pPr>
        <w:pStyle w:val="Odstavecseseznamem"/>
        <w:numPr>
          <w:ilvl w:val="0"/>
          <w:numId w:val="13"/>
        </w:num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zpracování lesních hospodářských plánů pro hospodářskou úpravu nepasečných forem hospodaření v národních parcích a jejich ochranných pásmech</w:t>
      </w:r>
    </w:p>
    <w:p w14:paraId="6E4CE22D" w14:textId="77777777" w:rsidR="00F17AAA" w:rsidRPr="00CB1019" w:rsidRDefault="009F230F" w:rsidP="43DF8A4C">
      <w:pPr>
        <w:pStyle w:val="Odstavecseseznamem"/>
        <w:numPr>
          <w:ilvl w:val="0"/>
          <w:numId w:val="13"/>
        </w:num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likvidace invazních druhů</w:t>
      </w:r>
    </w:p>
    <w:p w14:paraId="5DAB6C7B" w14:textId="669F0C0E" w:rsidR="00F17AAA" w:rsidRPr="00CB1019" w:rsidRDefault="009F230F" w:rsidP="43DF8A4C">
      <w:pPr>
        <w:pStyle w:val="Odstavecseseznamem"/>
        <w:numPr>
          <w:ilvl w:val="0"/>
          <w:numId w:val="13"/>
        </w:num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zavedení systému operativního řízení během sucha, tvora plánů pro zvládání sucha a stavů nedostatku vody, jmenování komisí pro zvládání sucha a stavů nedostatku vody, zajištění předpovědní služby pro sucho</w:t>
      </w:r>
    </w:p>
    <w:p w14:paraId="1A6E756F" w14:textId="44D7DD63"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u w:val="single"/>
        </w:rPr>
        <w:t>Hlavní cílové skupiny</w:t>
      </w:r>
      <w:r w:rsidRPr="43DF8A4C">
        <w:rPr>
          <w:rFonts w:asciiTheme="minorHAnsi" w:eastAsiaTheme="minorEastAsia" w:hAnsiTheme="minorHAnsi" w:cstheme="minorBidi"/>
          <w:i w:val="0"/>
          <w:iCs w:val="0"/>
          <w:color w:val="auto"/>
          <w:sz w:val="20"/>
          <w:szCs w:val="20"/>
        </w:rPr>
        <w:t xml:space="preserve">: veřejný sektor, organizace zajišťující technická opatření na vodních tocích (správci toků), fyzické osoby, právnické osoby, obecně prospěšné organizace, </w:t>
      </w:r>
      <w:r w:rsidR="00D90FFC">
        <w:rPr>
          <w:rFonts w:asciiTheme="minorHAnsi" w:eastAsiaTheme="minorEastAsia" w:hAnsiTheme="minorHAnsi" w:cstheme="minorBidi"/>
          <w:i w:val="0"/>
          <w:iCs w:val="0"/>
          <w:color w:val="auto"/>
          <w:sz w:val="20"/>
          <w:szCs w:val="20"/>
        </w:rPr>
        <w:t xml:space="preserve">spolky, </w:t>
      </w:r>
      <w:r w:rsidRPr="43DF8A4C">
        <w:rPr>
          <w:rFonts w:asciiTheme="minorHAnsi" w:eastAsiaTheme="minorEastAsia" w:hAnsiTheme="minorHAnsi" w:cstheme="minorBidi"/>
          <w:i w:val="0"/>
          <w:iCs w:val="0"/>
          <w:color w:val="auto"/>
          <w:sz w:val="20"/>
          <w:szCs w:val="20"/>
        </w:rPr>
        <w:t>významní uživatelé vody</w:t>
      </w:r>
    </w:p>
    <w:p w14:paraId="467B0C10"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u w:val="single"/>
        </w:rPr>
        <w:t>Cílová území:</w:t>
      </w:r>
      <w:r w:rsidRPr="43DF8A4C">
        <w:rPr>
          <w:rFonts w:asciiTheme="minorHAnsi" w:eastAsiaTheme="minorEastAsia" w:hAnsiTheme="minorHAnsi" w:cstheme="minorBidi"/>
          <w:i w:val="0"/>
          <w:iCs w:val="0"/>
          <w:color w:val="auto"/>
          <w:sz w:val="20"/>
          <w:szCs w:val="20"/>
        </w:rPr>
        <w:t xml:space="preserve"> území celé České republiky.</w:t>
      </w:r>
    </w:p>
    <w:p w14:paraId="01B0B588"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shd w:val="clear" w:color="auto" w:fill="FFFFFF" w:themeFill="background1"/>
        <w:rPr>
          <w:rFonts w:asciiTheme="minorHAnsi" w:eastAsiaTheme="minorEastAsia" w:hAnsiTheme="minorHAnsi" w:cstheme="minorBidi"/>
          <w:i w:val="0"/>
          <w:iCs w:val="0"/>
          <w:color w:val="auto"/>
          <w:sz w:val="20"/>
          <w:szCs w:val="20"/>
          <w:highlight w:val="white"/>
        </w:rPr>
      </w:pPr>
      <w:r w:rsidRPr="43DF8A4C">
        <w:rPr>
          <w:rFonts w:asciiTheme="minorHAnsi" w:eastAsiaTheme="minorEastAsia" w:hAnsiTheme="minorHAnsi" w:cstheme="minorBidi"/>
          <w:i w:val="0"/>
          <w:iCs w:val="0"/>
          <w:color w:val="auto"/>
          <w:sz w:val="20"/>
          <w:szCs w:val="20"/>
          <w:highlight w:val="white"/>
          <w:u w:val="single"/>
          <w:shd w:val="clear" w:color="FFFFFF" w:fill="FFFFFF" w:themeFill="background1"/>
        </w:rPr>
        <w:t>Míry podpory:</w:t>
      </w:r>
      <w:r w:rsidRPr="43DF8A4C">
        <w:rPr>
          <w:rFonts w:asciiTheme="minorHAnsi" w:eastAsiaTheme="minorEastAsia" w:hAnsiTheme="minorHAnsi" w:cstheme="minorBidi"/>
          <w:i w:val="0"/>
          <w:iCs w:val="0"/>
          <w:color w:val="auto"/>
          <w:sz w:val="20"/>
          <w:szCs w:val="20"/>
          <w:highlight w:val="white"/>
          <w:shd w:val="clear" w:color="FFFFFF" w:fill="FFFFFF" w:themeFill="background1"/>
        </w:rPr>
        <w:t xml:space="preserve"> Po</w:t>
      </w:r>
      <w:r w:rsidRPr="43DF8A4C">
        <w:rPr>
          <w:rFonts w:asciiTheme="minorHAnsi" w:eastAsiaTheme="minorEastAsia" w:hAnsiTheme="minorHAnsi" w:cstheme="minorBidi"/>
          <w:i w:val="0"/>
          <w:iCs w:val="0"/>
          <w:color w:val="auto"/>
          <w:sz w:val="20"/>
          <w:szCs w:val="20"/>
          <w:highlight w:val="white"/>
        </w:rPr>
        <w:t xml:space="preserve">dpora je uvažovaná ve výši max. 95 % celkových způsobilých výdajů u opatření </w:t>
      </w:r>
      <w:proofErr w:type="spellStart"/>
      <w:r w:rsidRPr="43DF8A4C">
        <w:rPr>
          <w:rFonts w:asciiTheme="minorHAnsi" w:eastAsiaTheme="minorEastAsia" w:hAnsiTheme="minorHAnsi" w:cstheme="minorBidi"/>
          <w:i w:val="0"/>
          <w:iCs w:val="0"/>
          <w:color w:val="auto"/>
          <w:sz w:val="20"/>
          <w:szCs w:val="20"/>
          <w:highlight w:val="white"/>
        </w:rPr>
        <w:t>zprůtočnění</w:t>
      </w:r>
      <w:proofErr w:type="spellEnd"/>
      <w:r w:rsidRPr="43DF8A4C">
        <w:rPr>
          <w:rFonts w:asciiTheme="minorHAnsi" w:eastAsiaTheme="minorEastAsia" w:hAnsiTheme="minorHAnsi" w:cstheme="minorBidi"/>
          <w:i w:val="0"/>
          <w:iCs w:val="0"/>
          <w:color w:val="auto"/>
          <w:sz w:val="20"/>
          <w:szCs w:val="20"/>
          <w:highlight w:val="white"/>
        </w:rPr>
        <w:t xml:space="preserve"> nebo zvýšení retenčního potenciálu koryt vodních toků a přilehlých niv, zlepšení přirozených rozlivů. </w:t>
      </w:r>
    </w:p>
    <w:p w14:paraId="44E38DB5"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shd w:val="clear" w:color="auto" w:fill="FFFFFF" w:themeFill="background1"/>
        <w:rPr>
          <w:rFonts w:asciiTheme="minorHAnsi" w:eastAsiaTheme="minorEastAsia" w:hAnsiTheme="minorHAnsi" w:cstheme="minorBidi"/>
          <w:i w:val="0"/>
          <w:iCs w:val="0"/>
          <w:color w:val="auto"/>
          <w:sz w:val="20"/>
          <w:szCs w:val="20"/>
          <w:highlight w:val="white"/>
        </w:rPr>
      </w:pPr>
      <w:r w:rsidRPr="43DF8A4C">
        <w:rPr>
          <w:rFonts w:asciiTheme="minorHAnsi" w:eastAsiaTheme="minorEastAsia" w:hAnsiTheme="minorHAnsi" w:cstheme="minorBidi"/>
          <w:i w:val="0"/>
          <w:iCs w:val="0"/>
          <w:color w:val="auto"/>
          <w:sz w:val="20"/>
          <w:szCs w:val="20"/>
          <w:highlight w:val="white"/>
        </w:rPr>
        <w:t xml:space="preserve">U oblasti hospodaření se srážkovými vodami je podpora ve výši 85 % celkových způsobilých výdajů, s výjimkou budování propustných zpevněných povrchů, kde bude podpora poskytována ve výši max. 30 % celkových způsobilých výdajů. </w:t>
      </w:r>
    </w:p>
    <w:p w14:paraId="590BB751"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lastRenderedPageBreak/>
        <w:t>U oblasti zachování a zlepšování stavu předmětů ochrany zvláště chráněných území a území soustavy Natura 2000, obnova vodních, nelesních a lesních ekosystémů a zmírnění dopadů změny klimatu na tyto ekosystémy, podpora biodiverzity a regulace šíření invazních druhů je podpora ve výši 100 % celkových způsobilých výdajů.</w:t>
      </w:r>
    </w:p>
    <w:p w14:paraId="6E7BEAA2"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 </w:t>
      </w:r>
    </w:p>
    <w:p w14:paraId="77B18D7C" w14:textId="77777777" w:rsidR="00F17AAA" w:rsidRPr="00CB1019" w:rsidRDefault="009F230F" w:rsidP="43DF8A4C">
      <w:pPr>
        <w:pStyle w:val="Nadpis2"/>
        <w:spacing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 xml:space="preserve">2. </w:t>
      </w:r>
      <w:r w:rsidRPr="43DF8A4C">
        <w:rPr>
          <w:rStyle w:val="K-Nadpis2Char"/>
          <w:rFonts w:asciiTheme="minorHAnsi" w:eastAsiaTheme="minorEastAsia" w:hAnsiTheme="minorHAnsi" w:cstheme="minorBidi"/>
          <w:b/>
          <w:bCs/>
          <w:color w:val="auto"/>
          <w:sz w:val="20"/>
          <w:szCs w:val="20"/>
        </w:rPr>
        <w:t>Hlavní výzvy a cíle</w:t>
      </w:r>
      <w:r w:rsidRPr="43DF8A4C">
        <w:rPr>
          <w:rFonts w:asciiTheme="minorHAnsi" w:eastAsiaTheme="minorEastAsia" w:hAnsiTheme="minorHAnsi" w:cstheme="minorBidi"/>
          <w:color w:val="auto"/>
          <w:sz w:val="20"/>
          <w:szCs w:val="20"/>
        </w:rPr>
        <w:t xml:space="preserve"> </w:t>
      </w:r>
    </w:p>
    <w:p w14:paraId="72C83B9D" w14:textId="77777777" w:rsidR="00F17AAA" w:rsidRPr="00CB1019" w:rsidRDefault="009F230F" w:rsidP="43DF8A4C">
      <w:pPr>
        <w:pStyle w:val="Default"/>
        <w:spacing w:after="120"/>
        <w:jc w:val="both"/>
        <w:rPr>
          <w:rStyle w:val="K-Nadpis3Char"/>
          <w:rFonts w:asciiTheme="minorHAnsi" w:eastAsiaTheme="minorEastAsia" w:hAnsiTheme="minorHAnsi" w:cstheme="minorBidi"/>
          <w:color w:val="auto"/>
          <w:sz w:val="20"/>
          <w:szCs w:val="20"/>
        </w:rPr>
      </w:pPr>
      <w:r w:rsidRPr="43DF8A4C">
        <w:rPr>
          <w:rStyle w:val="K-Nadpis3Char"/>
          <w:rFonts w:asciiTheme="minorHAnsi" w:eastAsiaTheme="minorEastAsia" w:hAnsiTheme="minorHAnsi" w:cstheme="minorBidi"/>
          <w:color w:val="auto"/>
          <w:sz w:val="20"/>
          <w:szCs w:val="20"/>
        </w:rPr>
        <w:t>a) Hlavní výzvy</w:t>
      </w:r>
    </w:p>
    <w:p w14:paraId="36ADB7F5"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Hlavní výzvou komponenty 2.9 je reagovat na postupující projevy změny klimatu a dlouhodobý trend poklesu biodiverzity. Výzvou zůstává realizace komplexních projektů přizpůsobení se změnám klimatu, zvýšení odolnosti vůči povodním a suchu a zvládání povodňových rizik ve městě Brně pomocí přírodě blízkých opatření. </w:t>
      </w:r>
    </w:p>
    <w:p w14:paraId="6C8426B9"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u w:val="single"/>
        </w:rPr>
      </w:pPr>
      <w:r w:rsidRPr="43DF8A4C">
        <w:rPr>
          <w:rFonts w:asciiTheme="minorHAnsi" w:eastAsiaTheme="minorEastAsia" w:hAnsiTheme="minorHAnsi" w:cstheme="minorBidi"/>
          <w:i w:val="0"/>
          <w:iCs w:val="0"/>
          <w:color w:val="auto"/>
          <w:sz w:val="20"/>
          <w:szCs w:val="20"/>
          <w:u w:val="single"/>
        </w:rPr>
        <w:t>Mezi hlavní výzvy lze zařadit:</w:t>
      </w:r>
    </w:p>
    <w:p w14:paraId="0A22D2BE" w14:textId="77777777" w:rsidR="00F17AAA" w:rsidRPr="00CB1019" w:rsidRDefault="009F230F" w:rsidP="43DF8A4C">
      <w:pPr>
        <w:pStyle w:val="K-TextInfo"/>
        <w:numPr>
          <w:ilvl w:val="0"/>
          <w:numId w:val="11"/>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Zmírnění následků sucha v souvislosti se změnou klimatu.</w:t>
      </w:r>
    </w:p>
    <w:p w14:paraId="7125D273" w14:textId="77777777" w:rsidR="00F17AAA" w:rsidRPr="00CB1019" w:rsidRDefault="009F230F" w:rsidP="43DF8A4C">
      <w:pPr>
        <w:pStyle w:val="K-TextInfo"/>
        <w:numPr>
          <w:ilvl w:val="0"/>
          <w:numId w:val="11"/>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Zkvalitnění prevence před povodněmi a plnění požadavků směrnice 2007/60/ES (Povodňová směrnice) s cílem snižovat povodňová rizika v souladu s implementačními plány.</w:t>
      </w:r>
    </w:p>
    <w:p w14:paraId="5C9A88A9" w14:textId="77777777" w:rsidR="00F17AAA" w:rsidRPr="00CB1019" w:rsidRDefault="009F230F" w:rsidP="43DF8A4C">
      <w:pPr>
        <w:pStyle w:val="K-TextInfo"/>
        <w:numPr>
          <w:ilvl w:val="0"/>
          <w:numId w:val="11"/>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Zlepšení stavu vodních ekosystémů a dosažení environmentálních cílů v souladu se směrnicí 2000/60/ES (Rámcová směrnice o vodách). </w:t>
      </w:r>
    </w:p>
    <w:p w14:paraId="58AE2DBD" w14:textId="77777777" w:rsidR="00F17AAA" w:rsidRPr="00CB1019" w:rsidRDefault="009F230F" w:rsidP="43DF8A4C">
      <w:pPr>
        <w:pStyle w:val="K-TextInfo"/>
        <w:numPr>
          <w:ilvl w:val="0"/>
          <w:numId w:val="11"/>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Zlepšení retence vody v krajině k podpoře biodiverzity a snížení dopadu změny klimatu.</w:t>
      </w:r>
    </w:p>
    <w:p w14:paraId="31E24A46" w14:textId="77777777" w:rsidR="00F17AAA" w:rsidRPr="00CB1019" w:rsidRDefault="009F230F" w:rsidP="43DF8A4C">
      <w:pPr>
        <w:pStyle w:val="K-TextInfo"/>
        <w:numPr>
          <w:ilvl w:val="0"/>
          <w:numId w:val="11"/>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Zvýšení odolnosti vůči suchu</w:t>
      </w:r>
    </w:p>
    <w:p w14:paraId="1EA711D9" w14:textId="77777777" w:rsidR="00F17AAA" w:rsidRPr="00CB1019" w:rsidRDefault="009F230F" w:rsidP="43DF8A4C">
      <w:pPr>
        <w:pStyle w:val="K-TextInfo"/>
        <w:numPr>
          <w:ilvl w:val="0"/>
          <w:numId w:val="11"/>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Zvládání sucha a stavů nedostatků vody, operativní řízení během suchých epizod</w:t>
      </w:r>
    </w:p>
    <w:p w14:paraId="288C8BFE" w14:textId="0B9B4E70"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 V rámci realizace opatření budou podporována opatření k ochraně před povodněmi sledující implementaci Směrnice 2007/60/ES o vyhodnocování a zvládání povodňových rizik (na podkladě plánů pro zvládání povodňových rizik) a Směrnice 2000/60/ES (realizace </w:t>
      </w:r>
      <w:bookmarkStart w:id="0" w:name="_GoBack"/>
      <w:bookmarkEnd w:id="0"/>
      <w:r w:rsidR="00111C2C" w:rsidRPr="43DF8A4C">
        <w:rPr>
          <w:rFonts w:asciiTheme="minorHAnsi" w:eastAsiaTheme="minorEastAsia" w:hAnsiTheme="minorHAnsi" w:cstheme="minorBidi"/>
          <w:i w:val="0"/>
          <w:iCs w:val="0"/>
          <w:color w:val="auto"/>
          <w:sz w:val="20"/>
          <w:szCs w:val="20"/>
        </w:rPr>
        <w:t>výstupů,</w:t>
      </w:r>
      <w:r w:rsidRPr="43DF8A4C">
        <w:rPr>
          <w:rFonts w:asciiTheme="minorHAnsi" w:eastAsiaTheme="minorEastAsia" w:hAnsiTheme="minorHAnsi" w:cstheme="minorBidi"/>
          <w:i w:val="0"/>
          <w:iCs w:val="0"/>
          <w:color w:val="auto"/>
          <w:sz w:val="20"/>
          <w:szCs w:val="20"/>
        </w:rPr>
        <w:t xml:space="preserve"> resp. programů opatření 1. a 2. cyklu plánování v oblasti vod). </w:t>
      </w:r>
    </w:p>
    <w:p w14:paraId="701F0755" w14:textId="61146784"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V rámci oblasti podpory hospodaření se srážkovými vodami, zejména v městských aglomeracích je snaha postupně omezovat vypouštění neznečištěných srážkových vod bez užitku do kanalizace. Srážkové vody mohou být zadrženy a využívány např. k lokálnímu zavlažování zahrad a parků nebo zasakovány do podloží. V době povodně pak správná funkce těchto </w:t>
      </w:r>
      <w:proofErr w:type="spellStart"/>
      <w:r w:rsidRPr="43DF8A4C">
        <w:rPr>
          <w:rFonts w:asciiTheme="minorHAnsi" w:eastAsiaTheme="minorEastAsia" w:hAnsiTheme="minorHAnsi" w:cstheme="minorBidi"/>
          <w:i w:val="0"/>
          <w:iCs w:val="0"/>
          <w:color w:val="auto"/>
          <w:sz w:val="20"/>
          <w:szCs w:val="20"/>
        </w:rPr>
        <w:t>decentrálně</w:t>
      </w:r>
      <w:proofErr w:type="spellEnd"/>
      <w:r w:rsidRPr="43DF8A4C">
        <w:rPr>
          <w:rFonts w:asciiTheme="minorHAnsi" w:eastAsiaTheme="minorEastAsia" w:hAnsiTheme="minorHAnsi" w:cstheme="minorBidi"/>
          <w:i w:val="0"/>
          <w:iCs w:val="0"/>
          <w:color w:val="auto"/>
          <w:sz w:val="20"/>
          <w:szCs w:val="20"/>
        </w:rPr>
        <w:t xml:space="preserve"> zaměřených opatření může pomoci oddálit přetížení odvodňovacích prvků na kanalizaci a potenciálně snížit možné následky povodně. Výsledný efekt financovaných opatření v rámci této oblasti by mělo být jak omezení projevů sucha v městském prostředí, tak zlepšení povodňové ochrany sídelních aglomerací, a obecně tak opatření přispívají ke zvýšení </w:t>
      </w:r>
      <w:proofErr w:type="spellStart"/>
      <w:r w:rsidRPr="43DF8A4C">
        <w:rPr>
          <w:rFonts w:asciiTheme="minorHAnsi" w:eastAsiaTheme="minorEastAsia" w:hAnsiTheme="minorHAnsi" w:cstheme="minorBidi"/>
          <w:i w:val="0"/>
          <w:iCs w:val="0"/>
          <w:color w:val="auto"/>
          <w:sz w:val="20"/>
          <w:szCs w:val="20"/>
        </w:rPr>
        <w:t>resilience</w:t>
      </w:r>
      <w:proofErr w:type="spellEnd"/>
      <w:r w:rsidRPr="43DF8A4C">
        <w:rPr>
          <w:rFonts w:asciiTheme="minorHAnsi" w:eastAsiaTheme="minorEastAsia" w:hAnsiTheme="minorHAnsi" w:cstheme="minorBidi"/>
          <w:i w:val="0"/>
          <w:iCs w:val="0"/>
          <w:color w:val="auto"/>
          <w:sz w:val="20"/>
          <w:szCs w:val="20"/>
        </w:rPr>
        <w:t xml:space="preserve"> městského prostředí vůči projevům klimatické změny. </w:t>
      </w:r>
    </w:p>
    <w:p w14:paraId="23045442"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b/>
          <w:bCs/>
          <w:color w:val="auto"/>
          <w:sz w:val="20"/>
          <w:szCs w:val="20"/>
        </w:rPr>
        <w:t>Výzvy v oblasti péče o zvláště chráněná území a území soustavy Natura 2000 a péče o zvláště chráněné druhy rostlin a živočichů:</w:t>
      </w:r>
    </w:p>
    <w:p w14:paraId="3E06E506"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Potřeby zajištění péče o zvláště chráněná území vycházejí ze zpracovaných a schválených plánů péče. Plán péče o národní přírodní rezervace, národní přírodní památky, přírodní rezervace, přírodní památky a ochranná pásma těchto zvláště chráněných území (dále jen „ZCHÚ“) a chráněné krajinné oblasti (dále jen „plán péče“; § 38 ZOPK) je koncepční dokument ochrany přírody, který na základě údajů o dosavadním vývoji a současném stavu ZCHÚ navrhuje opatření k zachování nebo zlepšení stavu předmětů ochrany ZCHÚ a zabezpečení ZCHÚ před nepříznivými vlivy okolí v jeho ochranném pásmu. Plán péče slouží jako podklad pro zpracování jiných druhů plánovacích dokumentů (např. územně plánovací dokumentace, plány oblastí povodí) a pro rozhodování orgánů ochrany přírody.</w:t>
      </w:r>
    </w:p>
    <w:p w14:paraId="1F7B01F0"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 xml:space="preserve">Analogickým dokumentem pro národní parky, v menší podrobnosti (nejsou uváděna konkrétní opatření či aktivity, pouze rámcové cíle), jsou zásady péče (viz § </w:t>
      </w:r>
      <w:proofErr w:type="gramStart"/>
      <w:r w:rsidRPr="43DF8A4C">
        <w:rPr>
          <w:rFonts w:asciiTheme="minorHAnsi" w:eastAsiaTheme="minorEastAsia" w:hAnsiTheme="minorHAnsi" w:cstheme="minorBidi"/>
          <w:color w:val="auto"/>
          <w:sz w:val="20"/>
          <w:szCs w:val="20"/>
        </w:rPr>
        <w:t>38a</w:t>
      </w:r>
      <w:proofErr w:type="gramEnd"/>
      <w:r w:rsidRPr="43DF8A4C">
        <w:rPr>
          <w:rFonts w:asciiTheme="minorHAnsi" w:eastAsiaTheme="minorEastAsia" w:hAnsiTheme="minorHAnsi" w:cstheme="minorBidi"/>
          <w:color w:val="auto"/>
          <w:sz w:val="20"/>
          <w:szCs w:val="20"/>
        </w:rPr>
        <w:t xml:space="preserve"> ZOPK), které obsahují rámcové zásady péče nezbytné pro zachování nebo zlepšení stavu předmětů ochrany národních parků; zpracovávají se zpravidla na období 15–20 let. Orgány ochrany přírody (příslušné správy národních parků) zajišťují zpracování zásad péče, na základě kterého následně zajišťují péči. Zásady péče schvaluje MŽP.</w:t>
      </w:r>
    </w:p>
    <w:p w14:paraId="527692EA"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 xml:space="preserve">Pro evropsky významné lokality (EVL) vyhlašované v souladu s požadavky Směrnice Rady 92/43/EHS o ochraně přírodních stanovišť, volně žijících živočichů a planě rostoucích rostlin a § </w:t>
      </w:r>
      <w:proofErr w:type="gramStart"/>
      <w:r w:rsidRPr="43DF8A4C">
        <w:rPr>
          <w:rFonts w:asciiTheme="minorHAnsi" w:eastAsiaTheme="minorEastAsia" w:hAnsiTheme="minorHAnsi" w:cstheme="minorBidi"/>
          <w:color w:val="auto"/>
          <w:sz w:val="20"/>
          <w:szCs w:val="20"/>
        </w:rPr>
        <w:t>45a</w:t>
      </w:r>
      <w:proofErr w:type="gramEnd"/>
      <w:r w:rsidRPr="43DF8A4C">
        <w:rPr>
          <w:rFonts w:asciiTheme="minorHAnsi" w:eastAsiaTheme="minorEastAsia" w:hAnsiTheme="minorHAnsi" w:cstheme="minorBidi"/>
          <w:color w:val="auto"/>
          <w:sz w:val="20"/>
          <w:szCs w:val="20"/>
        </w:rPr>
        <w:t xml:space="preserve"> odst. 1 a 2 ZOPK, a ptačí oblasti (PO) vymezované v souladu s požadavky Směrnice Evropského parlamentu a Rady 2009/147/ES o ochraně volně žijících ptáků a § 45e odst. 1 a 2 ZOPK jsou připravovány souhrny doporučených opatření, které stanovují optimální péči o předměty ochrany lokalit. Dle § 45c odst. 3 ZOPK se souhrny doporučených opatření zpracovávají pro všechny EVL, zatímco pro PO se podle § 45e odst. 6 ZOPK připravují pouze v případě potřeby (zejména tam kde se PO nepřekrývá s existujícím ZCHÚ).</w:t>
      </w:r>
    </w:p>
    <w:p w14:paraId="4F0D6A9F"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lastRenderedPageBreak/>
        <w:t xml:space="preserve">Potřeby péče o zvláště chráněné druhy vyplývají ze záchranných programů. Záchranné programy (ZP) představují komplex aktivních opatření na ochranu druhů in </w:t>
      </w:r>
      <w:proofErr w:type="spellStart"/>
      <w:r w:rsidRPr="43DF8A4C">
        <w:rPr>
          <w:rFonts w:asciiTheme="minorHAnsi" w:eastAsiaTheme="minorEastAsia" w:hAnsiTheme="minorHAnsi" w:cstheme="minorBidi"/>
          <w:color w:val="auto"/>
          <w:sz w:val="20"/>
          <w:szCs w:val="20"/>
        </w:rPr>
        <w:t>situ</w:t>
      </w:r>
      <w:proofErr w:type="spellEnd"/>
      <w:r w:rsidRPr="43DF8A4C">
        <w:rPr>
          <w:rFonts w:asciiTheme="minorHAnsi" w:eastAsiaTheme="minorEastAsia" w:hAnsiTheme="minorHAnsi" w:cstheme="minorBidi"/>
          <w:color w:val="auto"/>
          <w:sz w:val="20"/>
          <w:szCs w:val="20"/>
        </w:rPr>
        <w:t xml:space="preserve"> (v přirozeném prostředí druhu), doplňovaná opatřeními ex </w:t>
      </w:r>
      <w:proofErr w:type="spellStart"/>
      <w:r w:rsidRPr="43DF8A4C">
        <w:rPr>
          <w:rFonts w:asciiTheme="minorHAnsi" w:eastAsiaTheme="minorEastAsia" w:hAnsiTheme="minorHAnsi" w:cstheme="minorBidi"/>
          <w:color w:val="auto"/>
          <w:sz w:val="20"/>
          <w:szCs w:val="20"/>
        </w:rPr>
        <w:t>situ</w:t>
      </w:r>
      <w:proofErr w:type="spellEnd"/>
      <w:r w:rsidRPr="43DF8A4C">
        <w:rPr>
          <w:rFonts w:asciiTheme="minorHAnsi" w:eastAsiaTheme="minorEastAsia" w:hAnsiTheme="minorHAnsi" w:cstheme="minorBidi"/>
          <w:color w:val="auto"/>
          <w:sz w:val="20"/>
          <w:szCs w:val="20"/>
        </w:rPr>
        <w:t xml:space="preserve"> (chovem či pěstováním v kultuře). Nejsou tedy jen záchranným pěstováním nebo umělým odchováváním jedinců a následným vysazováním či vypouštěním do volné přírody, jak bývá někdy mylně chápáno, ale zvláštní důraz je zde kladen na provázanost obou typů opatření, in </w:t>
      </w:r>
      <w:proofErr w:type="spellStart"/>
      <w:r w:rsidRPr="43DF8A4C">
        <w:rPr>
          <w:rFonts w:asciiTheme="minorHAnsi" w:eastAsiaTheme="minorEastAsia" w:hAnsiTheme="minorHAnsi" w:cstheme="minorBidi"/>
          <w:color w:val="auto"/>
          <w:sz w:val="20"/>
          <w:szCs w:val="20"/>
        </w:rPr>
        <w:t>situ</w:t>
      </w:r>
      <w:proofErr w:type="spellEnd"/>
      <w:r w:rsidRPr="43DF8A4C">
        <w:rPr>
          <w:rFonts w:asciiTheme="minorHAnsi" w:eastAsiaTheme="minorEastAsia" w:hAnsiTheme="minorHAnsi" w:cstheme="minorBidi"/>
          <w:color w:val="auto"/>
          <w:sz w:val="20"/>
          <w:szCs w:val="20"/>
        </w:rPr>
        <w:t xml:space="preserve"> a ex </w:t>
      </w:r>
      <w:proofErr w:type="spellStart"/>
      <w:r w:rsidRPr="43DF8A4C">
        <w:rPr>
          <w:rFonts w:asciiTheme="minorHAnsi" w:eastAsiaTheme="minorEastAsia" w:hAnsiTheme="minorHAnsi" w:cstheme="minorBidi"/>
          <w:color w:val="auto"/>
          <w:sz w:val="20"/>
          <w:szCs w:val="20"/>
        </w:rPr>
        <w:t>situ</w:t>
      </w:r>
      <w:proofErr w:type="spellEnd"/>
      <w:r w:rsidRPr="43DF8A4C">
        <w:rPr>
          <w:rFonts w:asciiTheme="minorHAnsi" w:eastAsiaTheme="minorEastAsia" w:hAnsiTheme="minorHAnsi" w:cstheme="minorBidi"/>
          <w:color w:val="auto"/>
          <w:sz w:val="20"/>
          <w:szCs w:val="20"/>
        </w:rPr>
        <w:t>.</w:t>
      </w:r>
    </w:p>
    <w:p w14:paraId="6F0088B1"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Kromě záchranných programů ve vlastním slova smyslu, jsou v souladu s aktuálními potřebami i trendy v ochraně přírody připravovány tzv. programy péče (PP), které se zaměřují na druhy ohrožené nižší měrou, avšak s existujícím rizikem změny tohoto stavu nebo druhy vyžadující komplexní koordinovaný přístup z důvodu jejich socioekonomického významu nebo dopadů.</w:t>
      </w:r>
    </w:p>
    <w:p w14:paraId="55076FD9"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Regionální akční plány (RAP) vytváří AOPK ČR, jejich cílem je záchrana populací ohrožených druhů živočichů a rostlin, které jsou svým výskytem vázané pouze na určitý region ČR anebo jsou v určitém regionu ČR bezprostředně ohrožené vyhynutím. Tyto druhy nemusí být přitom zvláště chráněné, RAP tedy řeší i problematické situace, kdy například mnoho kriticky ohrožených druhů hmyzu nepatří mezi chráněné druhy dle vyhlášky MŽP č. 395/1992 Sb. Předmětem RAP jsou často druhy, jejichž ochrana současně zajistí ochranu mnoha dalších ohrožených druhů živočichů a rostlin (tzv. „</w:t>
      </w:r>
      <w:proofErr w:type="spellStart"/>
      <w:r w:rsidRPr="43DF8A4C">
        <w:rPr>
          <w:rFonts w:asciiTheme="minorHAnsi" w:eastAsiaTheme="minorEastAsia" w:hAnsiTheme="minorHAnsi" w:cstheme="minorBidi"/>
          <w:color w:val="auto"/>
          <w:sz w:val="20"/>
          <w:szCs w:val="20"/>
        </w:rPr>
        <w:t>umbrella</w:t>
      </w:r>
      <w:proofErr w:type="spellEnd"/>
      <w:r w:rsidRPr="43DF8A4C">
        <w:rPr>
          <w:rFonts w:asciiTheme="minorHAnsi" w:eastAsiaTheme="minorEastAsia" w:hAnsiTheme="minorHAnsi" w:cstheme="minorBidi"/>
          <w:color w:val="auto"/>
          <w:sz w:val="20"/>
          <w:szCs w:val="20"/>
        </w:rPr>
        <w:t xml:space="preserve"> species“, deštníkové druhy).</w:t>
      </w:r>
    </w:p>
    <w:p w14:paraId="2FAF468D"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Současný objem finančních prostředků dostačuje pouze na částečnou „údržbu“, a to jen těch nejcennějších lokalit. Dochází tak k jejich postupné degradaci a zejména degradaci lokalit, na které finanční prostředky vůbec nezbývají.</w:t>
      </w:r>
    </w:p>
    <w:p w14:paraId="3357F6F3"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b/>
          <w:bCs/>
          <w:color w:val="auto"/>
          <w:sz w:val="20"/>
          <w:szCs w:val="20"/>
        </w:rPr>
        <w:t>Výzvy v oblasti adaptace vodních, nelesních a lesních ekosystémů na změnu klimatu:</w:t>
      </w:r>
    </w:p>
    <w:p w14:paraId="7C742305"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Podle scénářů změny klimatu bude docházet k postupnému zvyšování průměrné teploty vzduchu a zároveň dojde ke změně ročního chodu srážek. Poklesne průměrná zásoba vody v půdě, průměrná délka období s nedostatkem půdní vody se prodlouží. Tyto změny, zejména současné zvýšení teplot a pokles srážek v letním období, budou mít negativní vliv na vodní režim krajiny a vodních toků, zejména v teplých oblastech s dlouhodobými nízkými úhrny srážek. Podle výsledků získaných z výstupů různých klimatických scénářů může kolem roku 2085 na velkých tocích poklesnout průměrný odtok vody o 10–40 %. Pokles minimálních průtoků v letních a podzimních měsících je ještě významnější. Menší vodní toky mohou dokonce v období hydrologického sucha vyschnout a stát se občasnými vodními toky. Pokles odtoku povrchové vody bude doprovázet i pokles hladiny podzemní vody, a to i v hydrogeologických strukturách s velkou zásobní kapacitou.</w:t>
      </w:r>
    </w:p>
    <w:p w14:paraId="4E475C3E"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Oteplení zvyšuje evapotranspiraci, tj. zvyšuje riziko rozšíření ploch trpících suchem, které mají minimální ochlazující schopnost v krajině a v nízké míře podporují tvorbu srážek. Změny půdního klimatu budou mít vliv nejen na rostlinný kryt a biologickou složku půdy; ovlivněn bude mj. proces vzlínání podzemní vody a za hranice únosnosti se dále bude stupňovat i tlak na zbytky vzácných přírodě blízkých ekosystémů. Zejména ekosystémy vyšších poloh nejsou na takové změny připraveny.</w:t>
      </w:r>
    </w:p>
    <w:p w14:paraId="2AC2B79B"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Změna klimatu může mít dopad na šíření invazních druhů a udržitelné využívání biodiverzity v obhospodařovaných ekosystémech. Nedostatečně pružné ekosystémy, ohrožené ztrátou biodiverzity, nemusí snést přídavnou zátěž v podobě změny klimatu, což se může projevit i v zajištění ekosystémových služeb jako produkce potravin. Zdravý ekosystém s dostatečnou biodiverzitou může minimalizovat negativní účinky změny klimatu na druhy dané lokality. Biomasa druhově bohatších porostů bude odolnější vůči suchu než biomasa porostů druhově chudých.</w:t>
      </w:r>
    </w:p>
    <w:p w14:paraId="07405FAA" w14:textId="77777777" w:rsidR="00F17AAA" w:rsidRPr="00CB1019" w:rsidRDefault="009F230F" w:rsidP="43DF8A4C">
      <w:pPr>
        <w:pStyle w:val="K-Nadpis3"/>
        <w:rPr>
          <w:rFonts w:asciiTheme="minorHAnsi" w:eastAsiaTheme="minorEastAsia" w:hAnsiTheme="minorHAnsi" w:cstheme="minorBidi"/>
          <w:b w:val="0"/>
          <w:color w:val="auto"/>
          <w:sz w:val="20"/>
          <w:szCs w:val="20"/>
        </w:rPr>
      </w:pPr>
      <w:r w:rsidRPr="43DF8A4C">
        <w:rPr>
          <w:rFonts w:asciiTheme="minorHAnsi" w:eastAsiaTheme="minorEastAsia" w:hAnsiTheme="minorHAnsi" w:cstheme="minorBidi"/>
          <w:b w:val="0"/>
          <w:color w:val="auto"/>
          <w:sz w:val="20"/>
          <w:szCs w:val="20"/>
        </w:rPr>
        <w:t>Lesní ekosystémy musí odolávat krátkodobým teplotním a srážkovým extrémům, jejichž četnost narůstá. Navíc je nutno ke změnám prostředí přičíst silné antropogenní působení, tj. především dlouhodobou zátěž ekosystémů průmyslovými emisemi síry a dusíku. Působení změny klimatu hraje zásadní úlohu v případě zhoršování zdravotního stavu hospodářských převážně smrkových lesů v nižších a středních polohách, tedy v oblastech, které představují těžiště produkce dřeva v ČR. Dochází k aktivizaci řady patogenních škůdců, kteří se uplatňují jako iniciační i mortalitní stresor ve smrkových porostech všech věkových stupňů. Nejvýznamnějším rizikovým faktorem z hlediska změny klimatu je sucho, je iniciačním faktorem řady typů chřadnutí. Důsledkem sucha jsou hlavním rizikem živných stanovišť nižších a středních poloh (3. – 5. lesního vegetačního stupně) václavky, které se podílejí na postupném rozpadu stejnověkých smrkových porostů. Rizikovým faktorem jsou vedle letních vysokých teplot a přísušků i prudké výkyvy teploty v zimním období, kdy nezvykle teplá období střídá náhlý pokles teplot.</w:t>
      </w:r>
    </w:p>
    <w:p w14:paraId="546EF7B2" w14:textId="1AEC37F9" w:rsidR="00F17AAA" w:rsidRPr="00CB1019" w:rsidRDefault="009F230F" w:rsidP="43DF8A4C">
      <w:pPr>
        <w:pStyle w:val="K-Nadpis3"/>
        <w:rPr>
          <w:rFonts w:asciiTheme="minorHAnsi" w:eastAsiaTheme="minorEastAsia" w:hAnsiTheme="minorHAnsi" w:cstheme="minorBidi"/>
          <w:b w:val="0"/>
          <w:color w:val="auto"/>
          <w:sz w:val="20"/>
          <w:szCs w:val="20"/>
        </w:rPr>
      </w:pPr>
      <w:r w:rsidRPr="43DF8A4C">
        <w:rPr>
          <w:rFonts w:asciiTheme="minorHAnsi" w:eastAsiaTheme="minorEastAsia" w:hAnsiTheme="minorHAnsi" w:cstheme="minorBidi"/>
          <w:b w:val="0"/>
          <w:color w:val="auto"/>
          <w:sz w:val="20"/>
          <w:szCs w:val="20"/>
        </w:rPr>
        <w:t xml:space="preserve">Sucho je nahodilý přírodní jev způsobený deficitem srážek, který následně vede k poklesu množství vody v různých částech hydrologického cyklu. Pokud množství disponibilních vodních zdrojů není dostatečné pro uspokojení požadavků společnosti, hovoříme o stavu nedostatku vody. Sucho i nedostatek vody mohou způsobit hospodářské ztráty v klíčových odvětvích využívajících vodu a zároveň mohou mít environmentální dopady na biologickou rozmanitost, jakost vody, zhoršování stavu vodních útvarů, úbytek mokřadů, větrnou erozi půdy, degradaci a desertifikaci půdy.  </w:t>
      </w:r>
    </w:p>
    <w:p w14:paraId="377548E7" w14:textId="0BBA7235" w:rsidR="00F17AAA" w:rsidRPr="00CB1019" w:rsidRDefault="009F230F" w:rsidP="43DF8A4C">
      <w:pPr>
        <w:pStyle w:val="K-Nadpis3"/>
        <w:rPr>
          <w:rFonts w:asciiTheme="minorHAnsi" w:eastAsiaTheme="minorEastAsia" w:hAnsiTheme="minorHAnsi" w:cstheme="minorBidi"/>
          <w:b w:val="0"/>
          <w:color w:val="auto"/>
          <w:sz w:val="20"/>
          <w:szCs w:val="20"/>
        </w:rPr>
      </w:pPr>
      <w:r w:rsidRPr="43DF8A4C">
        <w:rPr>
          <w:rFonts w:asciiTheme="minorHAnsi" w:eastAsiaTheme="minorEastAsia" w:hAnsiTheme="minorHAnsi" w:cstheme="minorBidi"/>
          <w:b w:val="0"/>
          <w:color w:val="auto"/>
          <w:sz w:val="20"/>
          <w:szCs w:val="20"/>
        </w:rPr>
        <w:lastRenderedPageBreak/>
        <w:t>Opatření na ochranu před následky sucha a stavu nedostatku vody lze rozdělit z hlediska časové působnosti a podle jejich účelu na operativní, která budou přijímána až v souvislosti s probíhajícím suchem a stavem nedostatku vody, ke kterým je potřeba nastavit legislativní rámec a procesy řízení tak, aby bylo možné tato opatření v případě potřeby bezodkladně zavést, a preventivní a strategická, která je třeba přijmout a naplnit v dohledné době, neboť působí neustále a odvracejí vznik nepříznivých následků sucha a stavu nedostatku vody. Během</w:t>
      </w:r>
      <w:r w:rsidR="00A75363" w:rsidRPr="43DF8A4C">
        <w:rPr>
          <w:rFonts w:asciiTheme="minorHAnsi" w:eastAsiaTheme="minorEastAsia" w:hAnsiTheme="minorHAnsi" w:cstheme="minorBidi"/>
          <w:b w:val="0"/>
          <w:color w:val="auto"/>
          <w:sz w:val="20"/>
          <w:szCs w:val="20"/>
        </w:rPr>
        <w:t xml:space="preserve"> vyhodnocení</w:t>
      </w:r>
      <w:r w:rsidRPr="43DF8A4C">
        <w:rPr>
          <w:rFonts w:asciiTheme="minorHAnsi" w:eastAsiaTheme="minorEastAsia" w:hAnsiTheme="minorHAnsi" w:cstheme="minorBidi"/>
          <w:b w:val="0"/>
          <w:color w:val="auto"/>
          <w:sz w:val="20"/>
          <w:szCs w:val="20"/>
        </w:rPr>
        <w:t xml:space="preserve"> období sucha z roku 2015 se ukázalo, že vážným nedostatkem je chybějící ucelená legislativa řešící problematiku sucha a (stavu) nedostatku vody v zákoně č.254/2001 Sb.   </w:t>
      </w:r>
    </w:p>
    <w:p w14:paraId="2416F109" w14:textId="77777777" w:rsidR="00F17AAA" w:rsidRPr="00CB1019" w:rsidRDefault="009F230F" w:rsidP="43DF8A4C">
      <w:pPr>
        <w:pStyle w:val="K-Nadpis3"/>
        <w:rPr>
          <w:rFonts w:asciiTheme="minorHAnsi" w:eastAsiaTheme="minorEastAsia" w:hAnsiTheme="minorHAnsi" w:cstheme="minorBidi"/>
          <w:b w:val="0"/>
          <w:color w:val="auto"/>
          <w:sz w:val="20"/>
          <w:szCs w:val="20"/>
        </w:rPr>
      </w:pPr>
      <w:r w:rsidRPr="43DF8A4C">
        <w:rPr>
          <w:rFonts w:asciiTheme="minorHAnsi" w:eastAsiaTheme="minorEastAsia" w:hAnsiTheme="minorHAnsi" w:cstheme="minorBidi"/>
          <w:b w:val="0"/>
          <w:color w:val="auto"/>
          <w:sz w:val="20"/>
          <w:szCs w:val="20"/>
        </w:rPr>
        <w:t>Hlavní princip novely vodního zákona tak spočívá v legislativním nastavení operativního řízení v období sucha a stavu nedostatku vody.</w:t>
      </w:r>
      <w:r w:rsidR="00A75363" w:rsidRPr="43DF8A4C">
        <w:rPr>
          <w:rFonts w:asciiTheme="minorHAnsi" w:eastAsiaTheme="minorEastAsia" w:hAnsiTheme="minorHAnsi" w:cstheme="minorBidi"/>
          <w:b w:val="0"/>
          <w:color w:val="auto"/>
          <w:sz w:val="20"/>
          <w:szCs w:val="20"/>
        </w:rPr>
        <w:t xml:space="preserve"> </w:t>
      </w:r>
      <w:r w:rsidRPr="43DF8A4C">
        <w:rPr>
          <w:rFonts w:asciiTheme="minorHAnsi" w:eastAsiaTheme="minorEastAsia" w:hAnsiTheme="minorHAnsi" w:cstheme="minorBidi"/>
          <w:b w:val="0"/>
          <w:color w:val="auto"/>
          <w:sz w:val="20"/>
          <w:szCs w:val="20"/>
        </w:rPr>
        <w:t xml:space="preserve">Vzhledem k tomu, že v případě sucha a navazujícího stavu nedostatku vody je potřeba řešit situaci mimořádnějšími </w:t>
      </w:r>
      <w:proofErr w:type="gramStart"/>
      <w:r w:rsidRPr="43DF8A4C">
        <w:rPr>
          <w:rFonts w:asciiTheme="minorHAnsi" w:eastAsiaTheme="minorEastAsia" w:hAnsiTheme="minorHAnsi" w:cstheme="minorBidi"/>
          <w:b w:val="0"/>
          <w:color w:val="auto"/>
          <w:sz w:val="20"/>
          <w:szCs w:val="20"/>
        </w:rPr>
        <w:t>prostředky,</w:t>
      </w:r>
      <w:proofErr w:type="gramEnd"/>
      <w:r w:rsidRPr="43DF8A4C">
        <w:rPr>
          <w:rFonts w:asciiTheme="minorHAnsi" w:eastAsiaTheme="minorEastAsia" w:hAnsiTheme="minorHAnsi" w:cstheme="minorBidi"/>
          <w:b w:val="0"/>
          <w:color w:val="auto"/>
          <w:sz w:val="20"/>
          <w:szCs w:val="20"/>
        </w:rPr>
        <w:t xml:space="preserve"> než které poskytuje stávající právní úprava, avšak ještě ne tak krajními, jaké poskytuje zákon o krizovém řízení, byla zvolena výše uvedená varianta řešení.</w:t>
      </w:r>
    </w:p>
    <w:p w14:paraId="39C07851" w14:textId="77777777" w:rsidR="00F17AAA" w:rsidRPr="00CB1019" w:rsidRDefault="009F230F" w:rsidP="43DF8A4C">
      <w:pPr>
        <w:pStyle w:val="K-Nadpis3"/>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 xml:space="preserve">b) Cíle </w:t>
      </w:r>
    </w:p>
    <w:p w14:paraId="06A3F9FF"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color w:val="auto"/>
          <w:sz w:val="20"/>
          <w:szCs w:val="20"/>
        </w:rPr>
      </w:pPr>
      <w:r w:rsidRPr="43DF8A4C">
        <w:rPr>
          <w:rFonts w:asciiTheme="minorHAnsi" w:eastAsiaTheme="minorEastAsia" w:hAnsiTheme="minorHAnsi" w:cstheme="minorBidi"/>
          <w:i w:val="0"/>
          <w:iCs w:val="0"/>
          <w:color w:val="auto"/>
          <w:sz w:val="20"/>
          <w:szCs w:val="20"/>
        </w:rPr>
        <w:t>Očekávaným cílem podporovaných aktivit je posílení adaptibility krajiny, ekosystémů a urbánního prostředí na změnu klimatu, obnovení krajinných prvků a zpomalení degradace krajiny. Dále je cílem zvýšit bezpečnost obyvatel a ochranu majetku v podmínkách klimatických extrémů.</w:t>
      </w:r>
    </w:p>
    <w:p w14:paraId="6491A1BD"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Cílem je podporovat projekty:</w:t>
      </w:r>
    </w:p>
    <w:p w14:paraId="1C20672E"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 </w:t>
      </w:r>
      <w:r w:rsidRPr="43DF8A4C">
        <w:rPr>
          <w:rStyle w:val="K-TextChar"/>
          <w:rFonts w:asciiTheme="minorHAnsi" w:eastAsiaTheme="minorEastAsia" w:hAnsiTheme="minorHAnsi" w:cstheme="minorBidi"/>
          <w:i w:val="0"/>
          <w:color w:val="auto"/>
          <w:sz w:val="20"/>
          <w:szCs w:val="20"/>
        </w:rPr>
        <w:t>v rámci projektu města Brna se jedná obecně o</w:t>
      </w:r>
      <w:r w:rsidRPr="43DF8A4C">
        <w:rPr>
          <w:rFonts w:asciiTheme="minorHAnsi" w:eastAsiaTheme="minorEastAsia" w:hAnsiTheme="minorHAnsi" w:cstheme="minorBidi"/>
          <w:i w:val="0"/>
          <w:iCs w:val="0"/>
          <w:color w:val="auto"/>
          <w:sz w:val="20"/>
          <w:szCs w:val="20"/>
        </w:rPr>
        <w:t xml:space="preserve"> </w:t>
      </w:r>
      <w:proofErr w:type="spellStart"/>
      <w:r w:rsidRPr="43DF8A4C">
        <w:rPr>
          <w:rFonts w:asciiTheme="minorHAnsi" w:eastAsiaTheme="minorEastAsia" w:hAnsiTheme="minorHAnsi" w:cstheme="minorBidi"/>
          <w:i w:val="0"/>
          <w:iCs w:val="0"/>
          <w:color w:val="auto"/>
          <w:sz w:val="20"/>
          <w:szCs w:val="20"/>
        </w:rPr>
        <w:t>zprůtočnění</w:t>
      </w:r>
      <w:proofErr w:type="spellEnd"/>
      <w:r w:rsidRPr="43DF8A4C">
        <w:rPr>
          <w:rFonts w:asciiTheme="minorHAnsi" w:eastAsiaTheme="minorEastAsia" w:hAnsiTheme="minorHAnsi" w:cstheme="minorBidi"/>
          <w:i w:val="0"/>
          <w:iCs w:val="0"/>
          <w:color w:val="auto"/>
          <w:sz w:val="20"/>
          <w:szCs w:val="20"/>
        </w:rPr>
        <w:t xml:space="preserve"> nebo zvýšení retenčního potenciálu koryt vodních toků a přilehlých niv, zlepšení přirozených rozlivů, realizace opatření podporujících přirozený tlumivý rozliv povodní v nivách a zároveň též o </w:t>
      </w:r>
      <w:r w:rsidRPr="43DF8A4C">
        <w:rPr>
          <w:rFonts w:asciiTheme="minorHAnsi" w:eastAsiaTheme="minorEastAsia" w:hAnsiTheme="minorHAnsi" w:cstheme="minorBidi"/>
          <w:i w:val="0"/>
          <w:iCs w:val="0"/>
          <w:color w:val="auto"/>
          <w:sz w:val="20"/>
          <w:szCs w:val="20"/>
          <w:highlight w:val="white"/>
        </w:rPr>
        <w:t>pozitivní přínos pro biodiverzitu a ekologický stav řeky Svratky</w:t>
      </w:r>
      <w:r w:rsidRPr="43DF8A4C">
        <w:rPr>
          <w:rFonts w:asciiTheme="minorHAnsi" w:eastAsiaTheme="minorEastAsia" w:hAnsiTheme="minorHAnsi" w:cstheme="minorBidi"/>
          <w:i w:val="0"/>
          <w:iCs w:val="0"/>
          <w:color w:val="auto"/>
          <w:sz w:val="20"/>
          <w:szCs w:val="20"/>
        </w:rPr>
        <w:t>;</w:t>
      </w:r>
    </w:p>
    <w:p w14:paraId="37EF7A47"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shd w:val="clear" w:color="auto" w:fill="FFFFFF" w:themeFill="background1"/>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 u hospodaření se srážkovými vodami v </w:t>
      </w:r>
      <w:proofErr w:type="spellStart"/>
      <w:r w:rsidRPr="43DF8A4C">
        <w:rPr>
          <w:rFonts w:asciiTheme="minorHAnsi" w:eastAsiaTheme="minorEastAsia" w:hAnsiTheme="minorHAnsi" w:cstheme="minorBidi"/>
          <w:i w:val="0"/>
          <w:iCs w:val="0"/>
          <w:color w:val="auto"/>
          <w:sz w:val="20"/>
          <w:szCs w:val="20"/>
        </w:rPr>
        <w:t>intravilánu</w:t>
      </w:r>
      <w:proofErr w:type="spellEnd"/>
      <w:r w:rsidRPr="43DF8A4C">
        <w:rPr>
          <w:rFonts w:asciiTheme="minorHAnsi" w:eastAsiaTheme="minorEastAsia" w:hAnsiTheme="minorHAnsi" w:cstheme="minorBidi"/>
          <w:i w:val="0"/>
          <w:iCs w:val="0"/>
          <w:color w:val="auto"/>
          <w:sz w:val="20"/>
          <w:szCs w:val="20"/>
        </w:rPr>
        <w:t xml:space="preserve"> mluvíme o jejich dalším využití namísto jejich urychleného odvádění kanalizací do toků, realizaci opatření ke zpomalení odtoku, pro vsak, retenci a akumulaci srážkové vody vč. jejího dalšího využití; realizaci zelených střech.</w:t>
      </w:r>
    </w:p>
    <w:p w14:paraId="5E2E25D1" w14:textId="410D0DA5" w:rsidR="00F17AAA" w:rsidRPr="00CB1019" w:rsidRDefault="009F230F" w:rsidP="43DF8A4C">
      <w:pPr>
        <w:pStyle w:val="K-TextInfo"/>
        <w:pBdr>
          <w:top w:val="none" w:sz="4" w:space="0" w:color="000000"/>
          <w:left w:val="none" w:sz="4" w:space="0" w:color="000000"/>
          <w:bottom w:val="none" w:sz="4" w:space="0" w:color="000000"/>
          <w:right w:val="none" w:sz="4" w:space="0" w:color="000000"/>
        </w:pBdr>
        <w:shd w:val="clear" w:color="auto" w:fill="FFFFFF" w:themeFill="background1"/>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Hospodaření se srážkovými vodami je stále aktuálnější, povědomí odborné veřejnosti o těchto opatřeních se zvyšuje a je velký potenciál k realizaci konkrétních projektů, zvláště v souvislosti s posílením odolnosti vůči suchu. Obce při budování veřejných ploch zatím nepoužívají v dostatečné míře propustné povrchy. Nedisponují také systémy k využívání srážkové vody. Budování střech s retenční schopností je u budov zatím také výjimkou, cílem je tedy podporovat projekty ve výše uvedených oblastech.</w:t>
      </w:r>
    </w:p>
    <w:p w14:paraId="7B9BEDE3"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Cíle v oblasti</w:t>
      </w:r>
      <w:r w:rsidRPr="43DF8A4C">
        <w:rPr>
          <w:rFonts w:asciiTheme="minorHAnsi" w:eastAsiaTheme="minorEastAsia" w:hAnsiTheme="minorHAnsi" w:cstheme="minorBidi"/>
          <w:b/>
          <w:bCs/>
          <w:color w:val="auto"/>
          <w:sz w:val="20"/>
          <w:szCs w:val="20"/>
        </w:rPr>
        <w:t xml:space="preserve"> péče o zvláště chráněná území a území soustavy Natura 2000 a péče o zvláště chráněné druhy rostlin a živočichů</w:t>
      </w:r>
      <w:r w:rsidRPr="43DF8A4C">
        <w:rPr>
          <w:rFonts w:asciiTheme="minorHAnsi" w:eastAsiaTheme="minorEastAsia" w:hAnsiTheme="minorHAnsi" w:cstheme="minorBidi"/>
          <w:color w:val="auto"/>
          <w:sz w:val="20"/>
          <w:szCs w:val="20"/>
        </w:rPr>
        <w:t xml:space="preserve"> budou naplňovány v souladu s uvedenými plánovacími dokumenty a jsou následující:</w:t>
      </w:r>
    </w:p>
    <w:p w14:paraId="68601B45" w14:textId="77777777" w:rsidR="00F17AAA" w:rsidRPr="00CB1019" w:rsidRDefault="009F230F" w:rsidP="43DF8A4C">
      <w:pPr>
        <w:numPr>
          <w:ilvl w:val="0"/>
          <w:numId w:val="14"/>
        </w:num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zachování a zlepšování stavu předmětu ochrany ZCHÚ vč. Natura 2000,</w:t>
      </w:r>
    </w:p>
    <w:p w14:paraId="6EC86916" w14:textId="77777777" w:rsidR="00F17AAA" w:rsidRPr="00CB1019" w:rsidRDefault="009F230F" w:rsidP="43DF8A4C">
      <w:pPr>
        <w:numPr>
          <w:ilvl w:val="0"/>
          <w:numId w:val="14"/>
        </w:num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obnova nebo zachování lokalit pro ZCHD podle zpracovaných ZP, PP, RAP,</w:t>
      </w:r>
    </w:p>
    <w:p w14:paraId="74E71AEA" w14:textId="77777777" w:rsidR="00F17AAA" w:rsidRPr="00CB1019" w:rsidRDefault="009F230F" w:rsidP="43DF8A4C">
      <w:pPr>
        <w:numPr>
          <w:ilvl w:val="0"/>
          <w:numId w:val="14"/>
        </w:num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zpracování podkladových materiálů ke zlepšení stavu přírody a krajiny.</w:t>
      </w:r>
    </w:p>
    <w:p w14:paraId="63E4A9CD"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 </w:t>
      </w:r>
    </w:p>
    <w:p w14:paraId="21DB1984"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Cíle v oblasti</w:t>
      </w:r>
      <w:r w:rsidRPr="43DF8A4C">
        <w:rPr>
          <w:rFonts w:asciiTheme="minorHAnsi" w:eastAsiaTheme="minorEastAsia" w:hAnsiTheme="minorHAnsi" w:cstheme="minorBidi"/>
          <w:b/>
          <w:bCs/>
          <w:color w:val="auto"/>
          <w:sz w:val="20"/>
          <w:szCs w:val="20"/>
        </w:rPr>
        <w:t xml:space="preserve"> adaptace vodních, nelesních a lesních ekosystémů na změnu klimatu:</w:t>
      </w:r>
    </w:p>
    <w:p w14:paraId="08B798B3" w14:textId="77777777" w:rsidR="00F17AAA" w:rsidRPr="00CB1019" w:rsidRDefault="009F230F" w:rsidP="43DF8A4C">
      <w:pPr>
        <w:numPr>
          <w:ilvl w:val="0"/>
          <w:numId w:val="15"/>
        </w:num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zlepšení druhové a prostorové skladby lesa,</w:t>
      </w:r>
    </w:p>
    <w:p w14:paraId="485C17AE" w14:textId="77777777" w:rsidR="00F17AAA" w:rsidRPr="00CB1019" w:rsidRDefault="009F230F" w:rsidP="43DF8A4C">
      <w:pPr>
        <w:numPr>
          <w:ilvl w:val="0"/>
          <w:numId w:val="15"/>
        </w:num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zajištění péče o cenné nelesní terestrické biotopy,</w:t>
      </w:r>
    </w:p>
    <w:p w14:paraId="67D641D2" w14:textId="77777777" w:rsidR="00F17AAA" w:rsidRPr="00CB1019" w:rsidRDefault="009F230F" w:rsidP="43DF8A4C">
      <w:pPr>
        <w:numPr>
          <w:ilvl w:val="0"/>
          <w:numId w:val="15"/>
        </w:num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tvorba a obnova mokřadů (vč. tůní a malých vodních nádrží),</w:t>
      </w:r>
    </w:p>
    <w:p w14:paraId="055AC9EC" w14:textId="77777777" w:rsidR="00F17AAA" w:rsidRPr="00CB1019" w:rsidRDefault="009F230F" w:rsidP="43DF8A4C">
      <w:pPr>
        <w:numPr>
          <w:ilvl w:val="0"/>
          <w:numId w:val="15"/>
        </w:num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 xml:space="preserve">revitalizace a </w:t>
      </w:r>
      <w:proofErr w:type="spellStart"/>
      <w:r w:rsidRPr="43DF8A4C">
        <w:rPr>
          <w:rFonts w:asciiTheme="minorHAnsi" w:eastAsiaTheme="minorEastAsia" w:hAnsiTheme="minorHAnsi" w:cstheme="minorBidi"/>
          <w:color w:val="auto"/>
          <w:sz w:val="20"/>
          <w:szCs w:val="20"/>
        </w:rPr>
        <w:t>renaturace</w:t>
      </w:r>
      <w:proofErr w:type="spellEnd"/>
      <w:r w:rsidRPr="43DF8A4C">
        <w:rPr>
          <w:rFonts w:asciiTheme="minorHAnsi" w:eastAsiaTheme="minorEastAsia" w:hAnsiTheme="minorHAnsi" w:cstheme="minorBidi"/>
          <w:color w:val="auto"/>
          <w:sz w:val="20"/>
          <w:szCs w:val="20"/>
        </w:rPr>
        <w:t xml:space="preserve"> vodních toků,</w:t>
      </w:r>
    </w:p>
    <w:p w14:paraId="1C1724D1" w14:textId="3EEC1881" w:rsidR="00493786" w:rsidRDefault="009F230F" w:rsidP="43DF8A4C">
      <w:pPr>
        <w:numPr>
          <w:ilvl w:val="0"/>
          <w:numId w:val="15"/>
        </w:num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výsadba dřevin mimo les</w:t>
      </w:r>
      <w:r w:rsidR="00493786">
        <w:rPr>
          <w:rFonts w:asciiTheme="minorHAnsi" w:eastAsiaTheme="minorEastAsia" w:hAnsiTheme="minorHAnsi" w:cstheme="minorBidi"/>
          <w:color w:val="auto"/>
          <w:sz w:val="20"/>
          <w:szCs w:val="20"/>
        </w:rPr>
        <w:t>,</w:t>
      </w:r>
    </w:p>
    <w:p w14:paraId="60CE57E2" w14:textId="732BFF01" w:rsidR="00F17AAA" w:rsidRPr="00CB1019" w:rsidRDefault="00493786" w:rsidP="43DF8A4C">
      <w:pPr>
        <w:numPr>
          <w:ilvl w:val="0"/>
          <w:numId w:val="15"/>
        </w:num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Pr>
          <w:rFonts w:asciiTheme="minorHAnsi" w:eastAsiaTheme="minorEastAsia" w:hAnsiTheme="minorHAnsi" w:cstheme="minorBidi"/>
          <w:color w:val="auto"/>
          <w:sz w:val="20"/>
          <w:szCs w:val="20"/>
        </w:rPr>
        <w:t>tvorba studií proveditelnosti s cílem posoudit území z hlediska potenciálu zadržovat vodu a realizace vybraných opatření ze studií vyplývajících.</w:t>
      </w:r>
    </w:p>
    <w:p w14:paraId="54A07C65"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Tyto cíle byly identifikovány národními strategickými dokumenty jakožto kroky nezbytné k zajištění adaptace ekosystémů na změnu klimatu.</w:t>
      </w:r>
    </w:p>
    <w:p w14:paraId="6F44EA64"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shd w:val="clear" w:color="auto" w:fill="FFFFFF" w:themeFill="background1"/>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Cílem novely vodního zákona je zajištění fungujícího systému operativního řízení během sucha a stavu nedostatku vody. Řízení budou zajišťovat komise pro zvládání sucha a stavu nedostatku vody na krajské a národní úrovni. Krajské komise pro zvládání sucha a stavu nedostatku vody byly jmenovány do 1. 5. 2021. Ústřední komise bude ještě jmenována. Tyto </w:t>
      </w:r>
      <w:r w:rsidRPr="43DF8A4C">
        <w:rPr>
          <w:rFonts w:asciiTheme="minorHAnsi" w:eastAsiaTheme="minorEastAsia" w:hAnsiTheme="minorHAnsi" w:cstheme="minorBidi"/>
          <w:i w:val="0"/>
          <w:iCs w:val="0"/>
          <w:color w:val="auto"/>
          <w:sz w:val="20"/>
          <w:szCs w:val="20"/>
        </w:rPr>
        <w:lastRenderedPageBreak/>
        <w:t xml:space="preserve">komise budou postupovat podle schválených plánů pro zvládání sucha a stavu nedostatku vody, zpracovaných opět na krajské a národní úrovni. Zpracování krajských plánů bude do 1. 2. 2023, zpracování národního plánu na sucho bude zajištěno do </w:t>
      </w:r>
      <w:hyperlink r:id="rId14">
        <w:r w:rsidRPr="43DF8A4C">
          <w:rPr>
            <w:rStyle w:val="Hypertextovodkaz"/>
            <w:rFonts w:asciiTheme="minorHAnsi" w:eastAsiaTheme="minorEastAsia" w:hAnsiTheme="minorHAnsi" w:cstheme="minorBidi"/>
            <w:i w:val="0"/>
            <w:iCs w:val="0"/>
            <w:color w:val="auto"/>
            <w:sz w:val="20"/>
            <w:szCs w:val="20"/>
            <w:u w:val="none"/>
          </w:rPr>
          <w:t xml:space="preserve">1. </w:t>
        </w:r>
        <w:r w:rsidRPr="43DF8A4C">
          <w:rPr>
            <w:rFonts w:asciiTheme="minorHAnsi" w:eastAsiaTheme="minorEastAsia" w:hAnsiTheme="minorHAnsi" w:cstheme="minorBidi"/>
            <w:i w:val="0"/>
            <w:iCs w:val="0"/>
            <w:color w:val="auto"/>
            <w:sz w:val="20"/>
            <w:szCs w:val="20"/>
          </w:rPr>
          <w:t>2</w:t>
        </w:r>
      </w:hyperlink>
      <w:r w:rsidRPr="43DF8A4C">
        <w:rPr>
          <w:rFonts w:asciiTheme="minorHAnsi" w:eastAsiaTheme="minorEastAsia" w:hAnsiTheme="minorHAnsi" w:cstheme="minorBidi"/>
          <w:i w:val="0"/>
          <w:iCs w:val="0"/>
          <w:color w:val="auto"/>
          <w:sz w:val="20"/>
          <w:szCs w:val="20"/>
        </w:rPr>
        <w:t>. 2024.</w:t>
      </w:r>
    </w:p>
    <w:p w14:paraId="43E31CE9" w14:textId="77777777" w:rsidR="00F17AAA" w:rsidRPr="00CB1019" w:rsidRDefault="009F230F" w:rsidP="43DF8A4C">
      <w:pPr>
        <w:pStyle w:val="K-Nadpis3"/>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c) Národní strategický kontext</w:t>
      </w:r>
    </w:p>
    <w:p w14:paraId="1817D63E"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Boj se suchem a nedostatkem vody je jednou z priorit veřejného zájmu pro obyvatelstvo a národní hospodářství, a proto hlavním finančním zdrojem jsou prostředky státního rozpočtu a fondů EU za spolufinancování z některých dalších, zejména veřejných, finančních zdrojů. Klíčovým materiálem je </w:t>
      </w:r>
      <w:r w:rsidRPr="43DF8A4C">
        <w:rPr>
          <w:rFonts w:asciiTheme="minorHAnsi" w:eastAsiaTheme="minorEastAsia" w:hAnsiTheme="minorHAnsi" w:cstheme="minorBidi"/>
          <w:b/>
          <w:bCs/>
          <w:i w:val="0"/>
          <w:iCs w:val="0"/>
          <w:color w:val="auto"/>
          <w:sz w:val="20"/>
          <w:szCs w:val="20"/>
        </w:rPr>
        <w:t>Koncepce ochrany před následky sucha pro území České republiky</w:t>
      </w:r>
      <w:r w:rsidRPr="43DF8A4C">
        <w:rPr>
          <w:rFonts w:asciiTheme="minorHAnsi" w:eastAsiaTheme="minorEastAsia" w:hAnsiTheme="minorHAnsi" w:cstheme="minorBidi"/>
          <w:i w:val="0"/>
          <w:iCs w:val="0"/>
          <w:color w:val="auto"/>
          <w:sz w:val="20"/>
          <w:szCs w:val="20"/>
        </w:rPr>
        <w:t>, která byla schválena vládou České republiky usnesením č. 528 ze dne 24. července 2017. Zpracování koncepce bylo uloženo ministrům zemědělství a životního prostředí usnesením vlády č. 620 ze dne ze dne 29. července 2015 k přípravě realizace opatření pro zmírnění negativních dopadů sucha a nedostatku vody. Rozsáhlá analytická část se věnuje mj. i zhoršování kvality povrchových a podzemních vod. Koncepce se zaměřuje na strategické cíle vodního hospodářství pro ochranu před suchem a v jednotlivých kapitolách jsou představena opatření, kterými je možné nepříznivé důsledky sucha a nedostatku vody zmírnit nebo dokonce zcela eliminovat.</w:t>
      </w:r>
    </w:p>
    <w:p w14:paraId="484092F2"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Adaptace na změnu klimatu je také na národní úrovni poprvé komplexně řešena </w:t>
      </w:r>
      <w:r w:rsidRPr="43DF8A4C">
        <w:rPr>
          <w:rFonts w:asciiTheme="minorHAnsi" w:eastAsiaTheme="minorEastAsia" w:hAnsiTheme="minorHAnsi" w:cstheme="minorBidi"/>
          <w:b/>
          <w:bCs/>
          <w:i w:val="0"/>
          <w:iCs w:val="0"/>
          <w:color w:val="auto"/>
          <w:sz w:val="20"/>
          <w:szCs w:val="20"/>
        </w:rPr>
        <w:t>Strategií přizpůsobení se změně klimatu v podmínkách ČR</w:t>
      </w:r>
      <w:r w:rsidRPr="43DF8A4C">
        <w:rPr>
          <w:rFonts w:asciiTheme="minorHAnsi" w:eastAsiaTheme="minorEastAsia" w:hAnsiTheme="minorHAnsi" w:cstheme="minorBidi"/>
          <w:i w:val="0"/>
          <w:iCs w:val="0"/>
          <w:color w:val="auto"/>
          <w:sz w:val="20"/>
          <w:szCs w:val="20"/>
        </w:rPr>
        <w:t>; tento dokument, připravený na roky 2015-2020 s výhledem do roku 2030, byl schválen vládou v říjnu 2015. Dokument byl připraven v rámci mezirezortní spolupráce a koordinátorem přípravy celkového materiálu bylo Ministerstvo životního prostředí. Tato první adaptační strategie je v souladu s Adaptační strategií EU, přičemž reflektovala měřítko a podmínky ČR. Vytvoření a implementace adaptačních plánů a opatření je rovněž nedílnou součástí závazků přijatých v rámci Rámcové úmluvy OSN o změně klimatu. Adaptační strategie ČR identifikovala prioritní oblasti (sektory), u kterých se předpokládaly největší dopady změny klimatu, a to lesní hospodářství, zemědělství, vodní režim v krajině a vodní hospodářství, urbanizovaná krajina, biodiverzita a ekosystémové služby, zdraví a hygiena, cestovní ruch, doprava, průmysl a energetika a v neposlední řadě mimořádné události a ochrana obyvatelstva a životního prostředí. Implementačním dokumentem Adaptační strategie ČR na roky 2015-2020 byl Národní akční plán adaptace na změnu klimatu z roku 2015. Tento akční plán obsahoval seznam adaptačních opatření a úkolů, a to včetně odpovědnosti za plnění termínů, určení relevantních zdrojů financování a odhad nákladů na realizaci opatření. Součástí akčního plánu bylo též nastavení systému vyhodnocování zranitelnosti vůči změně klimatu a adaptace na ni. Na konci roku 2019 byla provedena evaluace Národního akčního plánu adaptace na změnu klimatu, jejíž výsledky ve formě souhrnného Vyhodnocení plnění Národního akčního plánu adaptace na změnu klimatu sloužily jako jeden z hlavních podkladů pro aktualizaci Strategie, která aktuálně probíhá.</w:t>
      </w:r>
      <w:r w:rsidR="00A75363" w:rsidRPr="43DF8A4C">
        <w:rPr>
          <w:rFonts w:asciiTheme="minorHAnsi" w:eastAsiaTheme="minorEastAsia" w:hAnsiTheme="minorHAnsi" w:cstheme="minorBidi"/>
          <w:i w:val="0"/>
          <w:iCs w:val="0"/>
          <w:color w:val="auto"/>
          <w:sz w:val="20"/>
          <w:szCs w:val="20"/>
        </w:rPr>
        <w:t xml:space="preserve"> </w:t>
      </w:r>
      <w:r w:rsidRPr="43DF8A4C">
        <w:rPr>
          <w:rFonts w:asciiTheme="minorHAnsi" w:eastAsiaTheme="minorEastAsia" w:hAnsiTheme="minorHAnsi" w:cstheme="minorBidi"/>
          <w:i w:val="0"/>
          <w:iCs w:val="0"/>
          <w:color w:val="auto"/>
          <w:sz w:val="20"/>
          <w:szCs w:val="20"/>
        </w:rPr>
        <w:t xml:space="preserve">Využívání srážkové vody v </w:t>
      </w:r>
      <w:proofErr w:type="spellStart"/>
      <w:r w:rsidRPr="43DF8A4C">
        <w:rPr>
          <w:rFonts w:asciiTheme="minorHAnsi" w:eastAsiaTheme="minorEastAsia" w:hAnsiTheme="minorHAnsi" w:cstheme="minorBidi"/>
          <w:i w:val="0"/>
          <w:iCs w:val="0"/>
          <w:color w:val="auto"/>
          <w:sz w:val="20"/>
          <w:szCs w:val="20"/>
        </w:rPr>
        <w:t>intravilánu</w:t>
      </w:r>
      <w:proofErr w:type="spellEnd"/>
      <w:r w:rsidRPr="43DF8A4C">
        <w:rPr>
          <w:rFonts w:asciiTheme="minorHAnsi" w:eastAsiaTheme="minorEastAsia" w:hAnsiTheme="minorHAnsi" w:cstheme="minorBidi"/>
          <w:i w:val="0"/>
          <w:iCs w:val="0"/>
          <w:color w:val="auto"/>
          <w:sz w:val="20"/>
          <w:szCs w:val="20"/>
        </w:rPr>
        <w:t xml:space="preserve"> lze přímo navazuje na plnění opatření Národního akčního plánu adaptace na změnu klimatu a zpracovanou studii "Hospodaření se srážkovými vodami v urbanizovaných územích".</w:t>
      </w:r>
    </w:p>
    <w:p w14:paraId="7BA5847C" w14:textId="131442DE"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Stěžejním</w:t>
      </w:r>
      <w:r w:rsidR="00A75363" w:rsidRPr="43DF8A4C">
        <w:rPr>
          <w:rFonts w:asciiTheme="minorHAnsi" w:eastAsiaTheme="minorEastAsia" w:hAnsiTheme="minorHAnsi" w:cstheme="minorBidi"/>
          <w:i w:val="0"/>
          <w:iCs w:val="0"/>
          <w:color w:val="auto"/>
          <w:sz w:val="20"/>
          <w:szCs w:val="20"/>
        </w:rPr>
        <w:t xml:space="preserve"> </w:t>
      </w:r>
      <w:r w:rsidRPr="43DF8A4C">
        <w:rPr>
          <w:rFonts w:asciiTheme="minorHAnsi" w:eastAsiaTheme="minorEastAsia" w:hAnsiTheme="minorHAnsi" w:cstheme="minorBidi"/>
          <w:i w:val="0"/>
          <w:iCs w:val="0"/>
          <w:color w:val="auto"/>
          <w:sz w:val="20"/>
          <w:szCs w:val="20"/>
        </w:rPr>
        <w:t xml:space="preserve">strategickým dokumentem v oblasti povodňové ochrany jsou </w:t>
      </w:r>
      <w:r w:rsidRPr="43DF8A4C">
        <w:rPr>
          <w:rFonts w:asciiTheme="minorHAnsi" w:eastAsiaTheme="minorEastAsia" w:hAnsiTheme="minorHAnsi" w:cstheme="minorBidi"/>
          <w:b/>
          <w:bCs/>
          <w:i w:val="0"/>
          <w:iCs w:val="0"/>
          <w:color w:val="auto"/>
          <w:sz w:val="20"/>
          <w:szCs w:val="20"/>
        </w:rPr>
        <w:t>plány pro zvládání povodňových rizik,</w:t>
      </w:r>
      <w:r w:rsidRPr="43DF8A4C">
        <w:rPr>
          <w:rFonts w:asciiTheme="minorHAnsi" w:eastAsiaTheme="minorEastAsia" w:hAnsiTheme="minorHAnsi" w:cstheme="minorBidi"/>
          <w:i w:val="0"/>
          <w:iCs w:val="0"/>
          <w:color w:val="auto"/>
          <w:sz w:val="20"/>
          <w:szCs w:val="20"/>
        </w:rPr>
        <w:t xml:space="preserve"> které jsou součástí naplňování směrnice 2007/60/ES (Povodňové směrnice) transponované do národní </w:t>
      </w:r>
      <w:proofErr w:type="gramStart"/>
      <w:r w:rsidRPr="43DF8A4C">
        <w:rPr>
          <w:rFonts w:asciiTheme="minorHAnsi" w:eastAsiaTheme="minorEastAsia" w:hAnsiTheme="minorHAnsi" w:cstheme="minorBidi"/>
          <w:i w:val="0"/>
          <w:iCs w:val="0"/>
          <w:color w:val="auto"/>
          <w:sz w:val="20"/>
          <w:szCs w:val="20"/>
        </w:rPr>
        <w:t>legislativy - vodního</w:t>
      </w:r>
      <w:proofErr w:type="gramEnd"/>
      <w:r w:rsidRPr="43DF8A4C">
        <w:rPr>
          <w:rFonts w:asciiTheme="minorHAnsi" w:eastAsiaTheme="minorEastAsia" w:hAnsiTheme="minorHAnsi" w:cstheme="minorBidi"/>
          <w:i w:val="0"/>
          <w:iCs w:val="0"/>
          <w:color w:val="auto"/>
          <w:sz w:val="20"/>
          <w:szCs w:val="20"/>
        </w:rPr>
        <w:t xml:space="preserve"> zákona. Tyto plány definují pro povodněmi nejvíce ohrožená území (tzv. oblasti s významným povodňovým rizikem) hlavní cíle jejich ochrany a dále obsahují návrhy obecných a konkrétních opatření, jejichž realizací dojde k omezení negativních důsledků povodní na životy a zdraví obyvatel, hospodářství a kulturní dědictví. Mimo nejvíce ohrožená území jsou potom zásadním strategickým dokumentem v oblasti povodňové ochrany </w:t>
      </w:r>
      <w:r w:rsidR="00A75363" w:rsidRPr="43DF8A4C">
        <w:rPr>
          <w:rFonts w:asciiTheme="minorHAnsi" w:eastAsiaTheme="minorEastAsia" w:hAnsiTheme="minorHAnsi" w:cstheme="minorBidi"/>
          <w:b/>
          <w:bCs/>
          <w:i w:val="0"/>
          <w:iCs w:val="0"/>
          <w:color w:val="auto"/>
          <w:sz w:val="20"/>
          <w:szCs w:val="20"/>
        </w:rPr>
        <w:t>N</w:t>
      </w:r>
      <w:r w:rsidRPr="43DF8A4C">
        <w:rPr>
          <w:rFonts w:asciiTheme="minorHAnsi" w:eastAsiaTheme="minorEastAsia" w:hAnsiTheme="minorHAnsi" w:cstheme="minorBidi"/>
          <w:b/>
          <w:bCs/>
          <w:i w:val="0"/>
          <w:iCs w:val="0"/>
          <w:color w:val="auto"/>
          <w:sz w:val="20"/>
          <w:szCs w:val="20"/>
        </w:rPr>
        <w:t>árodní plány povodí a plány dílčích povodí</w:t>
      </w:r>
      <w:r w:rsidRPr="43DF8A4C">
        <w:rPr>
          <w:rFonts w:asciiTheme="minorHAnsi" w:eastAsiaTheme="minorEastAsia" w:hAnsiTheme="minorHAnsi" w:cstheme="minorBidi"/>
          <w:i w:val="0"/>
          <w:iCs w:val="0"/>
          <w:color w:val="auto"/>
          <w:sz w:val="20"/>
          <w:szCs w:val="20"/>
        </w:rPr>
        <w:t>, které jsou tvořeny v rámci naplňování požadavků směrnice 2000/60/ES (Rámcová směrnice o vodách).</w:t>
      </w:r>
    </w:p>
    <w:p w14:paraId="0DDE9C2F"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Oblast zachování a zlepšování stavu předmětů ochrany zvláště chráněných území a území soustavy Natura 2000, obnova vodních, nelesních a lesních ekosystémů a zmírnění dopadů změny klimatu na tyto ekosystémy, podpora biodiverzity a regulace šíření invazních druhů vychází mimo výše uvedené zejména ze Státního programu ochrany přírody a krajiny České republiky pro období 2020-2025 a Státní politiky životního prostředí České republiky 2030 s výhledem do 2050.</w:t>
      </w:r>
    </w:p>
    <w:p w14:paraId="7CB66733"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before="195" w:after="195"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Ministerstvo životního prostředí v návaznosti na připravované investice připravuje novelizaci zákona č. 334/1992 Sb., o ochraně zemědělského půdního fondu. Předpokládanou hlavní částí novelizace je vytvoření nové výjimky z povinnosti udržovat pozemek v souladu s jeho druhem, a to pro krajinné prvky vyjmenované v nařízení vlády č. 307/2014 Sb. Vyjmenované krajinné prvky obsahují žádoucí krajinné prvky</w:t>
      </w:r>
      <w:r w:rsidR="00A75363" w:rsidRPr="43DF8A4C">
        <w:rPr>
          <w:rFonts w:asciiTheme="minorHAnsi" w:eastAsiaTheme="minorEastAsia" w:hAnsiTheme="minorHAnsi" w:cstheme="minorBidi"/>
          <w:color w:val="auto"/>
          <w:sz w:val="20"/>
          <w:szCs w:val="20"/>
        </w:rPr>
        <w:t>,</w:t>
      </w:r>
      <w:r w:rsidRPr="43DF8A4C">
        <w:rPr>
          <w:rFonts w:asciiTheme="minorHAnsi" w:eastAsiaTheme="minorEastAsia" w:hAnsiTheme="minorHAnsi" w:cstheme="minorBidi"/>
          <w:color w:val="auto"/>
          <w:sz w:val="20"/>
          <w:szCs w:val="20"/>
        </w:rPr>
        <w:t xml:space="preserve"> jako jsou například meze, travnaté údolnice, skupiny dřevin, stromořadí či mokřady. Primárním cílem nové výjimky je zvýšení ekologické stability krajiny, a to prostřednictvím snížení ohrožení půdy suchem, vodní a větrnou erozí, přičemž tato nová výjimka taktéž přispěje k ochraně biodiverzity. Cílem je také zvýšení ochrany mimoprodukčních funkcí zemědělské půdy, což významně přispěje nejen ke zlepšení ekologického stavu zemědělské půdy, ale i krajiny jako celku. Účinnost novely předpokládáme od r. 2022.</w:t>
      </w:r>
    </w:p>
    <w:p w14:paraId="02EB378F" w14:textId="56818A7C" w:rsidR="00F17AAA" w:rsidRDefault="00F17AAA" w:rsidP="43DF8A4C">
      <w:pPr>
        <w:pStyle w:val="K-Nadpis3"/>
        <w:rPr>
          <w:rFonts w:asciiTheme="minorHAnsi" w:eastAsiaTheme="minorEastAsia" w:hAnsiTheme="minorHAnsi" w:cstheme="minorBidi"/>
          <w:color w:val="auto"/>
          <w:sz w:val="20"/>
          <w:szCs w:val="20"/>
        </w:rPr>
      </w:pPr>
    </w:p>
    <w:p w14:paraId="42AA8918" w14:textId="77777777" w:rsidR="00111C2C" w:rsidRPr="00CB1019" w:rsidRDefault="00111C2C" w:rsidP="43DF8A4C">
      <w:pPr>
        <w:pStyle w:val="K-Nadpis3"/>
        <w:rPr>
          <w:rFonts w:asciiTheme="minorHAnsi" w:eastAsiaTheme="minorEastAsia" w:hAnsiTheme="minorHAnsi" w:cstheme="minorBidi"/>
          <w:color w:val="auto"/>
          <w:sz w:val="20"/>
          <w:szCs w:val="20"/>
        </w:rPr>
      </w:pPr>
    </w:p>
    <w:p w14:paraId="663AB762" w14:textId="77777777" w:rsidR="00F17AAA" w:rsidRPr="00CB1019" w:rsidRDefault="009F230F" w:rsidP="43DF8A4C">
      <w:pPr>
        <w:pStyle w:val="K-Nadpis3"/>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lastRenderedPageBreak/>
        <w:t>d) Předchozí snahy</w:t>
      </w:r>
    </w:p>
    <w:p w14:paraId="0B8B83E9"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Oblast povodňové ochrany byla podporována již v rámci OPŽP 2007-2013. Realizováno bylo 6 projektů s podporou ve výši 156,5 mil. Kč. Upraveno bylo 4,7 km vodních toků. </w:t>
      </w:r>
    </w:p>
    <w:p w14:paraId="0FD007EB"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V OPŽP </w:t>
      </w:r>
      <w:proofErr w:type="gramStart"/>
      <w:r w:rsidRPr="43DF8A4C">
        <w:rPr>
          <w:rFonts w:asciiTheme="minorHAnsi" w:eastAsiaTheme="minorEastAsia" w:hAnsiTheme="minorHAnsi" w:cstheme="minorBidi"/>
          <w:i w:val="0"/>
          <w:iCs w:val="0"/>
          <w:color w:val="auto"/>
          <w:sz w:val="20"/>
          <w:szCs w:val="20"/>
        </w:rPr>
        <w:t>2014 – 2020</w:t>
      </w:r>
      <w:proofErr w:type="gramEnd"/>
      <w:r w:rsidRPr="43DF8A4C">
        <w:rPr>
          <w:rFonts w:asciiTheme="minorHAnsi" w:eastAsiaTheme="minorEastAsia" w:hAnsiTheme="minorHAnsi" w:cstheme="minorBidi"/>
          <w:i w:val="0"/>
          <w:iCs w:val="0"/>
          <w:color w:val="auto"/>
          <w:sz w:val="20"/>
          <w:szCs w:val="20"/>
        </w:rPr>
        <w:t xml:space="preserve"> byla podpora na protipovodňová opatření rozšířena ještě o oblast hospodaření se srážkovými vodami v </w:t>
      </w:r>
      <w:proofErr w:type="spellStart"/>
      <w:r w:rsidRPr="43DF8A4C">
        <w:rPr>
          <w:rFonts w:asciiTheme="minorHAnsi" w:eastAsiaTheme="minorEastAsia" w:hAnsiTheme="minorHAnsi" w:cstheme="minorBidi"/>
          <w:i w:val="0"/>
          <w:iCs w:val="0"/>
          <w:color w:val="auto"/>
          <w:sz w:val="20"/>
          <w:szCs w:val="20"/>
        </w:rPr>
        <w:t>intravilánu</w:t>
      </w:r>
      <w:proofErr w:type="spellEnd"/>
      <w:r w:rsidRPr="43DF8A4C">
        <w:rPr>
          <w:rFonts w:asciiTheme="minorHAnsi" w:eastAsiaTheme="minorEastAsia" w:hAnsiTheme="minorHAnsi" w:cstheme="minorBidi"/>
          <w:i w:val="0"/>
          <w:iCs w:val="0"/>
          <w:color w:val="auto"/>
          <w:sz w:val="20"/>
          <w:szCs w:val="20"/>
        </w:rPr>
        <w:t xml:space="preserve"> s cílem napomoci řešení problematiky suchu v Česká republice.</w:t>
      </w:r>
    </w:p>
    <w:p w14:paraId="450D4A3E"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Oblast sucha v OPŽP </w:t>
      </w:r>
      <w:proofErr w:type="gramStart"/>
      <w:r w:rsidRPr="43DF8A4C">
        <w:rPr>
          <w:rFonts w:asciiTheme="minorHAnsi" w:eastAsiaTheme="minorEastAsia" w:hAnsiTheme="minorHAnsi" w:cstheme="minorBidi"/>
          <w:i w:val="0"/>
          <w:iCs w:val="0"/>
          <w:color w:val="auto"/>
          <w:sz w:val="20"/>
          <w:szCs w:val="20"/>
        </w:rPr>
        <w:t>2014 - 2020</w:t>
      </w:r>
      <w:proofErr w:type="gramEnd"/>
      <w:r w:rsidRPr="43DF8A4C">
        <w:rPr>
          <w:rFonts w:asciiTheme="minorHAnsi" w:eastAsiaTheme="minorEastAsia" w:hAnsiTheme="minorHAnsi" w:cstheme="minorBidi"/>
          <w:i w:val="0"/>
          <w:iCs w:val="0"/>
          <w:color w:val="auto"/>
          <w:sz w:val="20"/>
          <w:szCs w:val="20"/>
        </w:rPr>
        <w:t xml:space="preserve"> je především řešena v rámci prioritní osy 1 - Zlepšování kvality vody a snižování rizika povodní a prioritní osy 4 - Ochrana a péče o přírodu a krajinu. V rámci těchto prioritních os byly podporovány projekty o např. opatření podporující přirozený tlumivý rozliv v nivách, zvýšení členitosti a zlepšení morfologie koryta vodních toků, výměna nepropustných zpevněných povrchů za propustné zpevněné, akumulační podzemní nádrže na zachytávání srážkových vod a jejich opětovné využití. Podpora opatření byla cílena na veřejný sektor. V této oblasti byla podpořena řada úspěšných projektů. </w:t>
      </w:r>
    </w:p>
    <w:p w14:paraId="418E9670"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Díky zaznamenané velké absorpční kapacitě v rámci prioritní osy 1, specifického cíle (SC) </w:t>
      </w:r>
      <w:r w:rsidRPr="43DF8A4C">
        <w:rPr>
          <w:rFonts w:asciiTheme="minorHAnsi" w:eastAsiaTheme="minorEastAsia" w:hAnsiTheme="minorHAnsi" w:cstheme="minorBidi"/>
          <w:color w:val="auto"/>
          <w:sz w:val="20"/>
          <w:szCs w:val="20"/>
        </w:rPr>
        <w:t xml:space="preserve">1.3 Zajistit povodňovou ochranu </w:t>
      </w:r>
      <w:proofErr w:type="spellStart"/>
      <w:r w:rsidRPr="43DF8A4C">
        <w:rPr>
          <w:rFonts w:asciiTheme="minorHAnsi" w:eastAsiaTheme="minorEastAsia" w:hAnsiTheme="minorHAnsi" w:cstheme="minorBidi"/>
          <w:color w:val="auto"/>
          <w:sz w:val="20"/>
          <w:szCs w:val="20"/>
        </w:rPr>
        <w:t>intravilánu</w:t>
      </w:r>
      <w:proofErr w:type="spellEnd"/>
      <w:r w:rsidRPr="43DF8A4C">
        <w:rPr>
          <w:rFonts w:asciiTheme="minorHAnsi" w:eastAsiaTheme="minorEastAsia" w:hAnsiTheme="minorHAnsi" w:cstheme="minorBidi"/>
          <w:color w:val="auto"/>
          <w:sz w:val="20"/>
          <w:szCs w:val="20"/>
        </w:rPr>
        <w:t xml:space="preserve"> a hospodaření se srážkovými vodami </w:t>
      </w:r>
      <w:r w:rsidRPr="43DF8A4C">
        <w:rPr>
          <w:rFonts w:asciiTheme="minorHAnsi" w:eastAsiaTheme="minorEastAsia" w:hAnsiTheme="minorHAnsi" w:cstheme="minorBidi"/>
          <w:i w:val="0"/>
          <w:iCs w:val="0"/>
          <w:color w:val="auto"/>
          <w:sz w:val="20"/>
          <w:szCs w:val="20"/>
        </w:rPr>
        <w:t xml:space="preserve">jsou aktuálně prostředky OPŽP na pokrytí všech předložených projektů nedostatečné. V rámci poslední 144. výzvy OPŽP na tyto oblasti (SC 1.3) byly předloženy projekty za cca 3,2 mld. Kč, přičemž alokace byla 1 mld. Kč. </w:t>
      </w:r>
    </w:p>
    <w:p w14:paraId="70F3C9FE" w14:textId="02EA4532"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V rámci OPŽP </w:t>
      </w:r>
      <w:proofErr w:type="gramStart"/>
      <w:r w:rsidRPr="43DF8A4C">
        <w:rPr>
          <w:rFonts w:asciiTheme="minorHAnsi" w:eastAsiaTheme="minorEastAsia" w:hAnsiTheme="minorHAnsi" w:cstheme="minorBidi"/>
          <w:i w:val="0"/>
          <w:iCs w:val="0"/>
          <w:color w:val="auto"/>
          <w:sz w:val="20"/>
          <w:szCs w:val="20"/>
        </w:rPr>
        <w:t>2014 - 2020</w:t>
      </w:r>
      <w:proofErr w:type="gramEnd"/>
      <w:r w:rsidRPr="43DF8A4C">
        <w:rPr>
          <w:rFonts w:asciiTheme="minorHAnsi" w:eastAsiaTheme="minorEastAsia" w:hAnsiTheme="minorHAnsi" w:cstheme="minorBidi"/>
          <w:i w:val="0"/>
          <w:iCs w:val="0"/>
          <w:color w:val="auto"/>
          <w:sz w:val="20"/>
          <w:szCs w:val="20"/>
        </w:rPr>
        <w:t xml:space="preserve"> v oblasti povodňové ochrany je prozatím zrealizováno či v realizaci 7 projektů s podporou ve výši 399 mil. Kč. Upraveno bylo 6,1 km vodních toků. V oblasti hospodaření se srážkovými vodami v </w:t>
      </w:r>
      <w:proofErr w:type="spellStart"/>
      <w:r w:rsidRPr="43DF8A4C">
        <w:rPr>
          <w:rFonts w:asciiTheme="minorHAnsi" w:eastAsiaTheme="minorEastAsia" w:hAnsiTheme="minorHAnsi" w:cstheme="minorBidi"/>
          <w:i w:val="0"/>
          <w:iCs w:val="0"/>
          <w:color w:val="auto"/>
          <w:sz w:val="20"/>
          <w:szCs w:val="20"/>
        </w:rPr>
        <w:t>intravilánu</w:t>
      </w:r>
      <w:proofErr w:type="spellEnd"/>
      <w:r w:rsidRPr="43DF8A4C">
        <w:rPr>
          <w:rFonts w:asciiTheme="minorHAnsi" w:eastAsiaTheme="minorEastAsia" w:hAnsiTheme="minorHAnsi" w:cstheme="minorBidi"/>
          <w:i w:val="0"/>
          <w:iCs w:val="0"/>
          <w:color w:val="auto"/>
          <w:sz w:val="20"/>
          <w:szCs w:val="20"/>
        </w:rPr>
        <w:t xml:space="preserve"> je prozatím zrealizováno či v realizaci 127 projektů s podporou ve výši 484 mil. Kč. Byla zadržena srážková voda v objemu 21 300 m3.</w:t>
      </w:r>
    </w:p>
    <w:p w14:paraId="57953370"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Zdroje z komponenty 2.9 by proto měly primárně cílit na pokrytí projektů, které není možné již z OPŽP díky omezeným zdrojům podpořit.</w:t>
      </w:r>
    </w:p>
    <w:p w14:paraId="23CD18B8"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color w:val="auto"/>
          <w:sz w:val="20"/>
          <w:szCs w:val="20"/>
        </w:rPr>
      </w:pPr>
      <w:r w:rsidRPr="43DF8A4C">
        <w:rPr>
          <w:rFonts w:asciiTheme="minorHAnsi" w:eastAsiaTheme="minorEastAsia" w:hAnsiTheme="minorHAnsi" w:cstheme="minorBidi"/>
          <w:i w:val="0"/>
          <w:iCs w:val="0"/>
          <w:color w:val="auto"/>
          <w:sz w:val="20"/>
          <w:szCs w:val="20"/>
        </w:rPr>
        <w:t xml:space="preserve">Snahou je i nadále podporovat opatření napomáhající řešit tuto rozsáhlou problematiku, obdobná opatření jsou zařazena i do nově nastavovaného OPŽP </w:t>
      </w:r>
      <w:proofErr w:type="gramStart"/>
      <w:r w:rsidRPr="43DF8A4C">
        <w:rPr>
          <w:rFonts w:asciiTheme="minorHAnsi" w:eastAsiaTheme="minorEastAsia" w:hAnsiTheme="minorHAnsi" w:cstheme="minorBidi"/>
          <w:i w:val="0"/>
          <w:iCs w:val="0"/>
          <w:color w:val="auto"/>
          <w:sz w:val="20"/>
          <w:szCs w:val="20"/>
        </w:rPr>
        <w:t>2021- 2027</w:t>
      </w:r>
      <w:proofErr w:type="gramEnd"/>
      <w:r w:rsidRPr="43DF8A4C">
        <w:rPr>
          <w:rFonts w:asciiTheme="minorHAnsi" w:eastAsiaTheme="minorEastAsia" w:hAnsiTheme="minorHAnsi" w:cstheme="minorBidi"/>
          <w:i w:val="0"/>
          <w:iCs w:val="0"/>
          <w:color w:val="auto"/>
          <w:sz w:val="20"/>
          <w:szCs w:val="20"/>
        </w:rPr>
        <w:t>.</w:t>
      </w:r>
      <w:r w:rsidRPr="43DF8A4C">
        <w:rPr>
          <w:rFonts w:asciiTheme="minorHAnsi" w:eastAsiaTheme="minorEastAsia" w:hAnsiTheme="minorHAnsi" w:cstheme="minorBidi"/>
          <w:b/>
          <w:bCs/>
          <w:i w:val="0"/>
          <w:iCs w:val="0"/>
          <w:color w:val="auto"/>
          <w:sz w:val="20"/>
          <w:szCs w:val="20"/>
        </w:rPr>
        <w:t xml:space="preserve"> </w:t>
      </w:r>
      <w:r w:rsidRPr="43DF8A4C">
        <w:rPr>
          <w:rFonts w:asciiTheme="minorHAnsi" w:eastAsiaTheme="minorEastAsia" w:hAnsiTheme="minorHAnsi" w:cstheme="minorBidi"/>
          <w:i w:val="0"/>
          <w:iCs w:val="0"/>
          <w:color w:val="auto"/>
          <w:sz w:val="20"/>
          <w:szCs w:val="20"/>
        </w:rPr>
        <w:t>Cílem je rovněž veřejný sektor. Nastavované podporované aktivity plně respektují investiční doporučení Evropské komise uvedené ve Zprávě o České republice 2019, příloze D – Investičních pokynech k financování politiky soudržnosti v období 2021–2027 pro Českou republiku. V investičních pokynech jsou k cíli politiky 2, kterému odpovídá zaměření OPŽP, uvedena vysoce prioritní a prioritní opatření. Mezi vysoce prioritní opatření jsou řazeny tyto oblasti jako přírodě blízká adaptační opatření v souvislosti se změnou klimatu a zadržování/zachycování srážkové vody a opatření k řešení kontaminace, odtoku vody a kvality vody.</w:t>
      </w:r>
    </w:p>
    <w:p w14:paraId="728C785E"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V rámci předcházení problémům spojených se suchem byla dále prostřednictvím Ministerstva životního prostředí, Národního programu životní prostředí,</w:t>
      </w:r>
      <w:r w:rsidRPr="43DF8A4C">
        <w:rPr>
          <w:rFonts w:asciiTheme="minorHAnsi" w:eastAsiaTheme="minorEastAsia" w:hAnsiTheme="minorHAnsi" w:cstheme="minorBidi"/>
          <w:b/>
          <w:bCs/>
          <w:i w:val="0"/>
          <w:iCs w:val="0"/>
          <w:color w:val="auto"/>
          <w:sz w:val="20"/>
          <w:szCs w:val="20"/>
        </w:rPr>
        <w:t xml:space="preserve"> </w:t>
      </w:r>
      <w:r w:rsidRPr="43DF8A4C">
        <w:rPr>
          <w:rFonts w:asciiTheme="minorHAnsi" w:eastAsiaTheme="minorEastAsia" w:hAnsiTheme="minorHAnsi" w:cstheme="minorBidi"/>
          <w:i w:val="0"/>
          <w:iCs w:val="0"/>
          <w:color w:val="auto"/>
          <w:sz w:val="20"/>
          <w:szCs w:val="20"/>
        </w:rPr>
        <w:t>zajištěna podpora pro vlastníky či stavebníky rodinných a bytových domů pro projekty na využití srážkové a odpadní vody v domácnosti i na zahradě, tzv. „Dešťovka“.</w:t>
      </w:r>
      <w:r w:rsidRPr="43DF8A4C">
        <w:rPr>
          <w:rFonts w:asciiTheme="minorHAnsi" w:eastAsiaTheme="minorEastAsia" w:hAnsiTheme="minorHAnsi" w:cstheme="minorBidi"/>
          <w:color w:val="auto"/>
          <w:sz w:val="20"/>
          <w:szCs w:val="20"/>
        </w:rPr>
        <w:t xml:space="preserve"> </w:t>
      </w:r>
      <w:r w:rsidRPr="43DF8A4C">
        <w:rPr>
          <w:rFonts w:asciiTheme="minorHAnsi" w:eastAsiaTheme="minorEastAsia" w:hAnsiTheme="minorHAnsi" w:cstheme="minorBidi"/>
          <w:i w:val="0"/>
          <w:iCs w:val="0"/>
          <w:color w:val="auto"/>
          <w:sz w:val="20"/>
          <w:szCs w:val="20"/>
        </w:rPr>
        <w:t>Dotační program je v běhu.</w:t>
      </w:r>
    </w:p>
    <w:p w14:paraId="0E972095"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 xml:space="preserve">K naplňování cílů ochrany přírody a krajiny přispívají již od počátku devadesátých let národní dotační programy – prvním byl Program revitalizace říčních systémů (od roku 1992), který byl v roce 2009 nahrazen programem Podpora obnovy přirozených funkcí krajiny. V roce 1996 pak vznikl Program péče o krajinu. Po vstupu ČR do EU se rozšířily možnosti čerpání finančních prostředků o evropské programy, z nichž nejvyužívanější jsou v oblasti péče o krajinu a biodiverzitu Operační program Životní prostředí a Program rozvoje venkova, případně LIFE. Intervence všech programů jsou na národní úrovni nastaveny komplementárně. </w:t>
      </w:r>
    </w:p>
    <w:p w14:paraId="767015A5"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Přes existující zdroje je péče o přírodu a krajinu v ČR dlouhodobě podfinancovaná. Řadu potřebných opatření nelze prostřednictvím evropských programů efektivně zajistit a prostředky státního rozpočtu nedostačují. Velmi podceněná je péče zejména o národně významná zvláště chráněná území. Důvodem je zejména stále se zvyšující počet/rozloha ZCHÚ a nezohledněná inflace. Financování péče o ZCHÚ probíhá i z dalších národních zdrojů a také z evropských fondů v působnosti jak MŽP</w:t>
      </w:r>
      <w:r w:rsidR="00A75363" w:rsidRPr="43DF8A4C">
        <w:rPr>
          <w:rFonts w:asciiTheme="minorHAnsi" w:eastAsiaTheme="minorEastAsia" w:hAnsiTheme="minorHAnsi" w:cstheme="minorBidi"/>
          <w:color w:val="auto"/>
          <w:sz w:val="20"/>
          <w:szCs w:val="20"/>
        </w:rPr>
        <w:t>,</w:t>
      </w:r>
      <w:r w:rsidRPr="43DF8A4C">
        <w:rPr>
          <w:rFonts w:asciiTheme="minorHAnsi" w:eastAsiaTheme="minorEastAsia" w:hAnsiTheme="minorHAnsi" w:cstheme="minorBidi"/>
          <w:color w:val="auto"/>
          <w:sz w:val="20"/>
          <w:szCs w:val="20"/>
        </w:rPr>
        <w:t xml:space="preserve"> tak </w:t>
      </w:r>
      <w:proofErr w:type="spellStart"/>
      <w:r w:rsidRPr="43DF8A4C">
        <w:rPr>
          <w:rFonts w:asciiTheme="minorHAnsi" w:eastAsiaTheme="minorEastAsia" w:hAnsiTheme="minorHAnsi" w:cstheme="minorBidi"/>
          <w:color w:val="auto"/>
          <w:sz w:val="20"/>
          <w:szCs w:val="20"/>
        </w:rPr>
        <w:t>MZe</w:t>
      </w:r>
      <w:proofErr w:type="spellEnd"/>
      <w:r w:rsidRPr="43DF8A4C">
        <w:rPr>
          <w:rFonts w:asciiTheme="minorHAnsi" w:eastAsiaTheme="minorEastAsia" w:hAnsiTheme="minorHAnsi" w:cstheme="minorBidi"/>
          <w:color w:val="auto"/>
          <w:sz w:val="20"/>
          <w:szCs w:val="20"/>
        </w:rPr>
        <w:t xml:space="preserve">. Ty však nemohou plně nahradit nedostatek financí určených na plnění povinnosti státu při údržbě ZCHÚ, popř. území soustavy Natura 2000. </w:t>
      </w:r>
    </w:p>
    <w:p w14:paraId="6A05A809" w14:textId="77777777" w:rsidR="00F17AAA" w:rsidRPr="00CB1019" w:rsidRDefault="00F17AAA"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highlight w:val="red"/>
        </w:rPr>
      </w:pPr>
    </w:p>
    <w:p w14:paraId="1DA0E567" w14:textId="7FD19AAD" w:rsidR="43DF8A4C" w:rsidRDefault="43DF8A4C" w:rsidP="43DF8A4C">
      <w:pPr>
        <w:pStyle w:val="K-TextInfo"/>
        <w:rPr>
          <w:color w:val="2196FF" w:themeColor="accent2" w:themeTint="99"/>
          <w:highlight w:val="red"/>
        </w:rPr>
      </w:pPr>
    </w:p>
    <w:p w14:paraId="6C48E09B" w14:textId="6DAACFB7" w:rsidR="43DF8A4C" w:rsidRDefault="43DF8A4C" w:rsidP="43DF8A4C">
      <w:pPr>
        <w:pStyle w:val="K-TextInfo"/>
        <w:rPr>
          <w:color w:val="2196FF" w:themeColor="accent2" w:themeTint="99"/>
          <w:highlight w:val="red"/>
        </w:rPr>
      </w:pPr>
    </w:p>
    <w:p w14:paraId="0908D79D" w14:textId="77777777" w:rsidR="00F17AAA" w:rsidRPr="00CB1019" w:rsidRDefault="009F230F" w:rsidP="43DF8A4C">
      <w:pPr>
        <w:pStyle w:val="K-Nadpis2"/>
        <w:spacing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 xml:space="preserve">3. Popis reforem a investic komponenty </w:t>
      </w:r>
    </w:p>
    <w:p w14:paraId="31CAE408" w14:textId="6263F9A4" w:rsidR="00F17AAA" w:rsidRPr="00CB1019" w:rsidRDefault="009F230F" w:rsidP="43DF8A4C">
      <w:pPr>
        <w:pStyle w:val="K-Nadpis3"/>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 xml:space="preserve">a) </w:t>
      </w:r>
      <w:r w:rsidR="00A75363" w:rsidRPr="43DF8A4C">
        <w:rPr>
          <w:rFonts w:asciiTheme="minorHAnsi" w:eastAsiaTheme="minorEastAsia" w:hAnsiTheme="minorHAnsi" w:cstheme="minorBidi"/>
          <w:color w:val="auto"/>
          <w:sz w:val="20"/>
          <w:szCs w:val="20"/>
        </w:rPr>
        <w:t xml:space="preserve">Název reformy – </w:t>
      </w:r>
      <w:r w:rsidR="4E36E34E" w:rsidRPr="43DF8A4C">
        <w:rPr>
          <w:rFonts w:asciiTheme="minorHAnsi" w:eastAsiaTheme="minorEastAsia" w:hAnsiTheme="minorHAnsi" w:cstheme="minorBidi"/>
          <w:color w:val="auto"/>
          <w:sz w:val="20"/>
          <w:szCs w:val="20"/>
        </w:rPr>
        <w:t>2.9.0 Novela</w:t>
      </w:r>
      <w:r w:rsidR="00A75363" w:rsidRPr="43DF8A4C">
        <w:rPr>
          <w:rFonts w:asciiTheme="minorHAnsi" w:eastAsiaTheme="minorEastAsia" w:hAnsiTheme="minorHAnsi" w:cstheme="minorBidi"/>
          <w:color w:val="auto"/>
          <w:sz w:val="20"/>
          <w:szCs w:val="20"/>
        </w:rPr>
        <w:t xml:space="preserve"> vodního </w:t>
      </w:r>
      <w:r w:rsidR="02C8AA31" w:rsidRPr="43DF8A4C">
        <w:rPr>
          <w:rFonts w:asciiTheme="minorHAnsi" w:eastAsiaTheme="minorEastAsia" w:hAnsiTheme="minorHAnsi" w:cstheme="minorBidi"/>
          <w:color w:val="auto"/>
          <w:sz w:val="20"/>
          <w:szCs w:val="20"/>
        </w:rPr>
        <w:t>zákona – Zvládání</w:t>
      </w:r>
      <w:r w:rsidR="00A75363" w:rsidRPr="43DF8A4C">
        <w:rPr>
          <w:rFonts w:asciiTheme="minorHAnsi" w:eastAsiaTheme="minorEastAsia" w:hAnsiTheme="minorHAnsi" w:cstheme="minorBidi"/>
          <w:color w:val="auto"/>
          <w:sz w:val="20"/>
          <w:szCs w:val="20"/>
        </w:rPr>
        <w:t xml:space="preserve"> sucha a stavu </w:t>
      </w:r>
      <w:r w:rsidR="2302A75D" w:rsidRPr="43DF8A4C">
        <w:rPr>
          <w:rFonts w:asciiTheme="minorHAnsi" w:eastAsiaTheme="minorEastAsia" w:hAnsiTheme="minorHAnsi" w:cstheme="minorBidi"/>
          <w:color w:val="auto"/>
          <w:sz w:val="20"/>
          <w:szCs w:val="20"/>
        </w:rPr>
        <w:t>nedostatku vody</w:t>
      </w:r>
    </w:p>
    <w:tbl>
      <w:tblPr>
        <w:tblStyle w:val="Mkatabulky"/>
        <w:tblW w:w="0" w:type="auto"/>
        <w:tblLook w:val="04A0" w:firstRow="1" w:lastRow="0" w:firstColumn="1" w:lastColumn="0" w:noHBand="0" w:noVBand="1"/>
      </w:tblPr>
      <w:tblGrid>
        <w:gridCol w:w="2405"/>
        <w:gridCol w:w="7223"/>
      </w:tblGrid>
      <w:tr w:rsidR="00A75363" w:rsidRPr="00CB1019" w14:paraId="604F825A" w14:textId="77777777" w:rsidTr="43DF8A4C">
        <w:tc>
          <w:tcPr>
            <w:tcW w:w="2405" w:type="dxa"/>
          </w:tcPr>
          <w:p w14:paraId="00327A7F" w14:textId="77777777" w:rsidR="00F17AAA" w:rsidRPr="00CB1019" w:rsidRDefault="009F230F" w:rsidP="43DF8A4C">
            <w:pPr>
              <w:pStyle w:val="K-Text"/>
              <w:spacing w:line="240" w:lineRule="auto"/>
              <w:jc w:val="left"/>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t>Výzva</w:t>
            </w:r>
          </w:p>
        </w:tc>
        <w:tc>
          <w:tcPr>
            <w:tcW w:w="7223" w:type="dxa"/>
          </w:tcPr>
          <w:p w14:paraId="6766B5EB" w14:textId="77777777" w:rsidR="00F17AAA" w:rsidRPr="00CB1019" w:rsidRDefault="009F230F" w:rsidP="43DF8A4C">
            <w:pPr>
              <w:spacing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Legislativní ukotvení zvládání sucha a stavu nedostatku vody</w:t>
            </w:r>
          </w:p>
        </w:tc>
      </w:tr>
      <w:tr w:rsidR="00A75363" w:rsidRPr="00CB1019" w14:paraId="0D398560" w14:textId="77777777" w:rsidTr="43DF8A4C">
        <w:tc>
          <w:tcPr>
            <w:tcW w:w="2405" w:type="dxa"/>
          </w:tcPr>
          <w:p w14:paraId="27C07D35" w14:textId="77777777" w:rsidR="00F17AAA" w:rsidRPr="00CB1019" w:rsidRDefault="009F230F" w:rsidP="43DF8A4C">
            <w:pPr>
              <w:pStyle w:val="K-Text"/>
              <w:spacing w:line="240" w:lineRule="auto"/>
              <w:jc w:val="left"/>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lastRenderedPageBreak/>
              <w:t>Cíl</w:t>
            </w:r>
          </w:p>
        </w:tc>
        <w:tc>
          <w:tcPr>
            <w:tcW w:w="7223" w:type="dxa"/>
          </w:tcPr>
          <w:p w14:paraId="7DE30047" w14:textId="77777777" w:rsidR="00F17AAA" w:rsidRPr="00CB1019" w:rsidRDefault="009F230F" w:rsidP="43DF8A4C">
            <w:pPr>
              <w:spacing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Zajištění fungujícího systému operativního řízení během sucha a stavu nedostatku vody.</w:t>
            </w:r>
          </w:p>
        </w:tc>
      </w:tr>
      <w:tr w:rsidR="00A75363" w:rsidRPr="00CB1019" w14:paraId="471285BB" w14:textId="77777777" w:rsidTr="43DF8A4C">
        <w:tc>
          <w:tcPr>
            <w:tcW w:w="2405" w:type="dxa"/>
          </w:tcPr>
          <w:p w14:paraId="01B196B4" w14:textId="77777777" w:rsidR="00F17AAA" w:rsidRPr="00CB1019" w:rsidRDefault="009F230F" w:rsidP="43DF8A4C">
            <w:pPr>
              <w:pStyle w:val="K-Text"/>
              <w:spacing w:line="240" w:lineRule="auto"/>
              <w:jc w:val="left"/>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t>Implementace</w:t>
            </w:r>
          </w:p>
        </w:tc>
        <w:tc>
          <w:tcPr>
            <w:tcW w:w="7223" w:type="dxa"/>
          </w:tcPr>
          <w:p w14:paraId="7E84674D" w14:textId="77777777" w:rsidR="00F17AAA" w:rsidRPr="00CB1019" w:rsidRDefault="009F230F" w:rsidP="43DF8A4C">
            <w:pPr>
              <w:pStyle w:val="K-TextInfo"/>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Ministerstvo životního prostředí, Ministerstvo zemědělství</w:t>
            </w:r>
          </w:p>
        </w:tc>
      </w:tr>
      <w:tr w:rsidR="00A75363" w:rsidRPr="00CB1019" w14:paraId="55CBCC3A" w14:textId="77777777" w:rsidTr="43DF8A4C">
        <w:trPr>
          <w:trHeight w:val="70"/>
        </w:trPr>
        <w:tc>
          <w:tcPr>
            <w:tcW w:w="2405" w:type="dxa"/>
          </w:tcPr>
          <w:p w14:paraId="599BCEB2" w14:textId="77777777" w:rsidR="00F17AAA" w:rsidRPr="00CB1019" w:rsidRDefault="009F230F" w:rsidP="43DF8A4C">
            <w:pPr>
              <w:pStyle w:val="K-Text"/>
              <w:spacing w:line="240" w:lineRule="auto"/>
              <w:jc w:val="left"/>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t>Spolupráce a zapojení zúčastněných stran</w:t>
            </w:r>
          </w:p>
        </w:tc>
        <w:tc>
          <w:tcPr>
            <w:tcW w:w="7223" w:type="dxa"/>
          </w:tcPr>
          <w:p w14:paraId="5B98FA40" w14:textId="77777777" w:rsidR="00F17AAA" w:rsidRPr="00CB1019" w:rsidRDefault="009F230F" w:rsidP="43DF8A4C">
            <w:pPr>
              <w:spacing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Orgány státní správy, samosprávy, významní uživatelé vody</w:t>
            </w:r>
          </w:p>
        </w:tc>
      </w:tr>
      <w:tr w:rsidR="00A75363" w:rsidRPr="00CB1019" w14:paraId="7466E6F4" w14:textId="77777777" w:rsidTr="43DF8A4C">
        <w:trPr>
          <w:trHeight w:val="665"/>
        </w:trPr>
        <w:tc>
          <w:tcPr>
            <w:tcW w:w="2405" w:type="dxa"/>
          </w:tcPr>
          <w:p w14:paraId="7F186459" w14:textId="77777777" w:rsidR="00F17AAA" w:rsidRPr="00CB1019" w:rsidRDefault="009F230F" w:rsidP="43DF8A4C">
            <w:pPr>
              <w:pStyle w:val="K-Text"/>
              <w:spacing w:line="240" w:lineRule="auto"/>
              <w:jc w:val="left"/>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t>Překážky a rizika</w:t>
            </w:r>
          </w:p>
        </w:tc>
        <w:tc>
          <w:tcPr>
            <w:tcW w:w="7223" w:type="dxa"/>
          </w:tcPr>
          <w:p w14:paraId="46A88A60" w14:textId="77777777" w:rsidR="00F17AAA" w:rsidRPr="00CB1019" w:rsidRDefault="009F230F" w:rsidP="43DF8A4C">
            <w:pPr>
              <w:spacing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Jedná se o první zásadní legislativní změnu vyžadující zavedení systémového přístup při řešení sucha a stavu nedostatku vody. Z toho plyne možnost neočekávaných komplikací při sestavování plánů pro zvládání sucha a nedostatku vody stejně jako při fungování komisí pro zvládání sucha a stavu nedostatku vody.</w:t>
            </w:r>
          </w:p>
        </w:tc>
      </w:tr>
      <w:tr w:rsidR="00A75363" w:rsidRPr="00CB1019" w14:paraId="17609B35" w14:textId="77777777" w:rsidTr="43DF8A4C">
        <w:tc>
          <w:tcPr>
            <w:tcW w:w="2405" w:type="dxa"/>
          </w:tcPr>
          <w:p w14:paraId="32901C50" w14:textId="77777777" w:rsidR="00F17AAA" w:rsidRPr="00CB1019" w:rsidRDefault="009F230F" w:rsidP="43DF8A4C">
            <w:pPr>
              <w:pStyle w:val="K-Text"/>
              <w:spacing w:line="240" w:lineRule="auto"/>
              <w:jc w:val="left"/>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t>Cílové skupiny populace a ekonomické subjekty</w:t>
            </w:r>
          </w:p>
        </w:tc>
        <w:tc>
          <w:tcPr>
            <w:tcW w:w="7223" w:type="dxa"/>
          </w:tcPr>
          <w:p w14:paraId="3A6F9661" w14:textId="77777777" w:rsidR="00F17AAA" w:rsidRPr="00CB1019" w:rsidRDefault="009F230F" w:rsidP="43DF8A4C">
            <w:pPr>
              <w:spacing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V případě sucha a stavu nedostatku vody mohou být dotčenou skupinou obyvatele v oblastech zasažených suchem, stejně jako ekonomické subjekty užívající vodu.</w:t>
            </w:r>
          </w:p>
        </w:tc>
      </w:tr>
      <w:tr w:rsidR="00A75363" w:rsidRPr="00CB1019" w14:paraId="61ADB704" w14:textId="77777777" w:rsidTr="43DF8A4C">
        <w:trPr>
          <w:trHeight w:val="425"/>
        </w:trPr>
        <w:tc>
          <w:tcPr>
            <w:tcW w:w="2405" w:type="dxa"/>
          </w:tcPr>
          <w:p w14:paraId="2CADB047" w14:textId="77777777" w:rsidR="00F17AAA" w:rsidRPr="00CB1019" w:rsidRDefault="009F230F" w:rsidP="43DF8A4C">
            <w:pPr>
              <w:pStyle w:val="K-Text"/>
              <w:spacing w:line="240" w:lineRule="auto"/>
              <w:jc w:val="left"/>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t>Souhrnné náklady realizace financované z RRF za celé období</w:t>
            </w:r>
          </w:p>
        </w:tc>
        <w:tc>
          <w:tcPr>
            <w:tcW w:w="7223" w:type="dxa"/>
          </w:tcPr>
          <w:p w14:paraId="38EC4797" w14:textId="77777777" w:rsidR="00F17AAA" w:rsidRPr="00CB1019" w:rsidRDefault="009F230F" w:rsidP="43DF8A4C">
            <w:pPr>
              <w:spacing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žádné</w:t>
            </w:r>
          </w:p>
        </w:tc>
      </w:tr>
      <w:tr w:rsidR="00A75363" w:rsidRPr="00CB1019" w14:paraId="2E32C56C" w14:textId="77777777" w:rsidTr="43DF8A4C">
        <w:tc>
          <w:tcPr>
            <w:tcW w:w="2405" w:type="dxa"/>
          </w:tcPr>
          <w:p w14:paraId="668FB1ED" w14:textId="77777777" w:rsidR="00F17AAA" w:rsidRPr="00CB1019" w:rsidRDefault="009F230F" w:rsidP="43DF8A4C">
            <w:pPr>
              <w:pStyle w:val="K-Text"/>
              <w:spacing w:line="240" w:lineRule="auto"/>
              <w:jc w:val="left"/>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t>Dodržování pravidel státní podpory</w:t>
            </w:r>
          </w:p>
        </w:tc>
        <w:tc>
          <w:tcPr>
            <w:tcW w:w="7223" w:type="dxa"/>
          </w:tcPr>
          <w:p w14:paraId="01C3416B" w14:textId="77777777" w:rsidR="00F17AAA" w:rsidRPr="00CB1019" w:rsidRDefault="009F230F" w:rsidP="43DF8A4C">
            <w:pPr>
              <w:spacing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Není relevantní.</w:t>
            </w:r>
          </w:p>
        </w:tc>
      </w:tr>
      <w:tr w:rsidR="00F17AAA" w:rsidRPr="00CB1019" w14:paraId="5701FE64" w14:textId="77777777" w:rsidTr="43DF8A4C">
        <w:tc>
          <w:tcPr>
            <w:tcW w:w="2405" w:type="dxa"/>
          </w:tcPr>
          <w:p w14:paraId="3E0B5ABE" w14:textId="77777777" w:rsidR="00F17AAA" w:rsidRPr="00CB1019" w:rsidRDefault="009F230F" w:rsidP="43DF8A4C">
            <w:pPr>
              <w:pStyle w:val="K-Text"/>
              <w:spacing w:line="240" w:lineRule="auto"/>
              <w:jc w:val="left"/>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t>Uveďte dobu implementace</w:t>
            </w:r>
          </w:p>
        </w:tc>
        <w:tc>
          <w:tcPr>
            <w:tcW w:w="7223" w:type="dxa"/>
          </w:tcPr>
          <w:p w14:paraId="6AAC0041" w14:textId="77777777" w:rsidR="00F17AAA" w:rsidRPr="00CB1019" w:rsidRDefault="009F230F" w:rsidP="43DF8A4C">
            <w:pPr>
              <w:spacing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2021-2024</w:t>
            </w:r>
          </w:p>
        </w:tc>
      </w:tr>
    </w:tbl>
    <w:p w14:paraId="5A39BBE3" w14:textId="77777777" w:rsidR="00F17AAA" w:rsidRPr="00CB1019" w:rsidRDefault="00F17AAA" w:rsidP="43DF8A4C">
      <w:pPr>
        <w:pStyle w:val="K-TextInfo"/>
        <w:rPr>
          <w:rFonts w:asciiTheme="minorHAnsi" w:eastAsiaTheme="minorEastAsia" w:hAnsiTheme="minorHAnsi" w:cstheme="minorBidi"/>
          <w:i w:val="0"/>
          <w:iCs w:val="0"/>
          <w:color w:val="auto"/>
          <w:sz w:val="20"/>
          <w:szCs w:val="20"/>
        </w:rPr>
      </w:pPr>
    </w:p>
    <w:p w14:paraId="7893E5BB" w14:textId="06C8AC27" w:rsidR="71301C15" w:rsidRDefault="71301C15" w:rsidP="43DF8A4C">
      <w:pPr>
        <w:pStyle w:val="K-TextInfo"/>
        <w:rPr>
          <w:color w:val="2196FF" w:themeColor="accent2" w:themeTint="99"/>
        </w:rPr>
      </w:pPr>
    </w:p>
    <w:p w14:paraId="495DAC4F" w14:textId="77777777" w:rsidR="00F17AAA" w:rsidRPr="00CB1019" w:rsidRDefault="009F230F" w:rsidP="43DF8A4C">
      <w:pPr>
        <w:pStyle w:val="K-Nadpis3"/>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b) Popis investic</w:t>
      </w:r>
    </w:p>
    <w:p w14:paraId="41344B76" w14:textId="77777777" w:rsidR="00F17AAA" w:rsidRPr="00CB1019" w:rsidRDefault="009F230F" w:rsidP="43DF8A4C">
      <w:pPr>
        <w:pStyle w:val="K-Tabulka"/>
        <w:rPr>
          <w:rFonts w:asciiTheme="minorHAnsi" w:eastAsiaTheme="minorEastAsia" w:hAnsiTheme="minorHAnsi" w:cstheme="minorBidi"/>
          <w:sz w:val="20"/>
          <w:szCs w:val="20"/>
          <w:highlight w:val="white"/>
        </w:rPr>
      </w:pPr>
      <w:r w:rsidRPr="43DF8A4C">
        <w:rPr>
          <w:rFonts w:asciiTheme="minorHAnsi" w:eastAsiaTheme="minorEastAsia" w:hAnsiTheme="minorHAnsi" w:cstheme="minorBidi"/>
          <w:sz w:val="20"/>
          <w:szCs w:val="20"/>
        </w:rPr>
        <w:t xml:space="preserve">Název investice - </w:t>
      </w:r>
      <w:hyperlink r:id="rId15">
        <w:r w:rsidRPr="43DF8A4C">
          <w:rPr>
            <w:rStyle w:val="Hypertextovodkaz"/>
            <w:rFonts w:asciiTheme="minorHAnsi" w:eastAsiaTheme="minorEastAsia" w:hAnsiTheme="minorHAnsi" w:cstheme="minorBidi"/>
            <w:color w:val="auto"/>
            <w:sz w:val="20"/>
            <w:szCs w:val="20"/>
            <w:u w:val="none"/>
          </w:rPr>
          <w:t xml:space="preserve">2.9.1. </w:t>
        </w:r>
        <w:r w:rsidRPr="43DF8A4C">
          <w:rPr>
            <w:rStyle w:val="Hypertextovodkaz"/>
            <w:rFonts w:asciiTheme="minorHAnsi" w:eastAsiaTheme="minorEastAsia" w:hAnsiTheme="minorHAnsi" w:cstheme="minorBidi"/>
            <w:color w:val="auto"/>
            <w:sz w:val="20"/>
            <w:szCs w:val="20"/>
            <w:highlight w:val="white"/>
            <w:u w:val="none"/>
          </w:rPr>
          <w:t>Zajistit</w:t>
        </w:r>
      </w:hyperlink>
      <w:r w:rsidRPr="43DF8A4C">
        <w:rPr>
          <w:rFonts w:asciiTheme="minorHAnsi" w:eastAsiaTheme="minorEastAsia" w:hAnsiTheme="minorHAnsi" w:cstheme="minorBidi"/>
          <w:sz w:val="20"/>
          <w:szCs w:val="20"/>
          <w:highlight w:val="white"/>
        </w:rPr>
        <w:t xml:space="preserve"> </w:t>
      </w:r>
      <w:r w:rsidR="004C17AB" w:rsidRPr="43DF8A4C">
        <w:rPr>
          <w:rFonts w:asciiTheme="minorHAnsi" w:eastAsiaTheme="minorEastAsia" w:hAnsiTheme="minorHAnsi" w:cstheme="minorBidi"/>
          <w:sz w:val="20"/>
          <w:szCs w:val="20"/>
          <w:highlight w:val="white"/>
        </w:rPr>
        <w:t xml:space="preserve">ochranu proti suchu a </w:t>
      </w:r>
      <w:r w:rsidRPr="43DF8A4C">
        <w:rPr>
          <w:rFonts w:asciiTheme="minorHAnsi" w:eastAsiaTheme="minorEastAsia" w:hAnsiTheme="minorHAnsi" w:cstheme="minorBidi"/>
          <w:sz w:val="20"/>
          <w:szCs w:val="20"/>
          <w:highlight w:val="white"/>
        </w:rPr>
        <w:t xml:space="preserve">přírodě blízkou povodňovou ochranu </w:t>
      </w:r>
      <w:proofErr w:type="spellStart"/>
      <w:r w:rsidRPr="43DF8A4C">
        <w:rPr>
          <w:rFonts w:asciiTheme="minorHAnsi" w:eastAsiaTheme="minorEastAsia" w:hAnsiTheme="minorHAnsi" w:cstheme="minorBidi"/>
          <w:sz w:val="20"/>
          <w:szCs w:val="20"/>
          <w:highlight w:val="white"/>
        </w:rPr>
        <w:t>intravilánu</w:t>
      </w:r>
      <w:proofErr w:type="spellEnd"/>
      <w:r w:rsidRPr="43DF8A4C">
        <w:rPr>
          <w:rFonts w:asciiTheme="minorHAnsi" w:eastAsiaTheme="minorEastAsia" w:hAnsiTheme="minorHAnsi" w:cstheme="minorBidi"/>
          <w:sz w:val="20"/>
          <w:szCs w:val="20"/>
          <w:highlight w:val="white"/>
        </w:rPr>
        <w:t xml:space="preserve"> města Brna</w:t>
      </w:r>
    </w:p>
    <w:tbl>
      <w:tblPr>
        <w:tblStyle w:val="Mkatabulky"/>
        <w:tblW w:w="0" w:type="auto"/>
        <w:tblLook w:val="04A0" w:firstRow="1" w:lastRow="0" w:firstColumn="1" w:lastColumn="0" w:noHBand="0" w:noVBand="1"/>
      </w:tblPr>
      <w:tblGrid>
        <w:gridCol w:w="2405"/>
        <w:gridCol w:w="7223"/>
      </w:tblGrid>
      <w:tr w:rsidR="00A75363" w:rsidRPr="00CB1019" w14:paraId="58BCF2EE" w14:textId="77777777" w:rsidTr="1CC69638">
        <w:tc>
          <w:tcPr>
            <w:tcW w:w="2405" w:type="dxa"/>
          </w:tcPr>
          <w:p w14:paraId="5DA4F8B9" w14:textId="77777777" w:rsidR="00F17AAA" w:rsidRPr="00CB1019" w:rsidRDefault="009F230F" w:rsidP="43DF8A4C">
            <w:pPr>
              <w:pStyle w:val="K-Text"/>
              <w:spacing w:line="240" w:lineRule="auto"/>
              <w:jc w:val="left"/>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t>Výzva</w:t>
            </w:r>
          </w:p>
        </w:tc>
        <w:tc>
          <w:tcPr>
            <w:tcW w:w="7223" w:type="dxa"/>
          </w:tcPr>
          <w:p w14:paraId="0381C0FF" w14:textId="77777777" w:rsidR="00F17AAA" w:rsidRPr="00CB1019" w:rsidRDefault="004C17AB" w:rsidP="43DF8A4C">
            <w:pPr>
              <w:pStyle w:val="K-TextInfo"/>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Zajistit přírodně blízkou ochranu proti povodním a suchu a zvládání povodňových rizik ve městě Brně</w:t>
            </w:r>
          </w:p>
        </w:tc>
      </w:tr>
      <w:tr w:rsidR="00A75363" w:rsidRPr="00CB1019" w14:paraId="5AE57690" w14:textId="77777777" w:rsidTr="1CC69638">
        <w:tc>
          <w:tcPr>
            <w:tcW w:w="2405" w:type="dxa"/>
          </w:tcPr>
          <w:p w14:paraId="298D55BA" w14:textId="77777777" w:rsidR="00F17AAA" w:rsidRPr="00CB1019" w:rsidRDefault="009F230F" w:rsidP="43DF8A4C">
            <w:pPr>
              <w:pStyle w:val="K-Text"/>
              <w:spacing w:line="240" w:lineRule="auto"/>
              <w:jc w:val="left"/>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t>Cíl</w:t>
            </w:r>
          </w:p>
        </w:tc>
        <w:tc>
          <w:tcPr>
            <w:tcW w:w="7223" w:type="dxa"/>
          </w:tcPr>
          <w:p w14:paraId="249F6E60" w14:textId="77777777" w:rsidR="00F17AAA" w:rsidRPr="00CB1019" w:rsidRDefault="009F230F" w:rsidP="43DF8A4C">
            <w:pPr>
              <w:pStyle w:val="K-TextInfo"/>
              <w:rPr>
                <w:rFonts w:asciiTheme="minorHAnsi" w:eastAsiaTheme="minorEastAsia" w:hAnsiTheme="minorHAnsi" w:cstheme="minorBidi"/>
                <w:i w:val="0"/>
                <w:iCs w:val="0"/>
                <w:color w:val="auto"/>
                <w:sz w:val="20"/>
                <w:szCs w:val="20"/>
              </w:rPr>
            </w:pPr>
            <w:proofErr w:type="spellStart"/>
            <w:r w:rsidRPr="43DF8A4C">
              <w:rPr>
                <w:rFonts w:asciiTheme="minorHAnsi" w:eastAsiaTheme="minorEastAsia" w:hAnsiTheme="minorHAnsi" w:cstheme="minorBidi"/>
                <w:i w:val="0"/>
                <w:iCs w:val="0"/>
                <w:color w:val="auto"/>
                <w:sz w:val="20"/>
                <w:szCs w:val="20"/>
              </w:rPr>
              <w:t>Zprůtočnění</w:t>
            </w:r>
            <w:proofErr w:type="spellEnd"/>
            <w:r w:rsidRPr="43DF8A4C">
              <w:rPr>
                <w:rFonts w:asciiTheme="minorHAnsi" w:eastAsiaTheme="minorEastAsia" w:hAnsiTheme="minorHAnsi" w:cstheme="minorBidi"/>
                <w:i w:val="0"/>
                <w:iCs w:val="0"/>
                <w:color w:val="auto"/>
                <w:sz w:val="20"/>
                <w:szCs w:val="20"/>
              </w:rPr>
              <w:t xml:space="preserve"> nebo zvýšení retenčního potenciálu koryt vodních toků a přilehlých niv, zlepšení přirozených rozlivů, realizace opatření podporujících přirozený tlumivý rozliv povodní v nivách a zároveň též o </w:t>
            </w:r>
            <w:r w:rsidRPr="43DF8A4C">
              <w:rPr>
                <w:rFonts w:asciiTheme="minorHAnsi" w:eastAsiaTheme="minorEastAsia" w:hAnsiTheme="minorHAnsi" w:cstheme="minorBidi"/>
                <w:i w:val="0"/>
                <w:iCs w:val="0"/>
                <w:color w:val="auto"/>
                <w:sz w:val="20"/>
                <w:szCs w:val="20"/>
                <w:highlight w:val="white"/>
              </w:rPr>
              <w:t>pozitivní přínos pro biodiverzitu a ekologický stav řeky Svratky</w:t>
            </w:r>
          </w:p>
        </w:tc>
      </w:tr>
      <w:tr w:rsidR="00A75363" w:rsidRPr="00CB1019" w14:paraId="23DE2F5C" w14:textId="77777777" w:rsidTr="1CC69638">
        <w:tc>
          <w:tcPr>
            <w:tcW w:w="2405" w:type="dxa"/>
          </w:tcPr>
          <w:p w14:paraId="180FD910" w14:textId="77777777" w:rsidR="00F17AAA" w:rsidRPr="00CB1019" w:rsidRDefault="009F230F" w:rsidP="43DF8A4C">
            <w:pPr>
              <w:pStyle w:val="K-Text"/>
              <w:spacing w:line="240" w:lineRule="auto"/>
              <w:jc w:val="left"/>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t>Implementace</w:t>
            </w:r>
          </w:p>
        </w:tc>
        <w:tc>
          <w:tcPr>
            <w:tcW w:w="7223" w:type="dxa"/>
          </w:tcPr>
          <w:p w14:paraId="3E3C0535" w14:textId="77777777" w:rsidR="00F17AAA" w:rsidRPr="00CB1019" w:rsidRDefault="009F230F" w:rsidP="43DF8A4C">
            <w:pPr>
              <w:pStyle w:val="K-TextInfo"/>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Ministerstvo životního prostředí</w:t>
            </w:r>
          </w:p>
        </w:tc>
      </w:tr>
      <w:tr w:rsidR="00A75363" w:rsidRPr="00CB1019" w14:paraId="6ABB5F4A" w14:textId="77777777" w:rsidTr="1CC69638">
        <w:trPr>
          <w:trHeight w:val="70"/>
        </w:trPr>
        <w:tc>
          <w:tcPr>
            <w:tcW w:w="2405" w:type="dxa"/>
          </w:tcPr>
          <w:p w14:paraId="6405410B" w14:textId="77777777" w:rsidR="00F17AAA" w:rsidRPr="00CB1019" w:rsidRDefault="009F230F" w:rsidP="43DF8A4C">
            <w:pPr>
              <w:pStyle w:val="K-Text"/>
              <w:spacing w:line="240" w:lineRule="auto"/>
              <w:jc w:val="left"/>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t>Spolupráce a zapojení zúčastněných stran</w:t>
            </w:r>
          </w:p>
        </w:tc>
        <w:tc>
          <w:tcPr>
            <w:tcW w:w="7223" w:type="dxa"/>
          </w:tcPr>
          <w:p w14:paraId="6C1BDC5B" w14:textId="77777777" w:rsidR="00F17AAA" w:rsidRPr="00CB1019" w:rsidRDefault="009F230F" w:rsidP="43DF8A4C">
            <w:pPr>
              <w:pStyle w:val="K-TextInfo"/>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Státní fond životního prostředí ČR (administrace)</w:t>
            </w:r>
          </w:p>
        </w:tc>
      </w:tr>
      <w:tr w:rsidR="00A75363" w:rsidRPr="00CB1019" w14:paraId="4CF1C1B5" w14:textId="77777777" w:rsidTr="1CC69638">
        <w:trPr>
          <w:trHeight w:val="665"/>
        </w:trPr>
        <w:tc>
          <w:tcPr>
            <w:tcW w:w="2405" w:type="dxa"/>
          </w:tcPr>
          <w:p w14:paraId="13504F8C" w14:textId="77777777" w:rsidR="00F17AAA" w:rsidRPr="00CB1019" w:rsidRDefault="009F230F" w:rsidP="43DF8A4C">
            <w:pPr>
              <w:pStyle w:val="K-Text"/>
              <w:spacing w:line="240" w:lineRule="auto"/>
              <w:jc w:val="left"/>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t>Překážky a rizika</w:t>
            </w:r>
          </w:p>
        </w:tc>
        <w:tc>
          <w:tcPr>
            <w:tcW w:w="7223" w:type="dxa"/>
          </w:tcPr>
          <w:p w14:paraId="426A494F" w14:textId="77777777" w:rsidR="00F17AAA" w:rsidRPr="00CB1019" w:rsidRDefault="009F230F" w:rsidP="43DF8A4C">
            <w:pPr>
              <w:pStyle w:val="K-TextInfo"/>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Riziko zpoždění implementace v důsledku realizace výběrových řízení (nadlimitní veřejná zakázka)</w:t>
            </w:r>
          </w:p>
        </w:tc>
      </w:tr>
      <w:tr w:rsidR="00A75363" w:rsidRPr="00CB1019" w14:paraId="18D12C90" w14:textId="77777777" w:rsidTr="1CC69638">
        <w:tc>
          <w:tcPr>
            <w:tcW w:w="2405" w:type="dxa"/>
          </w:tcPr>
          <w:p w14:paraId="543C4217" w14:textId="77777777" w:rsidR="00F17AAA" w:rsidRPr="00CB1019" w:rsidRDefault="009F230F" w:rsidP="43DF8A4C">
            <w:pPr>
              <w:pStyle w:val="K-Text"/>
              <w:spacing w:line="240" w:lineRule="auto"/>
              <w:jc w:val="left"/>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t>Cílové skupiny populace a ekonomické subjekty</w:t>
            </w:r>
          </w:p>
        </w:tc>
        <w:tc>
          <w:tcPr>
            <w:tcW w:w="7223" w:type="dxa"/>
          </w:tcPr>
          <w:p w14:paraId="64662C26" w14:textId="77777777" w:rsidR="00F17AAA" w:rsidRPr="00CB1019" w:rsidRDefault="009F230F" w:rsidP="43DF8A4C">
            <w:pPr>
              <w:pStyle w:val="K-TextInfo"/>
              <w:rPr>
                <w:rFonts w:asciiTheme="minorHAnsi" w:eastAsiaTheme="minorEastAsia" w:hAnsiTheme="minorHAnsi" w:cstheme="minorBidi"/>
                <w:i w:val="0"/>
                <w:iCs w:val="0"/>
                <w:color w:val="auto"/>
                <w:sz w:val="20"/>
                <w:szCs w:val="20"/>
                <w:highlight w:val="white"/>
              </w:rPr>
            </w:pPr>
            <w:r w:rsidRPr="43DF8A4C">
              <w:rPr>
                <w:rFonts w:asciiTheme="minorHAnsi" w:eastAsiaTheme="minorEastAsia" w:hAnsiTheme="minorHAnsi" w:cstheme="minorBidi"/>
                <w:i w:val="0"/>
                <w:iCs w:val="0"/>
                <w:color w:val="auto"/>
                <w:sz w:val="20"/>
                <w:szCs w:val="20"/>
                <w:highlight w:val="white"/>
              </w:rPr>
              <w:t>Město Brno</w:t>
            </w:r>
          </w:p>
        </w:tc>
      </w:tr>
      <w:tr w:rsidR="00A75363" w:rsidRPr="00CB1019" w14:paraId="4B1E5CA1" w14:textId="77777777" w:rsidTr="1CC69638">
        <w:trPr>
          <w:trHeight w:val="425"/>
        </w:trPr>
        <w:tc>
          <w:tcPr>
            <w:tcW w:w="2405" w:type="dxa"/>
          </w:tcPr>
          <w:p w14:paraId="49D29D19" w14:textId="77777777" w:rsidR="00F17AAA" w:rsidRPr="00CB1019" w:rsidRDefault="009F230F" w:rsidP="43DF8A4C">
            <w:pPr>
              <w:pStyle w:val="K-Text"/>
              <w:spacing w:line="240" w:lineRule="auto"/>
              <w:jc w:val="left"/>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t>Souhrnné náklady realizace financované z RRF za celé období</w:t>
            </w:r>
          </w:p>
        </w:tc>
        <w:tc>
          <w:tcPr>
            <w:tcW w:w="7223" w:type="dxa"/>
          </w:tcPr>
          <w:p w14:paraId="486E7BB1" w14:textId="0C2D937F" w:rsidR="00F17AAA" w:rsidRPr="00CB1019" w:rsidRDefault="001C03B2" w:rsidP="1CC69638">
            <w:pPr>
              <w:pStyle w:val="K-TextInfo"/>
              <w:rPr>
                <w:rFonts w:asciiTheme="minorHAnsi" w:eastAsiaTheme="minorEastAsia" w:hAnsiTheme="minorHAnsi" w:cstheme="minorBidi"/>
                <w:i w:val="0"/>
                <w:iCs w:val="0"/>
                <w:color w:val="auto"/>
                <w:sz w:val="20"/>
                <w:szCs w:val="20"/>
                <w:highlight w:val="white"/>
              </w:rPr>
            </w:pPr>
            <w:r>
              <w:rPr>
                <w:rFonts w:asciiTheme="minorHAnsi" w:eastAsiaTheme="minorEastAsia" w:hAnsiTheme="minorHAnsi" w:cstheme="minorBidi"/>
                <w:i w:val="0"/>
                <w:iCs w:val="0"/>
                <w:color w:val="auto"/>
                <w:sz w:val="20"/>
                <w:szCs w:val="20"/>
                <w:highlight w:val="white"/>
              </w:rPr>
              <w:t>762</w:t>
            </w:r>
            <w:r w:rsidR="35EF1CCD" w:rsidRPr="1CC69638">
              <w:rPr>
                <w:rFonts w:asciiTheme="minorHAnsi" w:eastAsiaTheme="minorEastAsia" w:hAnsiTheme="minorHAnsi" w:cstheme="minorBidi"/>
                <w:i w:val="0"/>
                <w:iCs w:val="0"/>
                <w:color w:val="auto"/>
                <w:sz w:val="20"/>
                <w:szCs w:val="20"/>
                <w:highlight w:val="white"/>
              </w:rPr>
              <w:t xml:space="preserve"> </w:t>
            </w:r>
            <w:r w:rsidR="009F230F" w:rsidRPr="1CC69638">
              <w:rPr>
                <w:rFonts w:asciiTheme="minorHAnsi" w:eastAsiaTheme="minorEastAsia" w:hAnsiTheme="minorHAnsi" w:cstheme="minorBidi"/>
                <w:i w:val="0"/>
                <w:iCs w:val="0"/>
                <w:color w:val="auto"/>
                <w:sz w:val="20"/>
                <w:szCs w:val="20"/>
                <w:highlight w:val="white"/>
              </w:rPr>
              <w:t>m</w:t>
            </w:r>
            <w:r w:rsidR="06BF60E7" w:rsidRPr="1CC69638">
              <w:rPr>
                <w:rFonts w:asciiTheme="minorHAnsi" w:eastAsiaTheme="minorEastAsia" w:hAnsiTheme="minorHAnsi" w:cstheme="minorBidi"/>
                <w:i w:val="0"/>
                <w:iCs w:val="0"/>
                <w:color w:val="auto"/>
                <w:sz w:val="20"/>
                <w:szCs w:val="20"/>
                <w:highlight w:val="white"/>
              </w:rPr>
              <w:t>i</w:t>
            </w:r>
            <w:r w:rsidR="009F230F" w:rsidRPr="1CC69638">
              <w:rPr>
                <w:rFonts w:asciiTheme="minorHAnsi" w:eastAsiaTheme="minorEastAsia" w:hAnsiTheme="minorHAnsi" w:cstheme="minorBidi"/>
                <w:i w:val="0"/>
                <w:iCs w:val="0"/>
                <w:color w:val="auto"/>
                <w:sz w:val="20"/>
                <w:szCs w:val="20"/>
                <w:highlight w:val="white"/>
              </w:rPr>
              <w:t xml:space="preserve">l. </w:t>
            </w:r>
            <w:r w:rsidR="00F267DE">
              <w:rPr>
                <w:rFonts w:asciiTheme="minorHAnsi" w:eastAsiaTheme="minorEastAsia" w:hAnsiTheme="minorHAnsi" w:cstheme="minorBidi"/>
                <w:i w:val="0"/>
                <w:iCs w:val="0"/>
                <w:color w:val="auto"/>
                <w:sz w:val="20"/>
                <w:szCs w:val="20"/>
                <w:highlight w:val="white"/>
              </w:rPr>
              <w:t>Kč</w:t>
            </w:r>
            <w:r w:rsidR="510832BB" w:rsidRPr="1CC69638">
              <w:rPr>
                <w:rFonts w:asciiTheme="minorHAnsi" w:eastAsiaTheme="minorEastAsia" w:hAnsiTheme="minorHAnsi" w:cstheme="minorBidi"/>
                <w:i w:val="0"/>
                <w:iCs w:val="0"/>
                <w:color w:val="auto"/>
                <w:sz w:val="20"/>
                <w:szCs w:val="20"/>
                <w:highlight w:val="white"/>
              </w:rPr>
              <w:t xml:space="preserve"> </w:t>
            </w:r>
          </w:p>
        </w:tc>
      </w:tr>
      <w:tr w:rsidR="00A75363" w:rsidRPr="00CB1019" w14:paraId="6C94076E" w14:textId="77777777" w:rsidTr="1CC69638">
        <w:tc>
          <w:tcPr>
            <w:tcW w:w="2405" w:type="dxa"/>
          </w:tcPr>
          <w:p w14:paraId="2CC21B45" w14:textId="77777777" w:rsidR="00F17AAA" w:rsidRPr="00CB1019" w:rsidRDefault="009F230F" w:rsidP="43DF8A4C">
            <w:pPr>
              <w:pStyle w:val="K-Text"/>
              <w:spacing w:line="240" w:lineRule="auto"/>
              <w:jc w:val="left"/>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t>Dodržování pravidel státní podpory</w:t>
            </w:r>
          </w:p>
        </w:tc>
        <w:tc>
          <w:tcPr>
            <w:tcW w:w="7223" w:type="dxa"/>
          </w:tcPr>
          <w:p w14:paraId="3016DBC9" w14:textId="77777777" w:rsidR="00F17AAA" w:rsidRPr="00CB1019" w:rsidRDefault="009F230F" w:rsidP="43DF8A4C">
            <w:pPr>
              <w:pStyle w:val="K-TextInfo"/>
              <w:rPr>
                <w:rFonts w:asciiTheme="minorHAnsi" w:eastAsiaTheme="minorEastAsia" w:hAnsiTheme="minorHAnsi" w:cstheme="minorBidi"/>
                <w:i w:val="0"/>
                <w:iCs w:val="0"/>
                <w:color w:val="auto"/>
                <w:sz w:val="20"/>
                <w:szCs w:val="20"/>
                <w:highlight w:val="white"/>
              </w:rPr>
            </w:pPr>
            <w:r w:rsidRPr="43DF8A4C">
              <w:rPr>
                <w:rFonts w:asciiTheme="minorHAnsi" w:eastAsiaTheme="minorEastAsia" w:hAnsiTheme="minorHAnsi" w:cstheme="minorBidi"/>
                <w:i w:val="0"/>
                <w:iCs w:val="0"/>
                <w:color w:val="auto"/>
                <w:sz w:val="20"/>
                <w:szCs w:val="20"/>
                <w:highlight w:val="white"/>
              </w:rPr>
              <w:t>U předmětné oblasti není aplikace veřejné podpory relevantní s ohledem na charakter projektu. Jedná se o opatření, která obvykle nevedou ke zvýhodnění žádného subjektu v tržním prostředí.</w:t>
            </w:r>
          </w:p>
        </w:tc>
      </w:tr>
      <w:tr w:rsidR="00A75363" w:rsidRPr="00CB1019" w14:paraId="3C5B06CA" w14:textId="77777777" w:rsidTr="1CC69638">
        <w:tc>
          <w:tcPr>
            <w:tcW w:w="2405" w:type="dxa"/>
          </w:tcPr>
          <w:p w14:paraId="3C0305CA" w14:textId="77777777" w:rsidR="00F17AAA" w:rsidRPr="00CB1019" w:rsidRDefault="009F230F" w:rsidP="43DF8A4C">
            <w:pPr>
              <w:pStyle w:val="K-Text"/>
              <w:spacing w:line="240" w:lineRule="auto"/>
              <w:jc w:val="left"/>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t>Uveďte dobu implementace</w:t>
            </w:r>
          </w:p>
        </w:tc>
        <w:tc>
          <w:tcPr>
            <w:tcW w:w="7223" w:type="dxa"/>
          </w:tcPr>
          <w:p w14:paraId="23574340" w14:textId="77777777" w:rsidR="00F17AAA" w:rsidRPr="00CB1019" w:rsidRDefault="009F230F" w:rsidP="43DF8A4C">
            <w:pPr>
              <w:pStyle w:val="K-TextInfo"/>
              <w:rPr>
                <w:rFonts w:asciiTheme="minorHAnsi" w:eastAsiaTheme="minorEastAsia" w:hAnsiTheme="minorHAnsi" w:cstheme="minorBidi"/>
                <w:i w:val="0"/>
                <w:iCs w:val="0"/>
                <w:color w:val="auto"/>
                <w:sz w:val="20"/>
                <w:szCs w:val="20"/>
              </w:rPr>
            </w:pPr>
            <w:proofErr w:type="gramStart"/>
            <w:r w:rsidRPr="43DF8A4C">
              <w:rPr>
                <w:rFonts w:asciiTheme="minorHAnsi" w:eastAsiaTheme="minorEastAsia" w:hAnsiTheme="minorHAnsi" w:cstheme="minorBidi"/>
                <w:i w:val="0"/>
                <w:iCs w:val="0"/>
                <w:color w:val="auto"/>
                <w:sz w:val="20"/>
                <w:szCs w:val="20"/>
              </w:rPr>
              <w:t>202</w:t>
            </w:r>
            <w:r w:rsidR="00A75363" w:rsidRPr="43DF8A4C">
              <w:rPr>
                <w:rFonts w:asciiTheme="minorHAnsi" w:eastAsiaTheme="minorEastAsia" w:hAnsiTheme="minorHAnsi" w:cstheme="minorBidi"/>
                <w:i w:val="0"/>
                <w:iCs w:val="0"/>
                <w:color w:val="auto"/>
                <w:sz w:val="20"/>
                <w:szCs w:val="20"/>
              </w:rPr>
              <w:t>0</w:t>
            </w:r>
            <w:r w:rsidRPr="43DF8A4C">
              <w:rPr>
                <w:rFonts w:asciiTheme="minorHAnsi" w:eastAsiaTheme="minorEastAsia" w:hAnsiTheme="minorHAnsi" w:cstheme="minorBidi"/>
                <w:i w:val="0"/>
                <w:iCs w:val="0"/>
                <w:color w:val="auto"/>
                <w:sz w:val="20"/>
                <w:szCs w:val="20"/>
              </w:rPr>
              <w:t xml:space="preserve"> - 2025</w:t>
            </w:r>
            <w:proofErr w:type="gramEnd"/>
          </w:p>
        </w:tc>
      </w:tr>
    </w:tbl>
    <w:p w14:paraId="41C8F396" w14:textId="77777777" w:rsidR="00F17AAA" w:rsidRPr="00CB1019" w:rsidRDefault="00F17AAA" w:rsidP="43DF8A4C">
      <w:pPr>
        <w:pStyle w:val="K-TextInfo"/>
        <w:rPr>
          <w:rFonts w:asciiTheme="minorHAnsi" w:eastAsiaTheme="minorEastAsia" w:hAnsiTheme="minorHAnsi" w:cstheme="minorBidi"/>
          <w:i w:val="0"/>
          <w:iCs w:val="0"/>
          <w:color w:val="auto"/>
          <w:sz w:val="20"/>
          <w:szCs w:val="20"/>
        </w:rPr>
      </w:pPr>
    </w:p>
    <w:p w14:paraId="66B9ED6B" w14:textId="77777777" w:rsidR="00F17AAA" w:rsidRPr="00CB1019" w:rsidRDefault="009F230F" w:rsidP="43DF8A4C">
      <w:pPr>
        <w:pStyle w:val="K-TextInfo"/>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lastRenderedPageBreak/>
        <w:t xml:space="preserve">V rámci investice se předpokládá realizace projektu města Brna „Realizace protipovodňových opatření města </w:t>
      </w:r>
      <w:proofErr w:type="gramStart"/>
      <w:r w:rsidRPr="43DF8A4C">
        <w:rPr>
          <w:rFonts w:asciiTheme="minorHAnsi" w:eastAsiaTheme="minorEastAsia" w:hAnsiTheme="minorHAnsi" w:cstheme="minorBidi"/>
          <w:i w:val="0"/>
          <w:iCs w:val="0"/>
          <w:color w:val="auto"/>
          <w:sz w:val="20"/>
          <w:szCs w:val="20"/>
        </w:rPr>
        <w:t>Brna  -</w:t>
      </w:r>
      <w:proofErr w:type="gramEnd"/>
      <w:r w:rsidRPr="43DF8A4C">
        <w:rPr>
          <w:rFonts w:asciiTheme="minorHAnsi" w:eastAsiaTheme="minorEastAsia" w:hAnsiTheme="minorHAnsi" w:cstheme="minorBidi"/>
          <w:i w:val="0"/>
          <w:iCs w:val="0"/>
          <w:color w:val="auto"/>
          <w:sz w:val="20"/>
          <w:szCs w:val="20"/>
        </w:rPr>
        <w:t xml:space="preserve"> etapy VII a VIII“, který byl podán do OPŽP 2014-2020 a který se pohybuje na hranici tzv. velkého projektu. Jedná se o část komplexního projektu na vybudování protipovodňových opatření města Brna, jehož cílem je ochrana osob a majetku jeho obyvatel pomocí přírodě blízkých protipovodňových opatření a zatraktivnění dotčeného území. Etapy protipovodňových opatření byly vybrány na základě multikriteriální analýzy zpracované v rámci Generelu odvodnění města Brna. </w:t>
      </w:r>
    </w:p>
    <w:p w14:paraId="1CD5D167" w14:textId="77777777" w:rsidR="00F17AAA" w:rsidRPr="00CB1019" w:rsidRDefault="009F230F" w:rsidP="43DF8A4C">
      <w:pPr>
        <w:pStyle w:val="K-TextInfo"/>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Tento projekt se týká VII a VIII etapy, která je lokalizována na toku řeky Svratky převážně v území městské části Brno-střed. Realizací projektu dojde ke zvýšení protipovodňové ochrany zastavěných částí města za předpokladu zachování maximální možné míry rozlivu v městské nivě. Podmínkou řešení je nezhoršit povodňovou situaci na úseku po toku. Základním principem řešení je využití odsazených protipovodňových hrází nebo zdí a využití prostoru nivy a zlepšení morfologie toku.</w:t>
      </w:r>
    </w:p>
    <w:p w14:paraId="503C1CFB" w14:textId="77777777" w:rsidR="00F17AAA" w:rsidRPr="00CB1019" w:rsidRDefault="009F230F" w:rsidP="43DF8A4C">
      <w:pPr>
        <w:pStyle w:val="K-TextInfo"/>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Realizací projektu dojde k vytvoření souboru staveb přírodě blízkých protipovodňových opatření na úseku řeky Svratky. Podstatou je liniová PPO zabraňující rozlivům povodňových průtoků a dále PPO na kanalizační síti, která proti zpětnému vzdutí z toků a současně umožňují fungování kanalizační sítě z hlediska odlehčení při srážkových epizodách v době povodní.</w:t>
      </w:r>
    </w:p>
    <w:p w14:paraId="78DD0ECB" w14:textId="77777777" w:rsidR="00F17AAA" w:rsidRPr="00CB1019" w:rsidRDefault="009F230F" w:rsidP="43DF8A4C">
      <w:pPr>
        <w:pStyle w:val="K-TextInfo"/>
        <w:rPr>
          <w:rFonts w:asciiTheme="minorHAnsi" w:eastAsiaTheme="minorEastAsia" w:hAnsiTheme="minorHAnsi" w:cstheme="minorBidi"/>
          <w:color w:val="auto"/>
          <w:sz w:val="20"/>
          <w:szCs w:val="20"/>
        </w:rPr>
      </w:pPr>
      <w:r w:rsidRPr="43DF8A4C">
        <w:rPr>
          <w:rFonts w:asciiTheme="minorHAnsi" w:eastAsiaTheme="minorEastAsia" w:hAnsiTheme="minorHAnsi" w:cstheme="minorBidi"/>
          <w:i w:val="0"/>
          <w:iCs w:val="0"/>
          <w:color w:val="auto"/>
          <w:sz w:val="20"/>
          <w:szCs w:val="20"/>
        </w:rPr>
        <w:t>Celková délka revitalizovaného toku činí 3,125 km (ř. km 37,055 - 40,180)</w:t>
      </w:r>
      <w:r w:rsidRPr="43DF8A4C">
        <w:rPr>
          <w:rFonts w:asciiTheme="minorHAnsi" w:eastAsiaTheme="minorEastAsia" w:hAnsiTheme="minorHAnsi" w:cstheme="minorBidi"/>
          <w:color w:val="auto"/>
          <w:sz w:val="20"/>
          <w:szCs w:val="20"/>
        </w:rPr>
        <w:t>.</w:t>
      </w:r>
    </w:p>
    <w:p w14:paraId="510D61E0" w14:textId="77777777" w:rsidR="00F17AAA" w:rsidRPr="00CB1019" w:rsidRDefault="009F230F" w:rsidP="43DF8A4C">
      <w:pPr>
        <w:pStyle w:val="K-TextInfo"/>
        <w:rPr>
          <w:rFonts w:asciiTheme="minorHAnsi" w:eastAsiaTheme="minorEastAsia" w:hAnsiTheme="minorHAnsi" w:cstheme="minorBidi"/>
          <w:color w:val="auto"/>
          <w:sz w:val="20"/>
          <w:szCs w:val="20"/>
        </w:rPr>
      </w:pPr>
      <w:r w:rsidRPr="43DF8A4C">
        <w:rPr>
          <w:rFonts w:asciiTheme="minorHAnsi" w:eastAsiaTheme="minorEastAsia" w:hAnsiTheme="minorHAnsi" w:cstheme="minorBidi"/>
          <w:i w:val="0"/>
          <w:iCs w:val="0"/>
          <w:color w:val="auto"/>
          <w:sz w:val="20"/>
          <w:szCs w:val="20"/>
        </w:rPr>
        <w:t xml:space="preserve">Počet obyvatel chráněných opatřeními proti povodním – 5 823 </w:t>
      </w:r>
    </w:p>
    <w:p w14:paraId="53B1FEBF"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color w:val="auto"/>
          <w:sz w:val="20"/>
          <w:szCs w:val="20"/>
        </w:rPr>
      </w:pPr>
      <w:r w:rsidRPr="43DF8A4C">
        <w:rPr>
          <w:rFonts w:asciiTheme="minorHAnsi" w:eastAsiaTheme="minorEastAsia" w:hAnsiTheme="minorHAnsi" w:cstheme="minorBidi"/>
          <w:i w:val="0"/>
          <w:iCs w:val="0"/>
          <w:color w:val="auto"/>
          <w:sz w:val="20"/>
          <w:szCs w:val="20"/>
        </w:rPr>
        <w:t>V rámci projektu města Brna budou realizována následující opatření:</w:t>
      </w:r>
    </w:p>
    <w:p w14:paraId="52FA3685" w14:textId="77777777" w:rsidR="00F17AAA" w:rsidRPr="00CB1019" w:rsidRDefault="009F230F" w:rsidP="43DF8A4C">
      <w:pPr>
        <w:pStyle w:val="K-TextInfo"/>
        <w:numPr>
          <w:ilvl w:val="0"/>
          <w:numId w:val="22"/>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color w:val="auto"/>
          <w:sz w:val="20"/>
          <w:szCs w:val="20"/>
        </w:rPr>
      </w:pPr>
      <w:r w:rsidRPr="43DF8A4C">
        <w:rPr>
          <w:rFonts w:asciiTheme="minorHAnsi" w:eastAsiaTheme="minorEastAsia" w:hAnsiTheme="minorHAnsi" w:cstheme="minorBidi"/>
          <w:i w:val="0"/>
          <w:iCs w:val="0"/>
          <w:color w:val="auto"/>
          <w:sz w:val="20"/>
          <w:szCs w:val="20"/>
        </w:rPr>
        <w:t>191 m nových zemních hrází, 1450 m železobetonových stěn a na 175 m bude zvýšen terén</w:t>
      </w:r>
    </w:p>
    <w:p w14:paraId="04E14A55" w14:textId="77777777" w:rsidR="00F17AAA" w:rsidRPr="00CB1019" w:rsidRDefault="009F230F" w:rsidP="43DF8A4C">
      <w:pPr>
        <w:pStyle w:val="K-TextInfo"/>
        <w:numPr>
          <w:ilvl w:val="0"/>
          <w:numId w:val="22"/>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color w:val="auto"/>
          <w:sz w:val="20"/>
          <w:szCs w:val="20"/>
        </w:rPr>
      </w:pPr>
      <w:r w:rsidRPr="43DF8A4C">
        <w:rPr>
          <w:rFonts w:asciiTheme="minorHAnsi" w:eastAsiaTheme="minorEastAsia" w:hAnsiTheme="minorHAnsi" w:cstheme="minorBidi"/>
          <w:i w:val="0"/>
          <w:iCs w:val="0"/>
          <w:color w:val="auto"/>
          <w:sz w:val="20"/>
          <w:szCs w:val="20"/>
        </w:rPr>
        <w:t>5300 m pěšin a 2800 m obslužných a promenádních stezek</w:t>
      </w:r>
    </w:p>
    <w:p w14:paraId="6BF5E468" w14:textId="77777777" w:rsidR="00F17AAA" w:rsidRPr="00CB1019" w:rsidRDefault="009F230F" w:rsidP="43DF8A4C">
      <w:pPr>
        <w:pStyle w:val="K-TextInfo"/>
        <w:numPr>
          <w:ilvl w:val="0"/>
          <w:numId w:val="22"/>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color w:val="auto"/>
          <w:sz w:val="20"/>
          <w:szCs w:val="20"/>
        </w:rPr>
      </w:pPr>
      <w:r w:rsidRPr="43DF8A4C">
        <w:rPr>
          <w:rFonts w:asciiTheme="minorHAnsi" w:eastAsiaTheme="minorEastAsia" w:hAnsiTheme="minorHAnsi" w:cstheme="minorBidi"/>
          <w:i w:val="0"/>
          <w:iCs w:val="0"/>
          <w:color w:val="auto"/>
          <w:sz w:val="20"/>
          <w:szCs w:val="20"/>
        </w:rPr>
        <w:t>rekonstrukce stávajících nábřežních zdí</w:t>
      </w:r>
    </w:p>
    <w:p w14:paraId="0DFF298E" w14:textId="77777777" w:rsidR="00F17AAA" w:rsidRPr="00CB1019" w:rsidRDefault="009F230F" w:rsidP="43DF8A4C">
      <w:pPr>
        <w:pStyle w:val="K-TextInfo"/>
        <w:numPr>
          <w:ilvl w:val="0"/>
          <w:numId w:val="22"/>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color w:val="auto"/>
          <w:sz w:val="20"/>
          <w:szCs w:val="20"/>
        </w:rPr>
      </w:pPr>
      <w:r w:rsidRPr="43DF8A4C">
        <w:rPr>
          <w:rFonts w:asciiTheme="minorHAnsi" w:eastAsiaTheme="minorEastAsia" w:hAnsiTheme="minorHAnsi" w:cstheme="minorBidi"/>
          <w:i w:val="0"/>
          <w:iCs w:val="0"/>
          <w:color w:val="auto"/>
          <w:sz w:val="20"/>
          <w:szCs w:val="20"/>
        </w:rPr>
        <w:t xml:space="preserve">rozšíření koryta a jeho úprava do </w:t>
      </w:r>
      <w:proofErr w:type="spellStart"/>
      <w:r w:rsidRPr="43DF8A4C">
        <w:rPr>
          <w:rFonts w:asciiTheme="minorHAnsi" w:eastAsiaTheme="minorEastAsia" w:hAnsiTheme="minorHAnsi" w:cstheme="minorBidi"/>
          <w:i w:val="0"/>
          <w:iCs w:val="0"/>
          <w:color w:val="auto"/>
          <w:sz w:val="20"/>
          <w:szCs w:val="20"/>
        </w:rPr>
        <w:t>pozvolvnějšího</w:t>
      </w:r>
      <w:proofErr w:type="spellEnd"/>
      <w:r w:rsidRPr="43DF8A4C">
        <w:rPr>
          <w:rFonts w:asciiTheme="minorHAnsi" w:eastAsiaTheme="minorEastAsia" w:hAnsiTheme="minorHAnsi" w:cstheme="minorBidi"/>
          <w:i w:val="0"/>
          <w:iCs w:val="0"/>
          <w:color w:val="auto"/>
          <w:sz w:val="20"/>
          <w:szCs w:val="20"/>
        </w:rPr>
        <w:t xml:space="preserve"> přechodu do dna řeky a vytvoření širokého litorálního pásma</w:t>
      </w:r>
    </w:p>
    <w:p w14:paraId="00860B0C" w14:textId="77777777" w:rsidR="00F17AAA" w:rsidRPr="00CB1019" w:rsidRDefault="009F230F" w:rsidP="43DF8A4C">
      <w:pPr>
        <w:pStyle w:val="K-TextInfo"/>
        <w:numPr>
          <w:ilvl w:val="0"/>
          <w:numId w:val="22"/>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color w:val="auto"/>
          <w:sz w:val="20"/>
          <w:szCs w:val="20"/>
        </w:rPr>
      </w:pPr>
      <w:r w:rsidRPr="43DF8A4C">
        <w:rPr>
          <w:rFonts w:asciiTheme="minorHAnsi" w:eastAsiaTheme="minorEastAsia" w:hAnsiTheme="minorHAnsi" w:cstheme="minorBidi"/>
          <w:i w:val="0"/>
          <w:iCs w:val="0"/>
          <w:color w:val="auto"/>
          <w:sz w:val="20"/>
          <w:szCs w:val="20"/>
        </w:rPr>
        <w:t>úprava výškového a půdorysného členění dna řeky</w:t>
      </w:r>
    </w:p>
    <w:p w14:paraId="3F959874" w14:textId="77777777" w:rsidR="00F17AAA" w:rsidRPr="00CB1019" w:rsidRDefault="009F230F" w:rsidP="43DF8A4C">
      <w:pPr>
        <w:pStyle w:val="K-TextInfo"/>
        <w:numPr>
          <w:ilvl w:val="0"/>
          <w:numId w:val="22"/>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color w:val="auto"/>
          <w:sz w:val="20"/>
          <w:szCs w:val="20"/>
        </w:rPr>
      </w:pPr>
      <w:r w:rsidRPr="43DF8A4C">
        <w:rPr>
          <w:rFonts w:asciiTheme="minorHAnsi" w:eastAsiaTheme="minorEastAsia" w:hAnsiTheme="minorHAnsi" w:cstheme="minorBidi"/>
          <w:i w:val="0"/>
          <w:iCs w:val="0"/>
          <w:color w:val="auto"/>
          <w:sz w:val="20"/>
          <w:szCs w:val="20"/>
        </w:rPr>
        <w:t>vytvoření tůní, ostrůvků v korytě toku, mělkých peřejnatých úseků a mělčin</w:t>
      </w:r>
    </w:p>
    <w:p w14:paraId="2BEDE99E" w14:textId="77777777" w:rsidR="00F17AAA" w:rsidRPr="00CB1019" w:rsidRDefault="009F230F" w:rsidP="43DF8A4C">
      <w:pPr>
        <w:pStyle w:val="K-TextInfo"/>
        <w:numPr>
          <w:ilvl w:val="0"/>
          <w:numId w:val="22"/>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color w:val="auto"/>
          <w:sz w:val="20"/>
          <w:szCs w:val="20"/>
        </w:rPr>
      </w:pPr>
      <w:r w:rsidRPr="43DF8A4C">
        <w:rPr>
          <w:rFonts w:asciiTheme="minorHAnsi" w:eastAsiaTheme="minorEastAsia" w:hAnsiTheme="minorHAnsi" w:cstheme="minorBidi"/>
          <w:i w:val="0"/>
          <w:iCs w:val="0"/>
          <w:color w:val="auto"/>
          <w:sz w:val="20"/>
          <w:szCs w:val="20"/>
        </w:rPr>
        <w:t>rekonstrukce 3 příčných prahů v korytě řeky</w:t>
      </w:r>
    </w:p>
    <w:p w14:paraId="5171D156" w14:textId="77777777" w:rsidR="00F17AAA" w:rsidRPr="00CB1019" w:rsidRDefault="009F230F" w:rsidP="43DF8A4C">
      <w:pPr>
        <w:pStyle w:val="K-TextInfo"/>
        <w:numPr>
          <w:ilvl w:val="0"/>
          <w:numId w:val="22"/>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color w:val="auto"/>
          <w:sz w:val="20"/>
          <w:szCs w:val="20"/>
        </w:rPr>
      </w:pPr>
      <w:r w:rsidRPr="43DF8A4C">
        <w:rPr>
          <w:rFonts w:asciiTheme="minorHAnsi" w:eastAsiaTheme="minorEastAsia" w:hAnsiTheme="minorHAnsi" w:cstheme="minorBidi"/>
          <w:i w:val="0"/>
          <w:iCs w:val="0"/>
          <w:color w:val="auto"/>
          <w:sz w:val="20"/>
          <w:szCs w:val="20"/>
        </w:rPr>
        <w:t>úprava přelivné hrany jezu Riviéra</w:t>
      </w:r>
    </w:p>
    <w:p w14:paraId="313B55E7" w14:textId="77777777" w:rsidR="00F17AAA" w:rsidRPr="00CB1019" w:rsidRDefault="009F230F" w:rsidP="43DF8A4C">
      <w:pPr>
        <w:pStyle w:val="K-TextInfo"/>
        <w:numPr>
          <w:ilvl w:val="0"/>
          <w:numId w:val="22"/>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color w:val="auto"/>
          <w:sz w:val="20"/>
          <w:szCs w:val="20"/>
        </w:rPr>
      </w:pPr>
      <w:r w:rsidRPr="43DF8A4C">
        <w:rPr>
          <w:rFonts w:asciiTheme="minorHAnsi" w:eastAsiaTheme="minorEastAsia" w:hAnsiTheme="minorHAnsi" w:cstheme="minorBidi"/>
          <w:i w:val="0"/>
          <w:iCs w:val="0"/>
          <w:color w:val="auto"/>
          <w:sz w:val="20"/>
          <w:szCs w:val="20"/>
        </w:rPr>
        <w:t>snížení terénu za břehovou hranou a založení mokřadu a periodických tůní v prostoru „Červeného kopce“</w:t>
      </w:r>
    </w:p>
    <w:p w14:paraId="1A168278" w14:textId="77777777" w:rsidR="00F17AAA" w:rsidRPr="00CB1019" w:rsidRDefault="009F230F" w:rsidP="43DF8A4C">
      <w:pPr>
        <w:pStyle w:val="K-TextInfo"/>
        <w:numPr>
          <w:ilvl w:val="0"/>
          <w:numId w:val="22"/>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color w:val="auto"/>
          <w:sz w:val="20"/>
          <w:szCs w:val="20"/>
        </w:rPr>
      </w:pPr>
      <w:r w:rsidRPr="43DF8A4C">
        <w:rPr>
          <w:rFonts w:asciiTheme="minorHAnsi" w:eastAsiaTheme="minorEastAsia" w:hAnsiTheme="minorHAnsi" w:cstheme="minorBidi"/>
          <w:i w:val="0"/>
          <w:iCs w:val="0"/>
          <w:color w:val="auto"/>
          <w:sz w:val="20"/>
          <w:szCs w:val="20"/>
        </w:rPr>
        <w:t>vytvoření zálivu a jezírka napájeného ze Svrateckého náhonu s vodou přečištěnou v rákosinách umístěných před jezírkem, které bude možné využít ke koupání</w:t>
      </w:r>
    </w:p>
    <w:p w14:paraId="7DEA10B6" w14:textId="77777777" w:rsidR="00F17AAA" w:rsidRPr="00CB1019" w:rsidRDefault="009F230F" w:rsidP="43DF8A4C">
      <w:pPr>
        <w:pStyle w:val="K-TextInfo"/>
        <w:numPr>
          <w:ilvl w:val="0"/>
          <w:numId w:val="22"/>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color w:val="auto"/>
          <w:sz w:val="20"/>
          <w:szCs w:val="20"/>
        </w:rPr>
      </w:pPr>
      <w:r w:rsidRPr="43DF8A4C">
        <w:rPr>
          <w:rFonts w:asciiTheme="minorHAnsi" w:eastAsiaTheme="minorEastAsia" w:hAnsiTheme="minorHAnsi" w:cstheme="minorBidi"/>
          <w:i w:val="0"/>
          <w:iCs w:val="0"/>
          <w:color w:val="auto"/>
          <w:sz w:val="20"/>
          <w:szCs w:val="20"/>
        </w:rPr>
        <w:t>vybudování kolonády na levém břehu, kterou bude uzavírat vstupní objekt s výtahem pro vozíčkáře a zázemím pro veřejnost</w:t>
      </w:r>
    </w:p>
    <w:p w14:paraId="39DC922E" w14:textId="77777777" w:rsidR="00F17AAA" w:rsidRPr="00CB1019" w:rsidRDefault="009F230F" w:rsidP="43DF8A4C">
      <w:pPr>
        <w:pStyle w:val="K-TextInfo"/>
        <w:numPr>
          <w:ilvl w:val="0"/>
          <w:numId w:val="22"/>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color w:val="auto"/>
          <w:sz w:val="20"/>
          <w:szCs w:val="20"/>
        </w:rPr>
      </w:pPr>
      <w:r w:rsidRPr="43DF8A4C">
        <w:rPr>
          <w:rFonts w:asciiTheme="minorHAnsi" w:eastAsiaTheme="minorEastAsia" w:hAnsiTheme="minorHAnsi" w:cstheme="minorBidi"/>
          <w:i w:val="0"/>
          <w:iCs w:val="0"/>
          <w:color w:val="auto"/>
          <w:sz w:val="20"/>
          <w:szCs w:val="20"/>
        </w:rPr>
        <w:t>osazení dřevěného mola na pilotách na pravém břehu naproti kolonádě</w:t>
      </w:r>
    </w:p>
    <w:p w14:paraId="390C183F" w14:textId="77777777" w:rsidR="00F17AAA" w:rsidRPr="00CB1019" w:rsidRDefault="009F230F" w:rsidP="43DF8A4C">
      <w:pPr>
        <w:pStyle w:val="K-TextInfo"/>
        <w:numPr>
          <w:ilvl w:val="0"/>
          <w:numId w:val="22"/>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color w:val="auto"/>
          <w:sz w:val="20"/>
          <w:szCs w:val="20"/>
        </w:rPr>
      </w:pPr>
      <w:r w:rsidRPr="43DF8A4C">
        <w:rPr>
          <w:rFonts w:asciiTheme="minorHAnsi" w:eastAsiaTheme="minorEastAsia" w:hAnsiTheme="minorHAnsi" w:cstheme="minorBidi"/>
          <w:i w:val="0"/>
          <w:iCs w:val="0"/>
          <w:color w:val="auto"/>
          <w:sz w:val="20"/>
          <w:szCs w:val="20"/>
        </w:rPr>
        <w:t>doplnění městského mobiliáře, informační tabule o výskytu zajímavých živočichů a rostlin, vyvěšení vhodných ptačích budek apod.</w:t>
      </w:r>
    </w:p>
    <w:p w14:paraId="51692180" w14:textId="77777777" w:rsidR="00F17AAA" w:rsidRPr="00CB1019" w:rsidRDefault="009F230F" w:rsidP="43DF8A4C">
      <w:pPr>
        <w:pStyle w:val="K-TextInfo"/>
        <w:numPr>
          <w:ilvl w:val="0"/>
          <w:numId w:val="22"/>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color w:val="auto"/>
          <w:sz w:val="20"/>
          <w:szCs w:val="20"/>
        </w:rPr>
      </w:pPr>
      <w:r w:rsidRPr="43DF8A4C">
        <w:rPr>
          <w:rFonts w:asciiTheme="minorHAnsi" w:eastAsiaTheme="minorEastAsia" w:hAnsiTheme="minorHAnsi" w:cstheme="minorBidi"/>
          <w:i w:val="0"/>
          <w:iCs w:val="0"/>
          <w:color w:val="auto"/>
          <w:sz w:val="20"/>
          <w:szCs w:val="20"/>
        </w:rPr>
        <w:t>realizace vyvolaných přeložek inženýrských sítí</w:t>
      </w:r>
    </w:p>
    <w:p w14:paraId="4FD4984D" w14:textId="77777777" w:rsidR="00F17AAA" w:rsidRPr="00CB1019" w:rsidRDefault="009F230F" w:rsidP="43DF8A4C">
      <w:pPr>
        <w:pStyle w:val="K-TextInfo"/>
        <w:numPr>
          <w:ilvl w:val="0"/>
          <w:numId w:val="22"/>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color w:val="auto"/>
          <w:sz w:val="20"/>
          <w:szCs w:val="20"/>
        </w:rPr>
      </w:pPr>
      <w:r w:rsidRPr="43DF8A4C">
        <w:rPr>
          <w:rFonts w:asciiTheme="minorHAnsi" w:eastAsiaTheme="minorEastAsia" w:hAnsiTheme="minorHAnsi" w:cstheme="minorBidi"/>
          <w:i w:val="0"/>
          <w:iCs w:val="0"/>
          <w:color w:val="auto"/>
          <w:sz w:val="20"/>
          <w:szCs w:val="20"/>
        </w:rPr>
        <w:t>celková rekonstrukce kmenové stoky A včetně protipovodňové ochrany kanalizační sítě</w:t>
      </w:r>
    </w:p>
    <w:p w14:paraId="0BE0750F" w14:textId="77777777" w:rsidR="00F17AAA" w:rsidRPr="00CB1019" w:rsidRDefault="009F230F" w:rsidP="43DF8A4C">
      <w:pPr>
        <w:pStyle w:val="K-TextInfo"/>
        <w:numPr>
          <w:ilvl w:val="0"/>
          <w:numId w:val="22"/>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color w:val="auto"/>
          <w:sz w:val="20"/>
          <w:szCs w:val="20"/>
        </w:rPr>
      </w:pPr>
      <w:r w:rsidRPr="43DF8A4C">
        <w:rPr>
          <w:rFonts w:asciiTheme="minorHAnsi" w:eastAsiaTheme="minorEastAsia" w:hAnsiTheme="minorHAnsi" w:cstheme="minorBidi"/>
          <w:i w:val="0"/>
          <w:iCs w:val="0"/>
          <w:color w:val="auto"/>
          <w:sz w:val="20"/>
          <w:szCs w:val="20"/>
        </w:rPr>
        <w:t>kácení a výsadba dřevin vhodné druhové skladby</w:t>
      </w:r>
    </w:p>
    <w:p w14:paraId="72A3D3EC" w14:textId="77777777" w:rsidR="00F17AAA" w:rsidRPr="00CB1019" w:rsidRDefault="00F17AAA" w:rsidP="43DF8A4C">
      <w:pPr>
        <w:pStyle w:val="K-TextInfo"/>
        <w:rPr>
          <w:rFonts w:asciiTheme="minorHAnsi" w:eastAsiaTheme="minorEastAsia" w:hAnsiTheme="minorHAnsi" w:cstheme="minorBidi"/>
          <w:i w:val="0"/>
          <w:iCs w:val="0"/>
          <w:color w:val="auto"/>
          <w:sz w:val="20"/>
          <w:szCs w:val="20"/>
        </w:rPr>
      </w:pPr>
    </w:p>
    <w:p w14:paraId="3A2EAB83" w14:textId="4B801E6B" w:rsidR="00F17AAA" w:rsidRPr="00CB1019" w:rsidRDefault="009F230F" w:rsidP="43DF8A4C">
      <w:pPr>
        <w:pStyle w:val="K-TextInfo"/>
        <w:rPr>
          <w:rFonts w:asciiTheme="minorHAnsi" w:eastAsiaTheme="minorEastAsia" w:hAnsiTheme="minorHAnsi" w:cstheme="minorBidi"/>
          <w:i w:val="0"/>
          <w:iCs w:val="0"/>
          <w:color w:val="auto"/>
          <w:sz w:val="20"/>
          <w:szCs w:val="20"/>
          <w:highlight w:val="white"/>
        </w:rPr>
      </w:pPr>
      <w:r w:rsidRPr="43DF8A4C">
        <w:rPr>
          <w:rFonts w:asciiTheme="minorHAnsi" w:eastAsiaTheme="minorEastAsia" w:hAnsiTheme="minorHAnsi" w:cstheme="minorBidi"/>
          <w:i w:val="0"/>
          <w:iCs w:val="0"/>
          <w:color w:val="auto"/>
          <w:sz w:val="20"/>
          <w:szCs w:val="20"/>
        </w:rPr>
        <w:t>Předpokládané celkové v</w:t>
      </w:r>
      <w:r w:rsidRPr="43DF8A4C">
        <w:rPr>
          <w:rFonts w:asciiTheme="minorHAnsi" w:eastAsiaTheme="minorEastAsia" w:hAnsiTheme="minorHAnsi" w:cstheme="minorBidi"/>
          <w:i w:val="0"/>
          <w:iCs w:val="0"/>
          <w:color w:val="auto"/>
          <w:sz w:val="20"/>
          <w:szCs w:val="20"/>
          <w:highlight w:val="white"/>
        </w:rPr>
        <w:t>ýdaje: 1 621,3 mil. Kč</w:t>
      </w:r>
      <w:r w:rsidRPr="43DF8A4C">
        <w:rPr>
          <w:rFonts w:asciiTheme="minorHAnsi" w:eastAsiaTheme="minorEastAsia" w:hAnsiTheme="minorHAnsi" w:cstheme="minorBidi"/>
          <w:i w:val="0"/>
          <w:iCs w:val="0"/>
          <w:color w:val="auto"/>
          <w:sz w:val="20"/>
          <w:szCs w:val="20"/>
        </w:rPr>
        <w:t xml:space="preserve">. </w:t>
      </w:r>
      <w:r w:rsidRPr="43DF8A4C">
        <w:rPr>
          <w:rFonts w:asciiTheme="minorHAnsi" w:eastAsiaTheme="minorEastAsia" w:hAnsiTheme="minorHAnsi" w:cstheme="minorBidi"/>
          <w:i w:val="0"/>
          <w:iCs w:val="0"/>
          <w:color w:val="auto"/>
          <w:sz w:val="20"/>
          <w:szCs w:val="20"/>
          <w:highlight w:val="white"/>
        </w:rPr>
        <w:t>Předpokládané celkové způsobilé výdaje dle OPŽP: 1 267,4 mil. Kč</w:t>
      </w:r>
      <w:r w:rsidRPr="43DF8A4C">
        <w:rPr>
          <w:rFonts w:asciiTheme="minorHAnsi" w:eastAsiaTheme="minorEastAsia" w:hAnsiTheme="minorHAnsi" w:cstheme="minorBidi"/>
          <w:i w:val="0"/>
          <w:iCs w:val="0"/>
          <w:color w:val="auto"/>
          <w:sz w:val="20"/>
          <w:szCs w:val="20"/>
        </w:rPr>
        <w:t xml:space="preserve">.  </w:t>
      </w:r>
      <w:r w:rsidRPr="43DF8A4C">
        <w:rPr>
          <w:rFonts w:asciiTheme="minorHAnsi" w:eastAsiaTheme="minorEastAsia" w:hAnsiTheme="minorHAnsi" w:cstheme="minorBidi"/>
          <w:i w:val="0"/>
          <w:iCs w:val="0"/>
          <w:color w:val="auto"/>
          <w:sz w:val="20"/>
          <w:szCs w:val="20"/>
          <w:highlight w:val="white"/>
        </w:rPr>
        <w:t xml:space="preserve">Předpokládaná dotace poskytnutá z RRF dle </w:t>
      </w:r>
      <w:r w:rsidRPr="00A463A7">
        <w:rPr>
          <w:rFonts w:asciiTheme="minorHAnsi" w:hAnsiTheme="minorHAnsi"/>
          <w:i w:val="0"/>
          <w:color w:val="auto"/>
          <w:sz w:val="20"/>
        </w:rPr>
        <w:t xml:space="preserve">podkladů OPŽP: </w:t>
      </w:r>
      <w:r w:rsidR="001C03B2" w:rsidRPr="00A463A7">
        <w:rPr>
          <w:rFonts w:asciiTheme="minorHAnsi" w:eastAsiaTheme="minorEastAsia" w:hAnsiTheme="minorHAnsi" w:cstheme="minorBidi"/>
          <w:i w:val="0"/>
          <w:iCs w:val="0"/>
          <w:color w:val="auto"/>
          <w:sz w:val="20"/>
          <w:szCs w:val="20"/>
        </w:rPr>
        <w:t>762</w:t>
      </w:r>
      <w:r w:rsidRPr="00A463A7">
        <w:rPr>
          <w:rFonts w:asciiTheme="minorHAnsi" w:hAnsiTheme="minorHAnsi"/>
          <w:i w:val="0"/>
          <w:color w:val="auto"/>
          <w:sz w:val="20"/>
        </w:rPr>
        <w:t xml:space="preserve"> mil. Kč</w:t>
      </w:r>
    </w:p>
    <w:p w14:paraId="0D0B940D" w14:textId="77777777" w:rsidR="00F17AAA" w:rsidRPr="00CB1019" w:rsidRDefault="00F17AAA" w:rsidP="43DF8A4C">
      <w:pPr>
        <w:pStyle w:val="K-Text"/>
        <w:spacing w:line="240" w:lineRule="auto"/>
        <w:jc w:val="center"/>
        <w:rPr>
          <w:rFonts w:asciiTheme="minorHAnsi" w:eastAsiaTheme="minorEastAsia" w:hAnsiTheme="minorHAnsi" w:cstheme="minorBidi"/>
          <w:sz w:val="20"/>
          <w:szCs w:val="20"/>
        </w:rPr>
      </w:pPr>
    </w:p>
    <w:p w14:paraId="0E27B00A" w14:textId="77777777" w:rsidR="00F17AAA" w:rsidRPr="00CB1019" w:rsidRDefault="009F230F" w:rsidP="43DF8A4C">
      <w:pPr>
        <w:spacing w:line="240" w:lineRule="auto"/>
        <w:jc w:val="center"/>
        <w:rPr>
          <w:rFonts w:asciiTheme="minorHAnsi" w:eastAsiaTheme="minorEastAsia" w:hAnsiTheme="minorHAnsi" w:cstheme="minorBidi"/>
          <w:color w:val="auto"/>
          <w:sz w:val="20"/>
          <w:szCs w:val="20"/>
        </w:rPr>
      </w:pPr>
      <w:r>
        <w:rPr>
          <w:noProof/>
          <w:lang w:eastAsia="cs-CZ"/>
        </w:rPr>
        <w:lastRenderedPageBreak/>
        <w:drawing>
          <wp:inline distT="0" distB="0" distL="0" distR="0" wp14:anchorId="4E2DDF4D" wp14:editId="40EBF0C7">
            <wp:extent cx="4646670" cy="2286457"/>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pic:nvPicPr>
                  <pic:blipFill>
                    <a:blip r:embed="rId16">
                      <a:extLst>
                        <a:ext uri="{28A0092B-C50C-407E-A947-70E740481C1C}">
                          <a14:useLocalDpi xmlns:a14="http://schemas.microsoft.com/office/drawing/2010/main" val="0"/>
                        </a:ext>
                      </a:extLst>
                    </a:blip>
                    <a:stretch>
                      <a:fillRect/>
                    </a:stretch>
                  </pic:blipFill>
                  <pic:spPr>
                    <a:xfrm>
                      <a:off x="0" y="0"/>
                      <a:ext cx="4646670" cy="2286457"/>
                    </a:xfrm>
                    <a:prstGeom prst="rect">
                      <a:avLst/>
                    </a:prstGeom>
                  </pic:spPr>
                </pic:pic>
              </a:graphicData>
            </a:graphic>
          </wp:inline>
        </w:drawing>
      </w:r>
    </w:p>
    <w:p w14:paraId="60061E4C" w14:textId="77777777" w:rsidR="00F17AAA" w:rsidRPr="00CB1019" w:rsidRDefault="00F17AAA" w:rsidP="43DF8A4C">
      <w:pPr>
        <w:pStyle w:val="K-Text"/>
        <w:spacing w:line="240" w:lineRule="auto"/>
        <w:rPr>
          <w:rFonts w:asciiTheme="minorHAnsi" w:eastAsiaTheme="minorEastAsia" w:hAnsiTheme="minorHAnsi" w:cstheme="minorBidi"/>
          <w:sz w:val="20"/>
          <w:szCs w:val="20"/>
        </w:rPr>
      </w:pPr>
    </w:p>
    <w:p w14:paraId="1EBE9F07" w14:textId="77777777" w:rsidR="00F17AAA" w:rsidRPr="00CB1019" w:rsidRDefault="009F230F" w:rsidP="43DF8A4C">
      <w:pPr>
        <w:pStyle w:val="K-Tabulka"/>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t xml:space="preserve">Název investice - 2.9.2. Hospodaření se srážkovými vodami v </w:t>
      </w:r>
      <w:proofErr w:type="spellStart"/>
      <w:r w:rsidRPr="43DF8A4C">
        <w:rPr>
          <w:rFonts w:asciiTheme="minorHAnsi" w:eastAsiaTheme="minorEastAsia" w:hAnsiTheme="minorHAnsi" w:cstheme="minorBidi"/>
          <w:sz w:val="20"/>
          <w:szCs w:val="20"/>
        </w:rPr>
        <w:t>intravilánu</w:t>
      </w:r>
      <w:proofErr w:type="spellEnd"/>
    </w:p>
    <w:tbl>
      <w:tblPr>
        <w:tblStyle w:val="Mkatabulky"/>
        <w:tblW w:w="0" w:type="auto"/>
        <w:tblLook w:val="04A0" w:firstRow="1" w:lastRow="0" w:firstColumn="1" w:lastColumn="0" w:noHBand="0" w:noVBand="1"/>
      </w:tblPr>
      <w:tblGrid>
        <w:gridCol w:w="2405"/>
        <w:gridCol w:w="7223"/>
      </w:tblGrid>
      <w:tr w:rsidR="00A75363" w:rsidRPr="00CB1019" w14:paraId="16CD778B" w14:textId="77777777" w:rsidTr="1CC69638">
        <w:tc>
          <w:tcPr>
            <w:tcW w:w="2405" w:type="dxa"/>
          </w:tcPr>
          <w:p w14:paraId="364BB0A8" w14:textId="77777777" w:rsidR="00F17AAA" w:rsidRPr="00CB1019" w:rsidRDefault="009F230F" w:rsidP="43DF8A4C">
            <w:pPr>
              <w:pStyle w:val="K-Text"/>
              <w:spacing w:line="240" w:lineRule="auto"/>
              <w:jc w:val="left"/>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t>Výzva</w:t>
            </w:r>
          </w:p>
        </w:tc>
        <w:tc>
          <w:tcPr>
            <w:tcW w:w="7223" w:type="dxa"/>
          </w:tcPr>
          <w:p w14:paraId="6D0925C9" w14:textId="77777777" w:rsidR="00F17AAA" w:rsidRPr="00CB1019" w:rsidRDefault="009F230F" w:rsidP="43DF8A4C">
            <w:pPr>
              <w:pStyle w:val="K-TextInfo"/>
              <w:rPr>
                <w:rFonts w:asciiTheme="minorHAnsi" w:eastAsiaTheme="minorEastAsia" w:hAnsiTheme="minorHAnsi" w:cstheme="minorBidi"/>
                <w:color w:val="auto"/>
                <w:sz w:val="20"/>
                <w:szCs w:val="20"/>
              </w:rPr>
            </w:pPr>
            <w:r w:rsidRPr="43DF8A4C">
              <w:rPr>
                <w:rFonts w:asciiTheme="minorHAnsi" w:eastAsiaTheme="minorEastAsia" w:hAnsiTheme="minorHAnsi" w:cstheme="minorBidi"/>
                <w:i w:val="0"/>
                <w:iCs w:val="0"/>
                <w:color w:val="auto"/>
                <w:sz w:val="20"/>
                <w:szCs w:val="20"/>
              </w:rPr>
              <w:t xml:space="preserve">Přizpůsobení se změnám klimatu, zvýšení odolnosti vůči povodním a suchu. </w:t>
            </w:r>
          </w:p>
        </w:tc>
      </w:tr>
      <w:tr w:rsidR="00A75363" w:rsidRPr="00CB1019" w14:paraId="09871B9F" w14:textId="77777777" w:rsidTr="1CC69638">
        <w:tc>
          <w:tcPr>
            <w:tcW w:w="2405" w:type="dxa"/>
          </w:tcPr>
          <w:p w14:paraId="2C80F84E" w14:textId="77777777" w:rsidR="00F17AAA" w:rsidRPr="00CB1019" w:rsidRDefault="009F230F" w:rsidP="43DF8A4C">
            <w:pPr>
              <w:pStyle w:val="K-Text"/>
              <w:spacing w:line="240" w:lineRule="auto"/>
              <w:jc w:val="left"/>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t>Cíl</w:t>
            </w:r>
          </w:p>
        </w:tc>
        <w:tc>
          <w:tcPr>
            <w:tcW w:w="7223" w:type="dxa"/>
          </w:tcPr>
          <w:p w14:paraId="2C41730C" w14:textId="77777777" w:rsidR="00F17AAA" w:rsidRPr="00CB1019" w:rsidRDefault="009F230F" w:rsidP="43DF8A4C">
            <w:pPr>
              <w:pStyle w:val="K-TextInfo"/>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Hospodaření se srážkovými vodami v </w:t>
            </w:r>
            <w:proofErr w:type="spellStart"/>
            <w:r w:rsidRPr="43DF8A4C">
              <w:rPr>
                <w:rFonts w:asciiTheme="minorHAnsi" w:eastAsiaTheme="minorEastAsia" w:hAnsiTheme="minorHAnsi" w:cstheme="minorBidi"/>
                <w:i w:val="0"/>
                <w:iCs w:val="0"/>
                <w:color w:val="auto"/>
                <w:sz w:val="20"/>
                <w:szCs w:val="20"/>
              </w:rPr>
              <w:t>intravilánu</w:t>
            </w:r>
            <w:proofErr w:type="spellEnd"/>
            <w:r w:rsidRPr="43DF8A4C">
              <w:rPr>
                <w:rFonts w:asciiTheme="minorHAnsi" w:eastAsiaTheme="minorEastAsia" w:hAnsiTheme="minorHAnsi" w:cstheme="minorBidi"/>
                <w:i w:val="0"/>
                <w:iCs w:val="0"/>
                <w:color w:val="auto"/>
                <w:sz w:val="20"/>
                <w:szCs w:val="20"/>
              </w:rPr>
              <w:t xml:space="preserve"> obcí a měst a jejich další využití namísto jejich urychleného odvádění kanalizací do toků</w:t>
            </w:r>
          </w:p>
        </w:tc>
      </w:tr>
      <w:tr w:rsidR="00A75363" w:rsidRPr="00CB1019" w14:paraId="14BF5072" w14:textId="77777777" w:rsidTr="1CC69638">
        <w:tc>
          <w:tcPr>
            <w:tcW w:w="2405" w:type="dxa"/>
          </w:tcPr>
          <w:p w14:paraId="54707792" w14:textId="77777777" w:rsidR="00F17AAA" w:rsidRPr="00CB1019" w:rsidRDefault="009F230F" w:rsidP="43DF8A4C">
            <w:pPr>
              <w:pStyle w:val="K-Text"/>
              <w:spacing w:line="240" w:lineRule="auto"/>
              <w:jc w:val="left"/>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t>Implementace</w:t>
            </w:r>
          </w:p>
        </w:tc>
        <w:tc>
          <w:tcPr>
            <w:tcW w:w="7223" w:type="dxa"/>
          </w:tcPr>
          <w:p w14:paraId="5102206D" w14:textId="77777777" w:rsidR="00F17AAA" w:rsidRPr="00CB1019" w:rsidRDefault="009F230F" w:rsidP="43DF8A4C">
            <w:pPr>
              <w:pStyle w:val="K-TextInfo"/>
              <w:rPr>
                <w:rFonts w:asciiTheme="minorHAnsi" w:eastAsiaTheme="minorEastAsia" w:hAnsiTheme="minorHAnsi" w:cstheme="minorBidi"/>
                <w:color w:val="auto"/>
                <w:sz w:val="20"/>
                <w:szCs w:val="20"/>
              </w:rPr>
            </w:pPr>
            <w:r w:rsidRPr="43DF8A4C">
              <w:rPr>
                <w:rFonts w:asciiTheme="minorHAnsi" w:eastAsiaTheme="minorEastAsia" w:hAnsiTheme="minorHAnsi" w:cstheme="minorBidi"/>
                <w:i w:val="0"/>
                <w:iCs w:val="0"/>
                <w:color w:val="auto"/>
                <w:sz w:val="20"/>
                <w:szCs w:val="20"/>
              </w:rPr>
              <w:t>Ministerstvo životního prostředí</w:t>
            </w:r>
          </w:p>
        </w:tc>
      </w:tr>
      <w:tr w:rsidR="00A75363" w:rsidRPr="00CB1019" w14:paraId="6E73180A" w14:textId="77777777" w:rsidTr="1CC69638">
        <w:trPr>
          <w:trHeight w:val="70"/>
        </w:trPr>
        <w:tc>
          <w:tcPr>
            <w:tcW w:w="2405" w:type="dxa"/>
          </w:tcPr>
          <w:p w14:paraId="5646EE6C" w14:textId="77777777" w:rsidR="00F17AAA" w:rsidRPr="00CB1019" w:rsidRDefault="009F230F" w:rsidP="43DF8A4C">
            <w:pPr>
              <w:pStyle w:val="K-Text"/>
              <w:spacing w:line="240" w:lineRule="auto"/>
              <w:jc w:val="left"/>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t>Spolupráce a zapojení zúčastněných stran</w:t>
            </w:r>
          </w:p>
        </w:tc>
        <w:tc>
          <w:tcPr>
            <w:tcW w:w="7223" w:type="dxa"/>
          </w:tcPr>
          <w:p w14:paraId="48AC593D" w14:textId="77777777" w:rsidR="00F17AAA" w:rsidRPr="00CB1019" w:rsidRDefault="009F230F" w:rsidP="43DF8A4C">
            <w:pPr>
              <w:pStyle w:val="K-TextInfo"/>
              <w:rPr>
                <w:rFonts w:asciiTheme="minorHAnsi" w:eastAsiaTheme="minorEastAsia" w:hAnsiTheme="minorHAnsi" w:cstheme="minorBidi"/>
                <w:color w:val="auto"/>
                <w:sz w:val="20"/>
                <w:szCs w:val="20"/>
              </w:rPr>
            </w:pPr>
            <w:r w:rsidRPr="43DF8A4C">
              <w:rPr>
                <w:rFonts w:asciiTheme="minorHAnsi" w:eastAsiaTheme="minorEastAsia" w:hAnsiTheme="minorHAnsi" w:cstheme="minorBidi"/>
                <w:i w:val="0"/>
                <w:iCs w:val="0"/>
                <w:color w:val="auto"/>
                <w:sz w:val="20"/>
                <w:szCs w:val="20"/>
              </w:rPr>
              <w:t>Státní fond životního prostředí ČR (administrace)</w:t>
            </w:r>
            <w:r w:rsidRPr="43DF8A4C">
              <w:rPr>
                <w:rFonts w:asciiTheme="minorHAnsi" w:eastAsiaTheme="minorEastAsia" w:hAnsiTheme="minorHAnsi" w:cstheme="minorBidi"/>
                <w:color w:val="auto"/>
                <w:sz w:val="20"/>
                <w:szCs w:val="20"/>
              </w:rPr>
              <w:t xml:space="preserve">. </w:t>
            </w:r>
            <w:r>
              <w:br/>
            </w:r>
          </w:p>
        </w:tc>
      </w:tr>
      <w:tr w:rsidR="00A75363" w:rsidRPr="00CB1019" w14:paraId="6DFF79EC" w14:textId="77777777" w:rsidTr="1CC69638">
        <w:tc>
          <w:tcPr>
            <w:tcW w:w="2405" w:type="dxa"/>
          </w:tcPr>
          <w:p w14:paraId="5322538B" w14:textId="77777777" w:rsidR="00F17AAA" w:rsidRPr="00CB1019" w:rsidRDefault="009F230F" w:rsidP="43DF8A4C">
            <w:pPr>
              <w:pStyle w:val="K-Text"/>
              <w:spacing w:line="240" w:lineRule="auto"/>
              <w:jc w:val="left"/>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t>Překážky a rizika</w:t>
            </w:r>
          </w:p>
        </w:tc>
        <w:tc>
          <w:tcPr>
            <w:tcW w:w="7223" w:type="dxa"/>
          </w:tcPr>
          <w:p w14:paraId="7A8432CA" w14:textId="77777777" w:rsidR="00F17AAA" w:rsidRPr="00CB1019" w:rsidRDefault="009F230F" w:rsidP="43DF8A4C">
            <w:pPr>
              <w:pStyle w:val="K-TextInfo"/>
              <w:rPr>
                <w:rFonts w:asciiTheme="minorHAnsi" w:eastAsiaTheme="minorEastAsia" w:hAnsiTheme="minorHAnsi" w:cstheme="minorBidi"/>
                <w:i w:val="0"/>
                <w:iCs w:val="0"/>
                <w:color w:val="auto"/>
                <w:sz w:val="20"/>
                <w:szCs w:val="20"/>
                <w:highlight w:val="white"/>
              </w:rPr>
            </w:pPr>
            <w:r w:rsidRPr="43DF8A4C">
              <w:rPr>
                <w:rFonts w:asciiTheme="minorHAnsi" w:eastAsiaTheme="minorEastAsia" w:hAnsiTheme="minorHAnsi" w:cstheme="minorBidi"/>
                <w:i w:val="0"/>
                <w:iCs w:val="0"/>
                <w:color w:val="auto"/>
                <w:sz w:val="20"/>
                <w:szCs w:val="20"/>
                <w:highlight w:val="white"/>
              </w:rPr>
              <w:t>Riziko nevyčerpání alokovaných prostředků v důsledku odstupování projektů od realizace z důvodu následků Covid-19 a zásahu do veřejných rozpočtů</w:t>
            </w:r>
          </w:p>
        </w:tc>
      </w:tr>
      <w:tr w:rsidR="00A75363" w:rsidRPr="00CB1019" w14:paraId="7561ED05" w14:textId="77777777" w:rsidTr="1CC69638">
        <w:tc>
          <w:tcPr>
            <w:tcW w:w="2405" w:type="dxa"/>
          </w:tcPr>
          <w:p w14:paraId="507DADBB" w14:textId="77777777" w:rsidR="00F17AAA" w:rsidRPr="00CB1019" w:rsidRDefault="009F230F" w:rsidP="43DF8A4C">
            <w:pPr>
              <w:pStyle w:val="K-Text"/>
              <w:spacing w:line="240" w:lineRule="auto"/>
              <w:jc w:val="left"/>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t>Cílové skupiny populace a ekonomické subjekty</w:t>
            </w:r>
          </w:p>
        </w:tc>
        <w:tc>
          <w:tcPr>
            <w:tcW w:w="7223" w:type="dxa"/>
          </w:tcPr>
          <w:p w14:paraId="304B9819" w14:textId="77777777" w:rsidR="00F17AAA" w:rsidRPr="00CB1019" w:rsidRDefault="009F230F" w:rsidP="43DF8A4C">
            <w:pPr>
              <w:pStyle w:val="K-TextInfo"/>
              <w:rPr>
                <w:rFonts w:asciiTheme="minorHAnsi" w:eastAsiaTheme="minorEastAsia" w:hAnsiTheme="minorHAnsi" w:cstheme="minorBidi"/>
                <w:i w:val="0"/>
                <w:iCs w:val="0"/>
                <w:color w:val="auto"/>
                <w:sz w:val="20"/>
                <w:szCs w:val="20"/>
                <w:highlight w:val="white"/>
              </w:rPr>
            </w:pPr>
            <w:r w:rsidRPr="43DF8A4C">
              <w:rPr>
                <w:rFonts w:asciiTheme="minorHAnsi" w:eastAsiaTheme="minorEastAsia" w:hAnsiTheme="minorHAnsi" w:cstheme="minorBidi"/>
                <w:i w:val="0"/>
                <w:iCs w:val="0"/>
                <w:color w:val="auto"/>
                <w:sz w:val="20"/>
                <w:szCs w:val="20"/>
                <w:highlight w:val="white"/>
              </w:rPr>
              <w:t>veřejný sektor</w:t>
            </w:r>
          </w:p>
        </w:tc>
      </w:tr>
      <w:tr w:rsidR="00A75363" w:rsidRPr="00CB1019" w14:paraId="066EBA0A" w14:textId="77777777" w:rsidTr="1CC69638">
        <w:trPr>
          <w:trHeight w:val="1094"/>
        </w:trPr>
        <w:tc>
          <w:tcPr>
            <w:tcW w:w="2405" w:type="dxa"/>
          </w:tcPr>
          <w:p w14:paraId="02BBDC12" w14:textId="77777777" w:rsidR="00F17AAA" w:rsidRPr="00CB1019" w:rsidRDefault="009F230F" w:rsidP="43DF8A4C">
            <w:pPr>
              <w:pStyle w:val="K-Text"/>
              <w:spacing w:line="240" w:lineRule="auto"/>
              <w:jc w:val="left"/>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t>Souhrnné náklady realizace financované z RRF za celé období</w:t>
            </w:r>
          </w:p>
        </w:tc>
        <w:tc>
          <w:tcPr>
            <w:tcW w:w="7223" w:type="dxa"/>
          </w:tcPr>
          <w:p w14:paraId="007B2EFF" w14:textId="63D1179C" w:rsidR="00F17AAA" w:rsidRPr="00CB1019" w:rsidRDefault="307B8135" w:rsidP="43DF8A4C">
            <w:pPr>
              <w:pStyle w:val="K-TextInfo"/>
              <w:rPr>
                <w:rFonts w:asciiTheme="minorHAnsi" w:eastAsiaTheme="minorEastAsia" w:hAnsiTheme="minorHAnsi" w:cstheme="minorBidi"/>
                <w:color w:val="auto"/>
                <w:sz w:val="20"/>
                <w:szCs w:val="20"/>
                <w:highlight w:val="white"/>
              </w:rPr>
            </w:pPr>
            <w:r w:rsidRPr="1CC69638">
              <w:rPr>
                <w:rFonts w:asciiTheme="minorHAnsi" w:eastAsiaTheme="minorEastAsia" w:hAnsiTheme="minorHAnsi" w:cstheme="minorBidi"/>
                <w:i w:val="0"/>
                <w:iCs w:val="0"/>
                <w:color w:val="auto"/>
                <w:sz w:val="20"/>
                <w:szCs w:val="20"/>
                <w:highlight w:val="white"/>
              </w:rPr>
              <w:t>992 mil.</w:t>
            </w:r>
            <w:r w:rsidR="009F230F" w:rsidRPr="1CC69638">
              <w:rPr>
                <w:rFonts w:asciiTheme="minorHAnsi" w:eastAsiaTheme="minorEastAsia" w:hAnsiTheme="minorHAnsi" w:cstheme="minorBidi"/>
                <w:i w:val="0"/>
                <w:iCs w:val="0"/>
                <w:color w:val="auto"/>
                <w:sz w:val="20"/>
                <w:szCs w:val="20"/>
                <w:highlight w:val="white"/>
              </w:rPr>
              <w:t xml:space="preserve"> Kč</w:t>
            </w:r>
          </w:p>
        </w:tc>
      </w:tr>
      <w:tr w:rsidR="00A75363" w:rsidRPr="00CB1019" w14:paraId="04D3B13B" w14:textId="77777777" w:rsidTr="1CC69638">
        <w:tc>
          <w:tcPr>
            <w:tcW w:w="2405" w:type="dxa"/>
          </w:tcPr>
          <w:p w14:paraId="5DC42EEF" w14:textId="77777777" w:rsidR="00F17AAA" w:rsidRPr="00CB1019" w:rsidRDefault="009F230F" w:rsidP="43DF8A4C">
            <w:pPr>
              <w:pStyle w:val="K-Text"/>
              <w:spacing w:line="240" w:lineRule="auto"/>
              <w:jc w:val="left"/>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t>Dodržování pravidel státní podpory</w:t>
            </w:r>
          </w:p>
        </w:tc>
        <w:tc>
          <w:tcPr>
            <w:tcW w:w="7223" w:type="dxa"/>
          </w:tcPr>
          <w:p w14:paraId="6C132375" w14:textId="77777777" w:rsidR="00F17AAA" w:rsidRPr="00CB1019" w:rsidRDefault="009F230F" w:rsidP="43DF8A4C">
            <w:pPr>
              <w:pStyle w:val="K-TextInfo"/>
              <w:rPr>
                <w:rFonts w:asciiTheme="minorHAnsi" w:eastAsiaTheme="minorEastAsia" w:hAnsiTheme="minorHAnsi" w:cstheme="minorBidi"/>
                <w:i w:val="0"/>
                <w:iCs w:val="0"/>
                <w:color w:val="auto"/>
                <w:sz w:val="20"/>
                <w:szCs w:val="20"/>
                <w:highlight w:val="white"/>
              </w:rPr>
            </w:pPr>
            <w:r w:rsidRPr="43DF8A4C">
              <w:rPr>
                <w:rFonts w:asciiTheme="minorHAnsi" w:eastAsiaTheme="minorEastAsia" w:hAnsiTheme="minorHAnsi" w:cstheme="minorBidi"/>
                <w:i w:val="0"/>
                <w:iCs w:val="0"/>
                <w:color w:val="auto"/>
                <w:sz w:val="20"/>
                <w:szCs w:val="20"/>
                <w:highlight w:val="white"/>
              </w:rPr>
              <w:t xml:space="preserve">Obecně se jedná o typ </w:t>
            </w:r>
            <w:proofErr w:type="gramStart"/>
            <w:r w:rsidRPr="43DF8A4C">
              <w:rPr>
                <w:rFonts w:asciiTheme="minorHAnsi" w:eastAsiaTheme="minorEastAsia" w:hAnsiTheme="minorHAnsi" w:cstheme="minorBidi"/>
                <w:i w:val="0"/>
                <w:iCs w:val="0"/>
                <w:color w:val="auto"/>
                <w:sz w:val="20"/>
                <w:szCs w:val="20"/>
                <w:highlight w:val="white"/>
              </w:rPr>
              <w:t>opatření</w:t>
            </w:r>
            <w:proofErr w:type="gramEnd"/>
            <w:r w:rsidRPr="43DF8A4C">
              <w:rPr>
                <w:rFonts w:asciiTheme="minorHAnsi" w:eastAsiaTheme="minorEastAsia" w:hAnsiTheme="minorHAnsi" w:cstheme="minorBidi"/>
                <w:i w:val="0"/>
                <w:iCs w:val="0"/>
                <w:color w:val="auto"/>
                <w:sz w:val="20"/>
                <w:szCs w:val="20"/>
                <w:highlight w:val="white"/>
              </w:rPr>
              <w:t xml:space="preserve"> pro něž jsou pravidla veřejné podpory nerelevantní, protože obvykle nevedou ke zvýhodnění žádného subjektu v tržním prostředí. Nelze však vyloučit, že budou podány projekty, které budou posouzeny jako zasahující do tržního prostředí a jejich financování tedy bude představovat veřejnou podporu. V takových případech bude pro financování využita relevantní podpora </w:t>
            </w:r>
            <w:r w:rsidRPr="43DF8A4C">
              <w:rPr>
                <w:rFonts w:asciiTheme="minorHAnsi" w:eastAsiaTheme="minorEastAsia" w:hAnsiTheme="minorHAnsi" w:cstheme="minorBidi"/>
                <w:color w:val="auto"/>
                <w:sz w:val="20"/>
                <w:szCs w:val="20"/>
                <w:highlight w:val="white"/>
              </w:rPr>
              <w:t xml:space="preserve">de </w:t>
            </w:r>
            <w:proofErr w:type="spellStart"/>
            <w:r w:rsidRPr="43DF8A4C">
              <w:rPr>
                <w:rFonts w:asciiTheme="minorHAnsi" w:eastAsiaTheme="minorEastAsia" w:hAnsiTheme="minorHAnsi" w:cstheme="minorBidi"/>
                <w:color w:val="auto"/>
                <w:sz w:val="20"/>
                <w:szCs w:val="20"/>
                <w:highlight w:val="white"/>
              </w:rPr>
              <w:t>minimis</w:t>
            </w:r>
            <w:proofErr w:type="spellEnd"/>
            <w:r w:rsidRPr="43DF8A4C">
              <w:rPr>
                <w:rFonts w:asciiTheme="minorHAnsi" w:eastAsiaTheme="minorEastAsia" w:hAnsiTheme="minorHAnsi" w:cstheme="minorBidi"/>
                <w:i w:val="0"/>
                <w:iCs w:val="0"/>
                <w:color w:val="auto"/>
                <w:sz w:val="20"/>
                <w:szCs w:val="20"/>
                <w:highlight w:val="white"/>
              </w:rPr>
              <w:t xml:space="preserve">. Dále je možná podpora podle </w:t>
            </w:r>
            <w:r w:rsidRPr="43DF8A4C">
              <w:rPr>
                <w:rFonts w:asciiTheme="minorHAnsi" w:eastAsiaTheme="minorEastAsia" w:hAnsiTheme="minorHAnsi" w:cstheme="minorBidi"/>
                <w:color w:val="auto"/>
                <w:sz w:val="20"/>
                <w:szCs w:val="20"/>
                <w:highlight w:val="white"/>
              </w:rPr>
              <w:t>Nařízení 651/2014 GBER</w:t>
            </w:r>
            <w:r w:rsidRPr="43DF8A4C">
              <w:rPr>
                <w:rFonts w:asciiTheme="minorHAnsi" w:eastAsiaTheme="minorEastAsia" w:hAnsiTheme="minorHAnsi" w:cstheme="minorBidi"/>
                <w:i w:val="0"/>
                <w:iCs w:val="0"/>
                <w:color w:val="auto"/>
                <w:sz w:val="20"/>
                <w:szCs w:val="20"/>
                <w:highlight w:val="white"/>
              </w:rPr>
              <w:t xml:space="preserve"> (primárně čl. 36 GBER – podpora pro podniky, které se řídí přísnějšími normami, než jsou normy unie, nebo zvyšují ochranu ŽP v případě, že norma neexistuje, 53 </w:t>
            </w:r>
            <w:proofErr w:type="gramStart"/>
            <w:r w:rsidRPr="43DF8A4C">
              <w:rPr>
                <w:rFonts w:asciiTheme="minorHAnsi" w:eastAsiaTheme="minorEastAsia" w:hAnsiTheme="minorHAnsi" w:cstheme="minorBidi"/>
                <w:i w:val="0"/>
                <w:iCs w:val="0"/>
                <w:color w:val="auto"/>
                <w:sz w:val="20"/>
                <w:szCs w:val="20"/>
                <w:highlight w:val="white"/>
              </w:rPr>
              <w:t>GBER - Podpora</w:t>
            </w:r>
            <w:proofErr w:type="gramEnd"/>
            <w:r w:rsidRPr="43DF8A4C">
              <w:rPr>
                <w:rFonts w:asciiTheme="minorHAnsi" w:eastAsiaTheme="minorEastAsia" w:hAnsiTheme="minorHAnsi" w:cstheme="minorBidi"/>
                <w:i w:val="0"/>
                <w:iCs w:val="0"/>
                <w:color w:val="auto"/>
                <w:sz w:val="20"/>
                <w:szCs w:val="20"/>
                <w:highlight w:val="white"/>
              </w:rPr>
              <w:t xml:space="preserve"> kultury a zachování kulturního dědictví a 55 GBER – podpora na sportovní a multifunkční rekreační infrastrukturu). Rovněž lze v relevantních případech využít podporu dle </w:t>
            </w:r>
            <w:r w:rsidRPr="43DF8A4C">
              <w:rPr>
                <w:rFonts w:asciiTheme="minorHAnsi" w:eastAsiaTheme="minorEastAsia" w:hAnsiTheme="minorHAnsi" w:cstheme="minorBidi"/>
                <w:color w:val="auto"/>
                <w:sz w:val="20"/>
                <w:szCs w:val="20"/>
                <w:highlight w:val="white"/>
              </w:rPr>
              <w:t>Rozhodnutí SGEI</w:t>
            </w:r>
            <w:r w:rsidRPr="43DF8A4C">
              <w:rPr>
                <w:rFonts w:asciiTheme="minorHAnsi" w:eastAsiaTheme="minorEastAsia" w:hAnsiTheme="minorHAnsi" w:cstheme="minorBidi"/>
                <w:i w:val="0"/>
                <w:iCs w:val="0"/>
                <w:color w:val="auto"/>
                <w:sz w:val="20"/>
                <w:szCs w:val="20"/>
                <w:highlight w:val="white"/>
              </w:rPr>
              <w:t xml:space="preserve"> (Rozhodnutí Komise ze dne 20. 12. 2011 o použití čl. 106 odst. 2 Smlouvy o fungování Evropské unie na státní podporu ve formě vyrovnávací platby za závazek veřejné služby udělené určitým podnikům pověřeným poskytováním služeb obecného hospodářského zájmu). </w:t>
            </w:r>
          </w:p>
        </w:tc>
      </w:tr>
      <w:tr w:rsidR="00A75363" w:rsidRPr="00CB1019" w14:paraId="6A04BB41" w14:textId="77777777" w:rsidTr="1CC69638">
        <w:tc>
          <w:tcPr>
            <w:tcW w:w="2405" w:type="dxa"/>
          </w:tcPr>
          <w:p w14:paraId="2001B81B" w14:textId="77777777" w:rsidR="00F17AAA" w:rsidRPr="00CB1019" w:rsidRDefault="009F230F" w:rsidP="43DF8A4C">
            <w:pPr>
              <w:pStyle w:val="K-Text"/>
              <w:spacing w:line="240" w:lineRule="auto"/>
              <w:jc w:val="left"/>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t>Uveďte dobu implementace</w:t>
            </w:r>
          </w:p>
        </w:tc>
        <w:tc>
          <w:tcPr>
            <w:tcW w:w="7223" w:type="dxa"/>
          </w:tcPr>
          <w:p w14:paraId="7C09E4D9" w14:textId="77777777" w:rsidR="00F17AAA" w:rsidRPr="00CB1019" w:rsidRDefault="009F230F" w:rsidP="43DF8A4C">
            <w:pPr>
              <w:pStyle w:val="K-TextInfo"/>
              <w:rPr>
                <w:rFonts w:asciiTheme="minorHAnsi" w:eastAsiaTheme="minorEastAsia" w:hAnsiTheme="minorHAnsi" w:cstheme="minorBidi"/>
                <w:color w:val="auto"/>
                <w:sz w:val="20"/>
                <w:szCs w:val="20"/>
              </w:rPr>
            </w:pPr>
            <w:proofErr w:type="gramStart"/>
            <w:r w:rsidRPr="43DF8A4C">
              <w:rPr>
                <w:rFonts w:asciiTheme="minorHAnsi" w:eastAsiaTheme="minorEastAsia" w:hAnsiTheme="minorHAnsi" w:cstheme="minorBidi"/>
                <w:i w:val="0"/>
                <w:iCs w:val="0"/>
                <w:color w:val="auto"/>
                <w:sz w:val="20"/>
                <w:szCs w:val="20"/>
              </w:rPr>
              <w:t>202</w:t>
            </w:r>
            <w:r w:rsidR="00A75363" w:rsidRPr="43DF8A4C">
              <w:rPr>
                <w:rFonts w:asciiTheme="minorHAnsi" w:eastAsiaTheme="minorEastAsia" w:hAnsiTheme="minorHAnsi" w:cstheme="minorBidi"/>
                <w:i w:val="0"/>
                <w:iCs w:val="0"/>
                <w:color w:val="auto"/>
                <w:sz w:val="20"/>
                <w:szCs w:val="20"/>
              </w:rPr>
              <w:t>0</w:t>
            </w:r>
            <w:r w:rsidRPr="43DF8A4C">
              <w:rPr>
                <w:rFonts w:asciiTheme="minorHAnsi" w:eastAsiaTheme="minorEastAsia" w:hAnsiTheme="minorHAnsi" w:cstheme="minorBidi"/>
                <w:i w:val="0"/>
                <w:iCs w:val="0"/>
                <w:color w:val="auto"/>
                <w:sz w:val="20"/>
                <w:szCs w:val="20"/>
              </w:rPr>
              <w:t xml:space="preserve"> - 2025</w:t>
            </w:r>
            <w:proofErr w:type="gramEnd"/>
          </w:p>
        </w:tc>
      </w:tr>
    </w:tbl>
    <w:p w14:paraId="771C5F5B" w14:textId="1C6B0923" w:rsidR="43DF8A4C" w:rsidRDefault="43DF8A4C" w:rsidP="43DF8A4C">
      <w:pPr>
        <w:pStyle w:val="K-Tabulka"/>
        <w:rPr>
          <w:rFonts w:asciiTheme="minorHAnsi" w:eastAsiaTheme="minorEastAsia" w:hAnsiTheme="minorHAnsi" w:cstheme="minorBidi"/>
          <w:sz w:val="20"/>
          <w:szCs w:val="20"/>
        </w:rPr>
      </w:pPr>
    </w:p>
    <w:p w14:paraId="6BCA3CA7" w14:textId="50E058E5" w:rsidR="43DF8A4C" w:rsidRDefault="43DF8A4C" w:rsidP="43DF8A4C">
      <w:pPr>
        <w:pStyle w:val="K-Tabulka"/>
        <w:rPr>
          <w:rFonts w:asciiTheme="minorHAnsi" w:eastAsiaTheme="minorEastAsia" w:hAnsiTheme="minorHAnsi" w:cstheme="minorBidi"/>
          <w:sz w:val="20"/>
          <w:szCs w:val="20"/>
        </w:rPr>
      </w:pPr>
    </w:p>
    <w:p w14:paraId="25066D0C" w14:textId="79EB5C5F" w:rsidR="00F17AAA" w:rsidRPr="00CB1019" w:rsidRDefault="009F230F" w:rsidP="43DF8A4C">
      <w:pPr>
        <w:pStyle w:val="K-Tabulka"/>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lastRenderedPageBreak/>
        <w:t>Mezi typová opatření projekty na zpomalení odtoku, pro vsak, retenci a akumulaci srážkové vody vč. jejího dalšího využití jsou:</w:t>
      </w:r>
    </w:p>
    <w:p w14:paraId="55B52F4A" w14:textId="77777777" w:rsidR="00F17AAA" w:rsidRPr="00CB1019" w:rsidRDefault="009F230F" w:rsidP="43DF8A4C">
      <w:pPr>
        <w:pStyle w:val="K-TextInfo"/>
        <w:numPr>
          <w:ilvl w:val="0"/>
          <w:numId w:val="12"/>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povrchová vsakovací a retenční zařízení doplněná zelení (plošný vsak, </w:t>
      </w:r>
      <w:proofErr w:type="spellStart"/>
      <w:r w:rsidRPr="43DF8A4C">
        <w:rPr>
          <w:rFonts w:asciiTheme="minorHAnsi" w:eastAsiaTheme="minorEastAsia" w:hAnsiTheme="minorHAnsi" w:cstheme="minorBidi"/>
          <w:i w:val="0"/>
          <w:iCs w:val="0"/>
          <w:color w:val="auto"/>
          <w:sz w:val="20"/>
          <w:szCs w:val="20"/>
        </w:rPr>
        <w:t>průleh</w:t>
      </w:r>
      <w:proofErr w:type="spellEnd"/>
      <w:r w:rsidRPr="43DF8A4C">
        <w:rPr>
          <w:rFonts w:asciiTheme="minorHAnsi" w:eastAsiaTheme="minorEastAsia" w:hAnsiTheme="minorHAnsi" w:cstheme="minorBidi"/>
          <w:i w:val="0"/>
          <w:iCs w:val="0"/>
          <w:color w:val="auto"/>
          <w:sz w:val="20"/>
          <w:szCs w:val="20"/>
        </w:rPr>
        <w:t xml:space="preserve">, </w:t>
      </w:r>
      <w:proofErr w:type="spellStart"/>
      <w:r w:rsidRPr="43DF8A4C">
        <w:rPr>
          <w:rFonts w:asciiTheme="minorHAnsi" w:eastAsiaTheme="minorEastAsia" w:hAnsiTheme="minorHAnsi" w:cstheme="minorBidi"/>
          <w:i w:val="0"/>
          <w:iCs w:val="0"/>
          <w:color w:val="auto"/>
          <w:sz w:val="20"/>
          <w:szCs w:val="20"/>
        </w:rPr>
        <w:t>průleh</w:t>
      </w:r>
      <w:proofErr w:type="spellEnd"/>
      <w:r w:rsidRPr="43DF8A4C">
        <w:rPr>
          <w:rFonts w:asciiTheme="minorHAnsi" w:eastAsiaTheme="minorEastAsia" w:hAnsiTheme="minorHAnsi" w:cstheme="minorBidi"/>
          <w:i w:val="0"/>
          <w:iCs w:val="0"/>
          <w:color w:val="auto"/>
          <w:sz w:val="20"/>
          <w:szCs w:val="20"/>
        </w:rPr>
        <w:t xml:space="preserve"> s rýhou, vsakovací nádrž),</w:t>
      </w:r>
    </w:p>
    <w:p w14:paraId="2C2FD3D3" w14:textId="77777777" w:rsidR="00F17AAA" w:rsidRPr="00CB1019" w:rsidRDefault="009F230F" w:rsidP="43DF8A4C">
      <w:pPr>
        <w:pStyle w:val="K-TextInfo"/>
        <w:numPr>
          <w:ilvl w:val="0"/>
          <w:numId w:val="12"/>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dešťové zahrady (kombinace modré a zelené infrastruktury),</w:t>
      </w:r>
    </w:p>
    <w:p w14:paraId="2980DE39" w14:textId="77777777" w:rsidR="00F17AAA" w:rsidRPr="00CB1019" w:rsidRDefault="009F230F" w:rsidP="43DF8A4C">
      <w:pPr>
        <w:pStyle w:val="K-TextInfo"/>
        <w:numPr>
          <w:ilvl w:val="0"/>
          <w:numId w:val="12"/>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podzemní vsakovací zařízení s retenčním prostorem vyplněným štěrkem nebo prefabrikáty,</w:t>
      </w:r>
    </w:p>
    <w:p w14:paraId="6CE5DCD5" w14:textId="77777777" w:rsidR="00F17AAA" w:rsidRPr="00CB1019" w:rsidRDefault="009F230F" w:rsidP="43DF8A4C">
      <w:pPr>
        <w:pStyle w:val="K-TextInfo"/>
        <w:numPr>
          <w:ilvl w:val="0"/>
          <w:numId w:val="12"/>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povrchové či podzemní retenční prostory s regulací odtoku do povrchových vod nebo kanalizace (suché retenční nádrže, retenční nádrže se zásobním prostorem, podzemní retenční nádrže, umělé mokřady),</w:t>
      </w:r>
    </w:p>
    <w:p w14:paraId="6B978158" w14:textId="77777777" w:rsidR="00F17AAA" w:rsidRPr="00CB1019" w:rsidRDefault="009F230F" w:rsidP="43DF8A4C">
      <w:pPr>
        <w:pStyle w:val="K-TextInfo"/>
        <w:numPr>
          <w:ilvl w:val="0"/>
          <w:numId w:val="12"/>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akumulační podzemní nádrže na zachytávání srážkových vod a jejich opětovné využití (např. na zálivku či splachování WC),</w:t>
      </w:r>
    </w:p>
    <w:p w14:paraId="14697611" w14:textId="77777777" w:rsidR="00F17AAA" w:rsidRPr="00CB1019" w:rsidRDefault="009F230F" w:rsidP="43DF8A4C">
      <w:pPr>
        <w:pStyle w:val="K-TextInfo"/>
        <w:numPr>
          <w:ilvl w:val="0"/>
          <w:numId w:val="12"/>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výměna nepropustných zpevněných povrchů za propustné zpevněné a budování propustných zpevněných povrchů </w:t>
      </w:r>
    </w:p>
    <w:p w14:paraId="210BAC3E" w14:textId="77777777" w:rsidR="00F17AAA" w:rsidRPr="00CB1019" w:rsidRDefault="009F230F" w:rsidP="43DF8A4C">
      <w:pPr>
        <w:pStyle w:val="K-TextInfo"/>
        <w:numPr>
          <w:ilvl w:val="0"/>
          <w:numId w:val="12"/>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zelené střechy (přestavby a výstavby konstrukcí střech s okamžitým odtokem srážkové vody (keramické, plechové atd.) na povrchy s akumulační schopností (vegetační, retenční))</w:t>
      </w:r>
    </w:p>
    <w:p w14:paraId="5B87B531" w14:textId="77777777" w:rsidR="00F17AAA" w:rsidRPr="00CB1019" w:rsidRDefault="009F230F" w:rsidP="43DF8A4C">
      <w:pPr>
        <w:pStyle w:val="K-TextInfo"/>
        <w:numPr>
          <w:ilvl w:val="0"/>
          <w:numId w:val="12"/>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možnost podpory závlahových systémů</w:t>
      </w:r>
    </w:p>
    <w:p w14:paraId="4B94D5A5" w14:textId="77777777" w:rsidR="00F17AAA" w:rsidRPr="00CB1019" w:rsidRDefault="009F230F" w:rsidP="01C970E4">
      <w:pPr>
        <w:pStyle w:val="K-Text"/>
        <w:spacing w:line="240" w:lineRule="auto"/>
        <w:jc w:val="center"/>
        <w:rPr>
          <w:rFonts w:asciiTheme="minorHAnsi" w:eastAsiaTheme="minorEastAsia" w:hAnsiTheme="minorHAnsi" w:cstheme="minorBidi"/>
          <w:sz w:val="20"/>
          <w:szCs w:val="20"/>
        </w:rPr>
      </w:pPr>
      <w:r>
        <w:rPr>
          <w:noProof/>
        </w:rPr>
        <w:drawing>
          <wp:inline distT="0" distB="0" distL="0" distR="0" wp14:anchorId="236485B9" wp14:editId="68CDA09E">
            <wp:extent cx="2763320" cy="1832871"/>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pic:nvPicPr>
                  <pic:blipFill>
                    <a:blip r:embed="rId17">
                      <a:extLst>
                        <a:ext uri="{28A0092B-C50C-407E-A947-70E740481C1C}">
                          <a14:useLocalDpi xmlns:a14="http://schemas.microsoft.com/office/drawing/2010/main" val="0"/>
                        </a:ext>
                      </a:extLst>
                    </a:blip>
                    <a:srcRect r="15176"/>
                    <a:stretch>
                      <a:fillRect/>
                    </a:stretch>
                  </pic:blipFill>
                  <pic:spPr>
                    <a:xfrm>
                      <a:off x="0" y="0"/>
                      <a:ext cx="2763320" cy="1832871"/>
                    </a:xfrm>
                    <a:prstGeom prst="rect">
                      <a:avLst/>
                    </a:prstGeom>
                  </pic:spPr>
                </pic:pic>
              </a:graphicData>
            </a:graphic>
          </wp:inline>
        </w:drawing>
      </w:r>
      <w:r>
        <w:rPr>
          <w:noProof/>
        </w:rPr>
        <w:drawing>
          <wp:inline distT="0" distB="0" distL="0" distR="0" wp14:anchorId="4F84781F" wp14:editId="42792FC6">
            <wp:extent cx="2740682" cy="1827417"/>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pic:nvPicPr>
                  <pic:blipFill>
                    <a:blip r:embed="rId18">
                      <a:extLst>
                        <a:ext uri="{28A0092B-C50C-407E-A947-70E740481C1C}">
                          <a14:useLocalDpi xmlns:a14="http://schemas.microsoft.com/office/drawing/2010/main" val="0"/>
                        </a:ext>
                      </a:extLst>
                    </a:blip>
                    <a:stretch>
                      <a:fillRect/>
                    </a:stretch>
                  </pic:blipFill>
                  <pic:spPr>
                    <a:xfrm>
                      <a:off x="0" y="0"/>
                      <a:ext cx="2740682" cy="1827417"/>
                    </a:xfrm>
                    <a:prstGeom prst="rect">
                      <a:avLst/>
                    </a:prstGeom>
                  </pic:spPr>
                </pic:pic>
              </a:graphicData>
            </a:graphic>
          </wp:inline>
        </w:drawing>
      </w:r>
    </w:p>
    <w:p w14:paraId="3DEEC669" w14:textId="77777777" w:rsidR="00F17AAA" w:rsidRPr="00CB1019" w:rsidRDefault="009F230F" w:rsidP="01C970E4">
      <w:pPr>
        <w:pStyle w:val="K-Text"/>
        <w:spacing w:line="240" w:lineRule="auto"/>
        <w:jc w:val="center"/>
        <w:rPr>
          <w:rFonts w:asciiTheme="minorHAnsi" w:eastAsiaTheme="minorEastAsia" w:hAnsiTheme="minorHAnsi" w:cstheme="minorBidi"/>
          <w:sz w:val="20"/>
          <w:szCs w:val="20"/>
        </w:rPr>
      </w:pPr>
      <w:r>
        <w:rPr>
          <w:noProof/>
        </w:rPr>
        <w:drawing>
          <wp:inline distT="0" distB="0" distL="0" distR="0" wp14:anchorId="4A4AE0DA" wp14:editId="596A7174">
            <wp:extent cx="2754675" cy="1671914"/>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pic:nvPicPr>
                  <pic:blipFill>
                    <a:blip r:embed="rId19">
                      <a:extLst>
                        <a:ext uri="{28A0092B-C50C-407E-A947-70E740481C1C}">
                          <a14:useLocalDpi xmlns:a14="http://schemas.microsoft.com/office/drawing/2010/main" val="0"/>
                        </a:ext>
                      </a:extLst>
                    </a:blip>
                    <a:srcRect l="908" t="1187" r="1488" b="1660"/>
                    <a:stretch>
                      <a:fillRect/>
                    </a:stretch>
                  </pic:blipFill>
                  <pic:spPr>
                    <a:xfrm>
                      <a:off x="0" y="0"/>
                      <a:ext cx="2754675" cy="1671914"/>
                    </a:xfrm>
                    <a:prstGeom prst="rect">
                      <a:avLst/>
                    </a:prstGeom>
                  </pic:spPr>
                </pic:pic>
              </a:graphicData>
            </a:graphic>
          </wp:inline>
        </w:drawing>
      </w:r>
      <w:r>
        <w:rPr>
          <w:noProof/>
        </w:rPr>
        <w:drawing>
          <wp:inline distT="0" distB="0" distL="0" distR="0" wp14:anchorId="782C4EED" wp14:editId="12E13A53">
            <wp:extent cx="2771921" cy="167053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pic:nvPicPr>
                  <pic:blipFill>
                    <a:blip r:embed="rId20">
                      <a:extLst>
                        <a:ext uri="{28A0092B-C50C-407E-A947-70E740481C1C}">
                          <a14:useLocalDpi xmlns:a14="http://schemas.microsoft.com/office/drawing/2010/main" val="0"/>
                        </a:ext>
                      </a:extLst>
                    </a:blip>
                    <a:stretch>
                      <a:fillRect/>
                    </a:stretch>
                  </pic:blipFill>
                  <pic:spPr>
                    <a:xfrm>
                      <a:off x="0" y="0"/>
                      <a:ext cx="2771921" cy="1670530"/>
                    </a:xfrm>
                    <a:prstGeom prst="rect">
                      <a:avLst/>
                    </a:prstGeom>
                  </pic:spPr>
                </pic:pic>
              </a:graphicData>
            </a:graphic>
          </wp:inline>
        </w:drawing>
      </w:r>
    </w:p>
    <w:p w14:paraId="2139C151" w14:textId="086F2ED1" w:rsidR="43DF8A4C" w:rsidRDefault="43DF8A4C" w:rsidP="43DF8A4C">
      <w:pPr>
        <w:spacing w:after="120" w:line="240" w:lineRule="auto"/>
        <w:jc w:val="both"/>
        <w:rPr>
          <w:rFonts w:asciiTheme="minorHAnsi" w:eastAsiaTheme="minorEastAsia" w:hAnsiTheme="minorHAnsi" w:cstheme="minorBidi"/>
          <w:b/>
          <w:bCs/>
          <w:color w:val="auto"/>
          <w:sz w:val="20"/>
          <w:szCs w:val="20"/>
        </w:rPr>
      </w:pPr>
    </w:p>
    <w:p w14:paraId="4245CDAD" w14:textId="52BF46AF" w:rsidR="43DF8A4C" w:rsidRDefault="43DF8A4C" w:rsidP="43DF8A4C">
      <w:pPr>
        <w:spacing w:after="120" w:line="240" w:lineRule="auto"/>
        <w:jc w:val="both"/>
        <w:rPr>
          <w:rFonts w:asciiTheme="minorHAnsi" w:eastAsiaTheme="minorEastAsia" w:hAnsiTheme="minorHAnsi" w:cstheme="minorBidi"/>
          <w:b/>
          <w:bCs/>
          <w:color w:val="auto"/>
          <w:sz w:val="20"/>
          <w:szCs w:val="20"/>
        </w:rPr>
      </w:pPr>
    </w:p>
    <w:p w14:paraId="700E0D37" w14:textId="65C2F900" w:rsidR="43DF8A4C" w:rsidRDefault="43DF8A4C" w:rsidP="43DF8A4C">
      <w:pPr>
        <w:spacing w:after="120" w:line="240" w:lineRule="auto"/>
        <w:jc w:val="both"/>
        <w:rPr>
          <w:rFonts w:asciiTheme="minorHAnsi" w:eastAsiaTheme="minorEastAsia" w:hAnsiTheme="minorHAnsi" w:cstheme="minorBidi"/>
          <w:b/>
          <w:bCs/>
          <w:color w:val="auto"/>
          <w:sz w:val="20"/>
          <w:szCs w:val="20"/>
        </w:rPr>
      </w:pPr>
    </w:p>
    <w:p w14:paraId="74B54C7B"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b/>
          <w:bCs/>
          <w:color w:val="auto"/>
          <w:sz w:val="20"/>
          <w:szCs w:val="20"/>
        </w:rPr>
        <w:t>Název investice - 2.9.3. Péče o zvláště chráněná území a území soustavy Natura 2000 a péče o zvláště chráněné druhy rostlin a živočichů</w:t>
      </w:r>
    </w:p>
    <w:tbl>
      <w:tblPr>
        <w:tblStyle w:val="Mkatabulky"/>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2337"/>
        <w:gridCol w:w="7018"/>
      </w:tblGrid>
      <w:tr w:rsidR="00A75363" w:rsidRPr="00CB1019" w14:paraId="72C6B580" w14:textId="77777777" w:rsidTr="13388955">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168B359E"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Výzva</w:t>
            </w:r>
          </w:p>
        </w:tc>
        <w:tc>
          <w:tcPr>
            <w:tcW w:w="7018" w:type="dxa"/>
            <w:tcBorders>
              <w:top w:val="single" w:sz="8" w:space="0" w:color="000000" w:themeColor="text1"/>
              <w:left w:val="none" w:sz="4"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5DD454D5"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Potřeby zajištění péče o předmětná území a chráněné druhy rostlin a živočichů vyplývající z příslušných plánovacích dokumentů.</w:t>
            </w:r>
          </w:p>
          <w:p w14:paraId="3656B9AB"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br/>
            </w:r>
          </w:p>
        </w:tc>
      </w:tr>
      <w:tr w:rsidR="00A75363" w:rsidRPr="00CB1019" w14:paraId="0B8378A2" w14:textId="77777777" w:rsidTr="13388955">
        <w:trPr>
          <w:trHeight w:val="1981"/>
        </w:trPr>
        <w:tc>
          <w:tcPr>
            <w:tcW w:w="2337" w:type="dxa"/>
            <w:tcBorders>
              <w:top w:val="none" w:sz="4"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45C2689E"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lastRenderedPageBreak/>
              <w:t>Cíl</w:t>
            </w:r>
          </w:p>
        </w:tc>
        <w:tc>
          <w:tcPr>
            <w:tcW w:w="7018" w:type="dxa"/>
            <w:tcBorders>
              <w:top w:val="none" w:sz="4" w:space="0" w:color="000000" w:themeColor="text1"/>
              <w:left w:val="none" w:sz="4"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582C52E7" w14:textId="77777777" w:rsidR="00F17AAA" w:rsidRPr="00CB1019" w:rsidRDefault="009F230F" w:rsidP="43DF8A4C">
            <w:pPr>
              <w:numPr>
                <w:ilvl w:val="0"/>
                <w:numId w:val="16"/>
              </w:num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zachování a zlepšování stavu předmětu ochrany ZCHÚ vč. Natura 2000,</w:t>
            </w:r>
          </w:p>
          <w:p w14:paraId="11DD5C7E" w14:textId="77777777" w:rsidR="00F17AAA" w:rsidRPr="00CB1019" w:rsidRDefault="009F230F" w:rsidP="43DF8A4C">
            <w:pPr>
              <w:numPr>
                <w:ilvl w:val="0"/>
                <w:numId w:val="16"/>
              </w:num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obnova nebo zachování lokalit pro ZCHD podle zpracovaných ZP, PP, RAP,</w:t>
            </w:r>
          </w:p>
          <w:p w14:paraId="58A993F4" w14:textId="77777777" w:rsidR="00F17AAA" w:rsidRPr="00CB1019" w:rsidRDefault="009F230F" w:rsidP="43DF8A4C">
            <w:pPr>
              <w:numPr>
                <w:ilvl w:val="0"/>
                <w:numId w:val="16"/>
              </w:num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zpracování podkladových materiálů ke zlepšení stavu přírody a krajiny.</w:t>
            </w:r>
          </w:p>
        </w:tc>
      </w:tr>
      <w:tr w:rsidR="00A75363" w:rsidRPr="00CB1019" w14:paraId="7F27D49E" w14:textId="77777777" w:rsidTr="13388955">
        <w:tc>
          <w:tcPr>
            <w:tcW w:w="2337" w:type="dxa"/>
            <w:tcBorders>
              <w:top w:val="none" w:sz="4"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55CC6944"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Implementace</w:t>
            </w:r>
          </w:p>
        </w:tc>
        <w:tc>
          <w:tcPr>
            <w:tcW w:w="7018" w:type="dxa"/>
            <w:tcBorders>
              <w:top w:val="none" w:sz="4" w:space="0" w:color="000000" w:themeColor="text1"/>
              <w:left w:val="none" w:sz="4"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4B949335"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Ministerstvo životního prostředí</w:t>
            </w:r>
          </w:p>
        </w:tc>
      </w:tr>
      <w:tr w:rsidR="00A75363" w:rsidRPr="00CB1019" w14:paraId="6708FD0F" w14:textId="77777777" w:rsidTr="13388955">
        <w:trPr>
          <w:trHeight w:val="70"/>
        </w:trPr>
        <w:tc>
          <w:tcPr>
            <w:tcW w:w="2337" w:type="dxa"/>
            <w:tcBorders>
              <w:top w:val="none" w:sz="4"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4F5EC983"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Spolupráce a zapojení zúčastněných stran</w:t>
            </w:r>
          </w:p>
        </w:tc>
        <w:tc>
          <w:tcPr>
            <w:tcW w:w="7018" w:type="dxa"/>
            <w:tcBorders>
              <w:top w:val="none" w:sz="4" w:space="0" w:color="000000" w:themeColor="text1"/>
              <w:left w:val="none" w:sz="4"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67E0713F" w14:textId="156E0551" w:rsidR="00F17AAA" w:rsidRPr="00CB1019" w:rsidRDefault="00F17AAA"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p>
        </w:tc>
      </w:tr>
      <w:tr w:rsidR="00A75363" w:rsidRPr="00CB1019" w14:paraId="4757B5CE" w14:textId="77777777" w:rsidTr="13388955">
        <w:tc>
          <w:tcPr>
            <w:tcW w:w="2337" w:type="dxa"/>
            <w:tcBorders>
              <w:top w:val="none" w:sz="4"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1E949CBF"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Překážky a rizika</w:t>
            </w:r>
          </w:p>
        </w:tc>
        <w:tc>
          <w:tcPr>
            <w:tcW w:w="7018" w:type="dxa"/>
            <w:tcBorders>
              <w:top w:val="none" w:sz="4" w:space="0" w:color="000000" w:themeColor="text1"/>
              <w:left w:val="none" w:sz="4"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732F693D"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 xml:space="preserve">Riziko zpoždění implementace v důsledku časově náročnější přípravy projektů (vypořádání pozemků apod.) a zpravidla nutnosti realizace v konkrétním období roku. </w:t>
            </w:r>
          </w:p>
        </w:tc>
      </w:tr>
      <w:tr w:rsidR="00A75363" w:rsidRPr="00CB1019" w14:paraId="35975D5D" w14:textId="77777777" w:rsidTr="13388955">
        <w:tc>
          <w:tcPr>
            <w:tcW w:w="2337" w:type="dxa"/>
            <w:tcBorders>
              <w:top w:val="none" w:sz="4"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6C2D6964"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Cílové skupiny populace a ekonomické subjekty</w:t>
            </w:r>
          </w:p>
        </w:tc>
        <w:tc>
          <w:tcPr>
            <w:tcW w:w="7018" w:type="dxa"/>
            <w:tcBorders>
              <w:top w:val="none" w:sz="4" w:space="0" w:color="000000" w:themeColor="text1"/>
              <w:left w:val="none" w:sz="4"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4F6584BE"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0"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 </w:t>
            </w:r>
          </w:p>
          <w:p w14:paraId="3C0EAEA0" w14:textId="5240EB50" w:rsidR="00F17AAA" w:rsidRPr="00CB1019" w:rsidRDefault="009F230F" w:rsidP="43DF8A4C">
            <w:pPr>
              <w:pBdr>
                <w:top w:val="none" w:sz="4" w:space="0" w:color="000000"/>
                <w:left w:val="none" w:sz="4" w:space="0" w:color="000000"/>
                <w:bottom w:val="none" w:sz="4" w:space="0" w:color="000000"/>
                <w:right w:val="none" w:sz="4" w:space="0" w:color="000000"/>
              </w:pBdr>
              <w:spacing w:after="0"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Agentura ochrany přírody a krajiny ČR, správy národních parků, Správa jeskyní ČR, kraje</w:t>
            </w:r>
          </w:p>
          <w:p w14:paraId="09AF38FC"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i/>
                <w:iCs/>
                <w:color w:val="auto"/>
                <w:sz w:val="20"/>
                <w:szCs w:val="20"/>
              </w:rPr>
              <w:t> </w:t>
            </w:r>
          </w:p>
        </w:tc>
      </w:tr>
      <w:tr w:rsidR="00A75363" w:rsidRPr="00CB1019" w14:paraId="49FB9CB6" w14:textId="77777777" w:rsidTr="13388955">
        <w:tc>
          <w:tcPr>
            <w:tcW w:w="2337" w:type="dxa"/>
            <w:tcBorders>
              <w:top w:val="none" w:sz="4"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1B3EEFB9"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Souhrnné náklady realizace financované z RRF za celé období</w:t>
            </w:r>
          </w:p>
        </w:tc>
        <w:tc>
          <w:tcPr>
            <w:tcW w:w="7018" w:type="dxa"/>
            <w:tcBorders>
              <w:top w:val="none" w:sz="4" w:space="0" w:color="000000" w:themeColor="text1"/>
              <w:left w:val="none" w:sz="4"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4EE383E5" w14:textId="25B808D8"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13388955">
              <w:rPr>
                <w:rFonts w:asciiTheme="minorHAnsi" w:eastAsiaTheme="minorEastAsia" w:hAnsiTheme="minorHAnsi" w:cstheme="minorBidi"/>
                <w:color w:val="auto"/>
                <w:sz w:val="20"/>
                <w:szCs w:val="20"/>
              </w:rPr>
              <w:t>5</w:t>
            </w:r>
            <w:r w:rsidR="1F2FCD03" w:rsidRPr="13388955">
              <w:rPr>
                <w:rFonts w:asciiTheme="minorHAnsi" w:eastAsiaTheme="minorEastAsia" w:hAnsiTheme="minorHAnsi" w:cstheme="minorBidi"/>
                <w:color w:val="auto"/>
                <w:sz w:val="20"/>
                <w:szCs w:val="20"/>
              </w:rPr>
              <w:t>45</w:t>
            </w:r>
            <w:r w:rsidRPr="13388955">
              <w:rPr>
                <w:rFonts w:asciiTheme="minorHAnsi" w:eastAsiaTheme="minorEastAsia" w:hAnsiTheme="minorHAnsi" w:cstheme="minorBidi"/>
                <w:color w:val="auto"/>
                <w:sz w:val="20"/>
                <w:szCs w:val="20"/>
              </w:rPr>
              <w:t xml:space="preserve"> mil. Kč</w:t>
            </w:r>
            <w:r w:rsidR="6301DA24" w:rsidRPr="13388955">
              <w:rPr>
                <w:rFonts w:asciiTheme="minorHAnsi" w:eastAsiaTheme="minorEastAsia" w:hAnsiTheme="minorHAnsi" w:cstheme="minorBidi"/>
                <w:color w:val="auto"/>
                <w:sz w:val="20"/>
                <w:szCs w:val="20"/>
              </w:rPr>
              <w:t xml:space="preserve"> </w:t>
            </w:r>
            <w:r w:rsidR="00372C13">
              <w:rPr>
                <w:rFonts w:asciiTheme="minorHAnsi" w:eastAsiaTheme="minorEastAsia" w:hAnsiTheme="minorHAnsi" w:cstheme="minorBidi"/>
                <w:color w:val="auto"/>
                <w:sz w:val="20"/>
                <w:szCs w:val="20"/>
              </w:rPr>
              <w:t>bez DPH</w:t>
            </w:r>
          </w:p>
          <w:p w14:paraId="15AA318D"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i/>
                <w:iCs/>
                <w:color w:val="auto"/>
                <w:sz w:val="20"/>
                <w:szCs w:val="20"/>
              </w:rPr>
              <w:t> </w:t>
            </w:r>
          </w:p>
        </w:tc>
      </w:tr>
      <w:tr w:rsidR="00A75363" w:rsidRPr="00CB1019" w14:paraId="68EFD54B" w14:textId="77777777" w:rsidTr="13388955">
        <w:tc>
          <w:tcPr>
            <w:tcW w:w="2337" w:type="dxa"/>
            <w:tcBorders>
              <w:top w:val="none" w:sz="4"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54F3D922"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Dodržování pravidel státní podpory</w:t>
            </w:r>
          </w:p>
        </w:tc>
        <w:tc>
          <w:tcPr>
            <w:tcW w:w="7018" w:type="dxa"/>
            <w:tcBorders>
              <w:top w:val="none" w:sz="4" w:space="0" w:color="000000" w:themeColor="text1"/>
              <w:left w:val="none" w:sz="4"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537746C2"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U předmětné oblasti není aplikace veřejné podpory relevantní s ohledem na charakter projektu. Jedná se o opatření, která obvykle nevedou ke zvýhodnění žádného subjektu v tržním prostředí.</w:t>
            </w:r>
          </w:p>
        </w:tc>
      </w:tr>
      <w:tr w:rsidR="00A75363" w:rsidRPr="00CB1019" w14:paraId="44C13FF6" w14:textId="77777777" w:rsidTr="13388955">
        <w:tc>
          <w:tcPr>
            <w:tcW w:w="2337" w:type="dxa"/>
            <w:tcBorders>
              <w:top w:val="none" w:sz="4"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31AD26DA"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Uveďte dobu implementace</w:t>
            </w:r>
          </w:p>
        </w:tc>
        <w:tc>
          <w:tcPr>
            <w:tcW w:w="7018" w:type="dxa"/>
            <w:tcBorders>
              <w:top w:val="none" w:sz="4" w:space="0" w:color="000000" w:themeColor="text1"/>
              <w:left w:val="none" w:sz="4"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3BB32B52"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2021-2025</w:t>
            </w:r>
          </w:p>
          <w:p w14:paraId="01512BE8"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i/>
                <w:iCs/>
                <w:color w:val="auto"/>
                <w:sz w:val="20"/>
                <w:szCs w:val="20"/>
              </w:rPr>
              <w:t> </w:t>
            </w:r>
          </w:p>
        </w:tc>
      </w:tr>
    </w:tbl>
    <w:p w14:paraId="3556261E" w14:textId="77777777" w:rsidR="009B7B66" w:rsidRPr="009B7B66" w:rsidRDefault="009B7B66" w:rsidP="009B7B66">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b/>
          <w:bCs/>
          <w:color w:val="auto"/>
          <w:sz w:val="20"/>
          <w:szCs w:val="20"/>
        </w:rPr>
      </w:pPr>
    </w:p>
    <w:p w14:paraId="46624170" w14:textId="28C3B059" w:rsidR="00F17AAA" w:rsidRPr="00CB1019" w:rsidRDefault="00F17AAA"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p>
    <w:p w14:paraId="569F9E54"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b/>
          <w:bCs/>
          <w:color w:val="auto"/>
          <w:sz w:val="20"/>
          <w:szCs w:val="20"/>
        </w:rPr>
        <w:t>2. Název investice - 2.9.4. Adaptace vodních, nelesních a lesních ekosystémů na změnu klimatu</w:t>
      </w:r>
    </w:p>
    <w:tbl>
      <w:tblPr>
        <w:tblStyle w:val="Mkatabulky"/>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2337"/>
        <w:gridCol w:w="7018"/>
      </w:tblGrid>
      <w:tr w:rsidR="00A75363" w:rsidRPr="00CB1019" w14:paraId="0AD1EE2F" w14:textId="77777777" w:rsidTr="13388955">
        <w:tc>
          <w:tcPr>
            <w:tcW w:w="23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3FF20533"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Výzva</w:t>
            </w:r>
          </w:p>
        </w:tc>
        <w:tc>
          <w:tcPr>
            <w:tcW w:w="7018" w:type="dxa"/>
            <w:tcBorders>
              <w:top w:val="single" w:sz="8" w:space="0" w:color="000000" w:themeColor="text1"/>
              <w:left w:val="none" w:sz="4"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7833C5AF"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Adaptace vodních, nelesních a lesních ekosystémů na změnu klimatu</w:t>
            </w:r>
            <w:r>
              <w:br/>
            </w:r>
          </w:p>
        </w:tc>
      </w:tr>
      <w:tr w:rsidR="00A75363" w:rsidRPr="00CB1019" w14:paraId="40B56726" w14:textId="77777777" w:rsidTr="13388955">
        <w:tc>
          <w:tcPr>
            <w:tcW w:w="2337" w:type="dxa"/>
            <w:tcBorders>
              <w:top w:val="none" w:sz="4"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3C3FBBF0"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Cíl</w:t>
            </w:r>
          </w:p>
        </w:tc>
        <w:tc>
          <w:tcPr>
            <w:tcW w:w="7018" w:type="dxa"/>
            <w:tcBorders>
              <w:top w:val="none" w:sz="4" w:space="0" w:color="000000" w:themeColor="text1"/>
              <w:left w:val="none" w:sz="4"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319A92B8" w14:textId="77777777" w:rsidR="00F17AAA" w:rsidRPr="00CB1019" w:rsidRDefault="009F230F" w:rsidP="43DF8A4C">
            <w:pPr>
              <w:numPr>
                <w:ilvl w:val="0"/>
                <w:numId w:val="17"/>
              </w:num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zlepšení druhové a prostorové skladby lesa,</w:t>
            </w:r>
          </w:p>
          <w:p w14:paraId="2F811E60" w14:textId="77777777" w:rsidR="00F17AAA" w:rsidRPr="00CB1019" w:rsidRDefault="009F230F" w:rsidP="43DF8A4C">
            <w:pPr>
              <w:numPr>
                <w:ilvl w:val="0"/>
                <w:numId w:val="17"/>
              </w:num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zajištění péče o cenné nelesní terestrické biotopy,</w:t>
            </w:r>
          </w:p>
          <w:p w14:paraId="387A6F56" w14:textId="77777777" w:rsidR="00F17AAA" w:rsidRPr="00CB1019" w:rsidRDefault="009F230F" w:rsidP="43DF8A4C">
            <w:pPr>
              <w:numPr>
                <w:ilvl w:val="0"/>
                <w:numId w:val="17"/>
              </w:num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tvorba a obnova mokřadů (vč. tůní a malých vodních nádrží),</w:t>
            </w:r>
          </w:p>
          <w:p w14:paraId="07DF233D" w14:textId="77777777" w:rsidR="00F17AAA" w:rsidRPr="00CB1019" w:rsidRDefault="009F230F" w:rsidP="43DF8A4C">
            <w:pPr>
              <w:numPr>
                <w:ilvl w:val="0"/>
                <w:numId w:val="17"/>
              </w:num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 xml:space="preserve">revitalizace a </w:t>
            </w:r>
            <w:proofErr w:type="spellStart"/>
            <w:r w:rsidRPr="43DF8A4C">
              <w:rPr>
                <w:rFonts w:asciiTheme="minorHAnsi" w:eastAsiaTheme="minorEastAsia" w:hAnsiTheme="minorHAnsi" w:cstheme="minorBidi"/>
                <w:color w:val="auto"/>
                <w:sz w:val="20"/>
                <w:szCs w:val="20"/>
              </w:rPr>
              <w:t>renaturace</w:t>
            </w:r>
            <w:proofErr w:type="spellEnd"/>
            <w:r w:rsidRPr="43DF8A4C">
              <w:rPr>
                <w:rFonts w:asciiTheme="minorHAnsi" w:eastAsiaTheme="minorEastAsia" w:hAnsiTheme="minorHAnsi" w:cstheme="minorBidi"/>
                <w:color w:val="auto"/>
                <w:sz w:val="20"/>
                <w:szCs w:val="20"/>
              </w:rPr>
              <w:t xml:space="preserve"> vodních toků,</w:t>
            </w:r>
          </w:p>
          <w:p w14:paraId="12EB5CCC" w14:textId="77777777" w:rsidR="00F17AAA" w:rsidRDefault="009F230F" w:rsidP="43DF8A4C">
            <w:pPr>
              <w:numPr>
                <w:ilvl w:val="0"/>
                <w:numId w:val="17"/>
              </w:num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výsadba dřevin mimo les</w:t>
            </w:r>
          </w:p>
          <w:p w14:paraId="0F756AD8" w14:textId="1FCB1C27" w:rsidR="00484E13" w:rsidRPr="00CB1019" w:rsidRDefault="00484E13" w:rsidP="43DF8A4C">
            <w:pPr>
              <w:numPr>
                <w:ilvl w:val="0"/>
                <w:numId w:val="17"/>
              </w:num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00484E13">
              <w:rPr>
                <w:rFonts w:asciiTheme="minorHAnsi" w:eastAsiaTheme="minorEastAsia" w:hAnsiTheme="minorHAnsi" w:cstheme="minorBidi"/>
                <w:color w:val="auto"/>
                <w:sz w:val="20"/>
                <w:szCs w:val="20"/>
              </w:rPr>
              <w:t>tvorba studií proveditelnosti s cílem posoudit území z hlediska potenciálu zadržovat vodu a realizace vybraných opatření ze studií vyplývajících</w:t>
            </w:r>
          </w:p>
        </w:tc>
      </w:tr>
      <w:tr w:rsidR="00A75363" w:rsidRPr="00CB1019" w14:paraId="0E44870F" w14:textId="77777777" w:rsidTr="13388955">
        <w:tc>
          <w:tcPr>
            <w:tcW w:w="2337" w:type="dxa"/>
            <w:tcBorders>
              <w:top w:val="none" w:sz="4"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434B3E47"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Implementace</w:t>
            </w:r>
          </w:p>
        </w:tc>
        <w:tc>
          <w:tcPr>
            <w:tcW w:w="7018" w:type="dxa"/>
            <w:tcBorders>
              <w:top w:val="none" w:sz="4" w:space="0" w:color="000000" w:themeColor="text1"/>
              <w:left w:val="none" w:sz="4"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00FB1BFD"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Ministerstvo životního prostředí</w:t>
            </w:r>
          </w:p>
        </w:tc>
      </w:tr>
      <w:tr w:rsidR="00A75363" w:rsidRPr="00CB1019" w14:paraId="2656030D" w14:textId="77777777" w:rsidTr="13388955">
        <w:trPr>
          <w:trHeight w:val="70"/>
        </w:trPr>
        <w:tc>
          <w:tcPr>
            <w:tcW w:w="2337" w:type="dxa"/>
            <w:tcBorders>
              <w:top w:val="none" w:sz="4"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77126BED"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Spolupráce a zapojení zúčastněných stran</w:t>
            </w:r>
          </w:p>
        </w:tc>
        <w:tc>
          <w:tcPr>
            <w:tcW w:w="7018" w:type="dxa"/>
            <w:tcBorders>
              <w:top w:val="none" w:sz="4" w:space="0" w:color="000000" w:themeColor="text1"/>
              <w:left w:val="none" w:sz="4"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64C60612" w14:textId="38CE9F36"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 xml:space="preserve">Agentura ochrany přírody a krajiny ČR </w:t>
            </w:r>
          </w:p>
        </w:tc>
      </w:tr>
      <w:tr w:rsidR="00A75363" w:rsidRPr="00CB1019" w14:paraId="28FE419B" w14:textId="77777777" w:rsidTr="13388955">
        <w:tc>
          <w:tcPr>
            <w:tcW w:w="2337" w:type="dxa"/>
            <w:tcBorders>
              <w:top w:val="none" w:sz="4"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0D494027"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Překážky a rizika</w:t>
            </w:r>
          </w:p>
        </w:tc>
        <w:tc>
          <w:tcPr>
            <w:tcW w:w="7018" w:type="dxa"/>
            <w:tcBorders>
              <w:top w:val="none" w:sz="4" w:space="0" w:color="000000" w:themeColor="text1"/>
              <w:left w:val="none" w:sz="4"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5FF9E3C6"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 xml:space="preserve">Riziko zpoždění implementace v důsledku časově náročnější přípravy projektů (vypořádání pozemků apod.) a zpravidla nutnosti realizace v konkrétním období roku. </w:t>
            </w:r>
          </w:p>
        </w:tc>
      </w:tr>
      <w:tr w:rsidR="00A75363" w:rsidRPr="00CB1019" w14:paraId="15B8B28E" w14:textId="77777777" w:rsidTr="13388955">
        <w:tc>
          <w:tcPr>
            <w:tcW w:w="2337" w:type="dxa"/>
            <w:tcBorders>
              <w:top w:val="none" w:sz="4"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06C758E5"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lastRenderedPageBreak/>
              <w:t>Cílové skupiny populace a ekonomické subjekty</w:t>
            </w:r>
          </w:p>
        </w:tc>
        <w:tc>
          <w:tcPr>
            <w:tcW w:w="7018" w:type="dxa"/>
            <w:tcBorders>
              <w:top w:val="none" w:sz="4" w:space="0" w:color="000000" w:themeColor="text1"/>
              <w:left w:val="none" w:sz="4"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4633BC27"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fyzické osoby, právnické osoby, obecně prospěšné organizace, územní samosprávné celky (obce a kraje), spolky, svazky obcí, příspěvkové organizace, organizační složky státu, státní organizace a státní podniky,</w:t>
            </w:r>
          </w:p>
          <w:p w14:paraId="4B8484D5"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i/>
                <w:iCs/>
                <w:color w:val="auto"/>
                <w:sz w:val="20"/>
                <w:szCs w:val="20"/>
              </w:rPr>
              <w:t> </w:t>
            </w:r>
          </w:p>
        </w:tc>
      </w:tr>
      <w:tr w:rsidR="00A75363" w:rsidRPr="00CB1019" w14:paraId="7F1B8D3B" w14:textId="77777777" w:rsidTr="13388955">
        <w:tc>
          <w:tcPr>
            <w:tcW w:w="2337" w:type="dxa"/>
            <w:tcBorders>
              <w:top w:val="none" w:sz="4"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2BE58257"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Souhrnné náklady realizace financované z RRF za celé období</w:t>
            </w:r>
          </w:p>
        </w:tc>
        <w:tc>
          <w:tcPr>
            <w:tcW w:w="7018" w:type="dxa"/>
            <w:tcBorders>
              <w:top w:val="none" w:sz="4" w:space="0" w:color="000000" w:themeColor="text1"/>
              <w:left w:val="none" w:sz="4"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4FB52D91" w14:textId="3E17BC7C" w:rsidR="00F17AAA" w:rsidRPr="00CB1019" w:rsidRDefault="00636DA8"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Pr>
                <w:rFonts w:asciiTheme="minorHAnsi" w:eastAsiaTheme="minorEastAsia" w:hAnsiTheme="minorHAnsi" w:cstheme="minorBidi"/>
                <w:color w:val="auto"/>
                <w:sz w:val="20"/>
                <w:szCs w:val="20"/>
              </w:rPr>
              <w:t>68</w:t>
            </w:r>
            <w:r w:rsidR="1F2FCD03" w:rsidRPr="13388955">
              <w:rPr>
                <w:rFonts w:asciiTheme="minorHAnsi" w:eastAsiaTheme="minorEastAsia" w:hAnsiTheme="minorHAnsi" w:cstheme="minorBidi"/>
                <w:color w:val="auto"/>
                <w:sz w:val="20"/>
                <w:szCs w:val="20"/>
              </w:rPr>
              <w:t>5</w:t>
            </w:r>
            <w:r w:rsidR="00372C13">
              <w:rPr>
                <w:rFonts w:asciiTheme="minorHAnsi" w:eastAsiaTheme="minorEastAsia" w:hAnsiTheme="minorHAnsi" w:cstheme="minorBidi"/>
                <w:color w:val="auto"/>
                <w:sz w:val="20"/>
                <w:szCs w:val="20"/>
              </w:rPr>
              <w:t xml:space="preserve"> </w:t>
            </w:r>
            <w:r w:rsidR="009F230F" w:rsidRPr="13388955">
              <w:rPr>
                <w:rFonts w:asciiTheme="minorHAnsi" w:eastAsiaTheme="minorEastAsia" w:hAnsiTheme="minorHAnsi" w:cstheme="minorBidi"/>
                <w:color w:val="auto"/>
                <w:sz w:val="20"/>
                <w:szCs w:val="20"/>
              </w:rPr>
              <w:t>mil. Kč</w:t>
            </w:r>
            <w:r w:rsidR="00372C13">
              <w:rPr>
                <w:rFonts w:asciiTheme="minorHAnsi" w:eastAsiaTheme="minorEastAsia" w:hAnsiTheme="minorHAnsi" w:cstheme="minorBidi"/>
                <w:color w:val="auto"/>
                <w:sz w:val="20"/>
                <w:szCs w:val="20"/>
              </w:rPr>
              <w:t xml:space="preserve"> bez DPH</w:t>
            </w:r>
          </w:p>
          <w:p w14:paraId="4F8F56C0"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 </w:t>
            </w:r>
          </w:p>
        </w:tc>
      </w:tr>
      <w:tr w:rsidR="00A75363" w:rsidRPr="00CB1019" w14:paraId="61F2A42E" w14:textId="77777777" w:rsidTr="13388955">
        <w:tc>
          <w:tcPr>
            <w:tcW w:w="2337" w:type="dxa"/>
            <w:tcBorders>
              <w:top w:val="none" w:sz="4"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19C62E22"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Dodržování pravidel státní podpory</w:t>
            </w:r>
          </w:p>
        </w:tc>
        <w:tc>
          <w:tcPr>
            <w:tcW w:w="7018" w:type="dxa"/>
            <w:tcBorders>
              <w:top w:val="none" w:sz="4" w:space="0" w:color="000000" w:themeColor="text1"/>
              <w:left w:val="none" w:sz="4"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35B2DC7F"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U předmětné oblasti není aplikace veřejné podpory relevantní s ohledem na charakter projektu. Jedná se o opatření, která obvykle nevedou ke zvýhodnění žádného subjektu v tržním prostředí.</w:t>
            </w:r>
          </w:p>
        </w:tc>
      </w:tr>
      <w:tr w:rsidR="00F17AAA" w:rsidRPr="00CB1019" w14:paraId="7D8BC403" w14:textId="77777777" w:rsidTr="13388955">
        <w:tc>
          <w:tcPr>
            <w:tcW w:w="2337" w:type="dxa"/>
            <w:tcBorders>
              <w:top w:val="none" w:sz="4"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65B5B5D1"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Uveďte dobu implementace</w:t>
            </w:r>
          </w:p>
        </w:tc>
        <w:tc>
          <w:tcPr>
            <w:tcW w:w="7018" w:type="dxa"/>
            <w:tcBorders>
              <w:top w:val="none" w:sz="4" w:space="0" w:color="000000" w:themeColor="text1"/>
              <w:left w:val="none" w:sz="4"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19D54751"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2021-2025</w:t>
            </w:r>
          </w:p>
          <w:p w14:paraId="649CC1FA"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i/>
                <w:iCs/>
                <w:color w:val="auto"/>
                <w:sz w:val="20"/>
                <w:szCs w:val="20"/>
              </w:rPr>
              <w:t> </w:t>
            </w:r>
          </w:p>
        </w:tc>
      </w:tr>
    </w:tbl>
    <w:p w14:paraId="42AA9669" w14:textId="2FA83135" w:rsidR="71301C15" w:rsidRDefault="71301C15" w:rsidP="43DF8A4C">
      <w:pPr>
        <w:pStyle w:val="K-Nadpis2"/>
        <w:spacing w:line="240" w:lineRule="auto"/>
        <w:rPr>
          <w:rFonts w:asciiTheme="minorHAnsi" w:eastAsiaTheme="minorEastAsia" w:hAnsiTheme="minorHAnsi" w:cstheme="minorBidi"/>
          <w:color w:val="auto"/>
          <w:sz w:val="20"/>
          <w:szCs w:val="20"/>
        </w:rPr>
      </w:pPr>
    </w:p>
    <w:p w14:paraId="79104BF4" w14:textId="11025E08" w:rsidR="71301C15" w:rsidRDefault="71301C15" w:rsidP="43DF8A4C">
      <w:pPr>
        <w:pStyle w:val="K-Nadpis2"/>
        <w:spacing w:line="240" w:lineRule="auto"/>
        <w:rPr>
          <w:rFonts w:asciiTheme="minorHAnsi" w:eastAsiaTheme="minorEastAsia" w:hAnsiTheme="minorHAnsi" w:cstheme="minorBidi"/>
          <w:bCs/>
          <w:sz w:val="20"/>
          <w:szCs w:val="20"/>
        </w:rPr>
      </w:pPr>
    </w:p>
    <w:p w14:paraId="7470FFC9" w14:textId="417C5FCC" w:rsidR="00F17AAA" w:rsidRPr="00CB1019" w:rsidRDefault="009F230F" w:rsidP="43DF8A4C">
      <w:pPr>
        <w:pStyle w:val="K-Nadpis2"/>
        <w:pBdr>
          <w:top w:val="none" w:sz="4" w:space="0" w:color="000000"/>
          <w:left w:val="none" w:sz="4" w:space="0" w:color="000000"/>
          <w:bottom w:val="none" w:sz="4" w:space="0" w:color="000000"/>
          <w:right w:val="none" w:sz="4" w:space="0" w:color="000000"/>
        </w:pBdr>
        <w:spacing w:after="240"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4. Strategická autonomie a bezpečnostní problematika</w:t>
      </w:r>
    </w:p>
    <w:p w14:paraId="7DE15163"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Tato kapitola není pro danou komponentu relevantní.</w:t>
      </w:r>
    </w:p>
    <w:p w14:paraId="10EF996B" w14:textId="77777777" w:rsidR="00F17AAA" w:rsidRPr="00CB1019" w:rsidRDefault="009F230F" w:rsidP="43DF8A4C">
      <w:pPr>
        <w:pBdr>
          <w:top w:val="none" w:sz="4" w:space="0" w:color="000000"/>
          <w:left w:val="none" w:sz="4" w:space="0" w:color="000000"/>
          <w:bottom w:val="none" w:sz="4" w:space="0" w:color="000000"/>
          <w:right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0" w:hanging="10"/>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 </w:t>
      </w:r>
    </w:p>
    <w:p w14:paraId="6DED2C58" w14:textId="77777777" w:rsidR="00F17AAA" w:rsidRPr="00CB1019" w:rsidRDefault="009F230F" w:rsidP="43DF8A4C">
      <w:pPr>
        <w:pStyle w:val="K-Nadpis2"/>
        <w:pBdr>
          <w:top w:val="none" w:sz="4" w:space="0" w:color="000000"/>
          <w:left w:val="none" w:sz="4" w:space="0" w:color="000000"/>
          <w:bottom w:val="none" w:sz="4" w:space="0" w:color="000000"/>
          <w:right w:val="none" w:sz="4" w:space="0" w:color="000000"/>
        </w:pBdr>
        <w:spacing w:after="240"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 xml:space="preserve">5. Přeshraniční a mezinárodní projekty </w:t>
      </w:r>
    </w:p>
    <w:p w14:paraId="1D6BCE24"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Tato kapitola není pro danou komponentu relevantní.</w:t>
      </w:r>
    </w:p>
    <w:p w14:paraId="049F31CB" w14:textId="77777777" w:rsidR="00F17AAA" w:rsidRPr="00CB1019" w:rsidRDefault="00F17AAA" w:rsidP="43DF8A4C">
      <w:pPr>
        <w:pStyle w:val="K-Text"/>
        <w:spacing w:line="240" w:lineRule="auto"/>
        <w:rPr>
          <w:rFonts w:asciiTheme="minorHAnsi" w:eastAsiaTheme="minorEastAsia" w:hAnsiTheme="minorHAnsi" w:cstheme="minorBidi"/>
          <w:sz w:val="20"/>
          <w:szCs w:val="20"/>
        </w:rPr>
      </w:pPr>
    </w:p>
    <w:p w14:paraId="0D389DC7" w14:textId="77777777" w:rsidR="00F17AAA" w:rsidRPr="00CB1019" w:rsidRDefault="009F230F" w:rsidP="43DF8A4C">
      <w:pPr>
        <w:pStyle w:val="K-Nadpis2"/>
        <w:spacing w:after="240"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 xml:space="preserve">6. </w:t>
      </w:r>
      <w:proofErr w:type="gramStart"/>
      <w:r w:rsidRPr="43DF8A4C">
        <w:rPr>
          <w:rFonts w:asciiTheme="minorHAnsi" w:eastAsiaTheme="minorEastAsia" w:hAnsiTheme="minorHAnsi" w:cstheme="minorBidi"/>
          <w:color w:val="auto"/>
          <w:sz w:val="20"/>
          <w:szCs w:val="20"/>
        </w:rPr>
        <w:t>Zelený</w:t>
      </w:r>
      <w:proofErr w:type="gramEnd"/>
      <w:r w:rsidRPr="43DF8A4C">
        <w:rPr>
          <w:rFonts w:asciiTheme="minorHAnsi" w:eastAsiaTheme="minorEastAsia" w:hAnsiTheme="minorHAnsi" w:cstheme="minorBidi"/>
          <w:color w:val="auto"/>
          <w:sz w:val="20"/>
          <w:szCs w:val="20"/>
        </w:rPr>
        <w:t xml:space="preserve"> rozměr komponenty</w:t>
      </w:r>
    </w:p>
    <w:p w14:paraId="152AA8DF"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Opatření v rámci komponenty 2.9 navazují na zastřešující strategie ČR a byla vybrána tak, aby v maximální možné míře kombinovala přínosy k adaptaci na klimatickou změnu a zároveň přinášela zásadní ekosystémové benefity. Jednotlivá opatření se vzájemně doplňují i s dalšími opatřeními mimo NPO tak, aby NPO maximálním způsobem přispěl k naplnění reformního úsilí ČR v oblasti adaptace na klimatickou změnu.</w:t>
      </w:r>
    </w:p>
    <w:p w14:paraId="1BAFECE5"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Povodně jsou v ČR i v celosvětovém měřítku nejvýznamnějším přírodním rizikem z hlediska přímého ohrožení životů i přímých škod na majetku. Ochrana před povodněmi zahrnuje management v ploše povodí vč. obnovy a udržování funkčních ekosystémů schopných zadržovat vodu v krajině, realizaci přírodě blízkých i technických protipovodňových opatření v ohrožených oblastech. K projektům řešícím problematiku povodní v ČR patří i investice zajišťující přírodě blízkou povodňovou ochranu </w:t>
      </w:r>
      <w:proofErr w:type="spellStart"/>
      <w:r w:rsidRPr="43DF8A4C">
        <w:rPr>
          <w:rFonts w:asciiTheme="minorHAnsi" w:eastAsiaTheme="minorEastAsia" w:hAnsiTheme="minorHAnsi" w:cstheme="minorBidi"/>
          <w:i w:val="0"/>
          <w:iCs w:val="0"/>
          <w:color w:val="auto"/>
          <w:sz w:val="20"/>
          <w:szCs w:val="20"/>
        </w:rPr>
        <w:t>intravilánu</w:t>
      </w:r>
      <w:proofErr w:type="spellEnd"/>
      <w:r w:rsidRPr="43DF8A4C">
        <w:rPr>
          <w:rFonts w:asciiTheme="minorHAnsi" w:eastAsiaTheme="minorEastAsia" w:hAnsiTheme="minorHAnsi" w:cstheme="minorBidi"/>
          <w:i w:val="0"/>
          <w:iCs w:val="0"/>
          <w:color w:val="auto"/>
          <w:sz w:val="20"/>
          <w:szCs w:val="20"/>
        </w:rPr>
        <w:t xml:space="preserve"> města Brna. Toto opatření se zabývá zejména zvýšením protipovodňové ochrany zastavěných částí města za předpokladu zachování maximální možné míry rozlivu v městské nivě. Realizace opatření však podpoří nejen přirozený tlumivý rozliv povodní v nivách, ale zároveň bude mít i </w:t>
      </w:r>
      <w:r w:rsidRPr="43DF8A4C">
        <w:rPr>
          <w:rFonts w:asciiTheme="minorHAnsi" w:eastAsiaTheme="minorEastAsia" w:hAnsiTheme="minorHAnsi" w:cstheme="minorBidi"/>
          <w:i w:val="0"/>
          <w:iCs w:val="0"/>
          <w:color w:val="auto"/>
          <w:sz w:val="20"/>
          <w:szCs w:val="20"/>
          <w:highlight w:val="white"/>
        </w:rPr>
        <w:t xml:space="preserve">pozitivní vliv na biodiverzitu a ekologický stav řeky Svratky a atraktivitu lokality. </w:t>
      </w:r>
    </w:p>
    <w:p w14:paraId="26A8D538"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Z hlediska zranitelnosti lidských sídel patří mezi nejvýznamnější dopady změny klimatu extrémní hydrometeorologické jevy, jako jsou vlny veder, vydatné srážky, dlouhodobá sucha, povodně. Vzhledem ke koncentraci obyvatel v urbanizovaných oblastech je jejich adaptace na tyto projevy z hlediska kvality života stěžejní. Mezi faktory zvyšující zranitelnost sídel vůči dopadům změny klimatu patří vysoký podíl nepropustných zpevněných ploch, nízká retenční schopnost antropogenních půd a nízký podíl ploch zeleně, k nimž se dále přidává nevhodné hospodaření se srážkovou a šedou vodou, nízká hladina podzemní vody a její omezené množství, malý výskyt povrchové vody a nízká propojenost (srážkového) odtoku a zelených prvků/ploch (tzv. zelené infrastruktury). Tyto problémy se snaží řešit opatření podporovaná v rámci investice „Hospodaření se srážkovými vodami v </w:t>
      </w:r>
      <w:proofErr w:type="spellStart"/>
      <w:r w:rsidRPr="43DF8A4C">
        <w:rPr>
          <w:rFonts w:asciiTheme="minorHAnsi" w:eastAsiaTheme="minorEastAsia" w:hAnsiTheme="minorHAnsi" w:cstheme="minorBidi"/>
          <w:i w:val="0"/>
          <w:iCs w:val="0"/>
          <w:color w:val="auto"/>
          <w:sz w:val="20"/>
          <w:szCs w:val="20"/>
        </w:rPr>
        <w:t>intravilánu</w:t>
      </w:r>
      <w:proofErr w:type="spellEnd"/>
      <w:r w:rsidRPr="43DF8A4C">
        <w:rPr>
          <w:rFonts w:asciiTheme="minorHAnsi" w:eastAsiaTheme="minorEastAsia" w:hAnsiTheme="minorHAnsi" w:cstheme="minorBidi"/>
          <w:i w:val="0"/>
          <w:iCs w:val="0"/>
          <w:color w:val="auto"/>
          <w:sz w:val="20"/>
          <w:szCs w:val="20"/>
        </w:rPr>
        <w:t>“, ke kterým patří například povrchová vsakovací a retenční zařízení doplněná zelení, dešťové zahrady (kombinace modré a zelené infrastruktury), podzemní vsakovací zařízení s retenčním prostorem vyplněným štěrkem nebo prefabrikáty,  povrchové či podzemní retenční prostory s regulací odtoku do povrchových vod nebo kanalizace, výměna nepropustných zpevněných povrchů za propustné či výstavba střech s akumulační schopností (vegetační, retenční). </w:t>
      </w:r>
    </w:p>
    <w:p w14:paraId="289BC7EB"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lastRenderedPageBreak/>
        <w:t>Problematiky obou investic jsou vnímány jako zásadní v oblasti přizpůsobení se změnám klimatu a jsou v souladu s Národním akčním plánem adaptace na změnu klimatu. Opatření obou investic se významně vážou k adaptaci na změnu klimatu, která je na národní úrovni komplexně řešena Strategií přizpůsobení se změně klimatu v podmínkách ČR.</w:t>
      </w:r>
    </w:p>
    <w:p w14:paraId="754AB962"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Opatření uvedená v investici </w:t>
      </w:r>
      <w:r w:rsidRPr="43DF8A4C">
        <w:rPr>
          <w:rFonts w:asciiTheme="minorHAnsi" w:eastAsiaTheme="minorEastAsia" w:hAnsiTheme="minorHAnsi" w:cstheme="minorBidi"/>
          <w:i w:val="0"/>
          <w:iCs w:val="0"/>
          <w:color w:val="auto"/>
          <w:sz w:val="20"/>
          <w:szCs w:val="20"/>
          <w:u w:val="single"/>
        </w:rPr>
        <w:t>Hospodaření se srážkovými vodami v </w:t>
      </w:r>
      <w:proofErr w:type="spellStart"/>
      <w:r w:rsidRPr="43DF8A4C">
        <w:rPr>
          <w:rFonts w:asciiTheme="minorHAnsi" w:eastAsiaTheme="minorEastAsia" w:hAnsiTheme="minorHAnsi" w:cstheme="minorBidi"/>
          <w:i w:val="0"/>
          <w:iCs w:val="0"/>
          <w:color w:val="auto"/>
          <w:sz w:val="20"/>
          <w:szCs w:val="20"/>
          <w:u w:val="single"/>
        </w:rPr>
        <w:t>intravilánu</w:t>
      </w:r>
      <w:proofErr w:type="spellEnd"/>
      <w:r w:rsidRPr="43DF8A4C">
        <w:rPr>
          <w:rFonts w:asciiTheme="minorHAnsi" w:eastAsiaTheme="minorEastAsia" w:hAnsiTheme="minorHAnsi" w:cstheme="minorBidi"/>
          <w:i w:val="0"/>
          <w:iCs w:val="0"/>
          <w:color w:val="auto"/>
          <w:sz w:val="20"/>
          <w:szCs w:val="20"/>
        </w:rPr>
        <w:t xml:space="preserve"> jsou klíčová pro boj se suchem a nedostatkem vody a vychází z dokumentu Koncepce ochrany před následky sucha pro území České republiky a Národního akčního plánu Adaptace na změnu klimatu.</w:t>
      </w:r>
    </w:p>
    <w:p w14:paraId="2257C4C9"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Z ekosystémového hlediska je potřebné v rámci adaptace na změnu klimatu upřednostňovat široce diverzifikovaná, přírodě blízká opatření ke zpomalení odtoku srážkové vody z krajiny, zlepšení infiltrace vody do podzemních kolektorů i k omezení negativních dopadů zvýšeného výskytu extrémních klimatických jevů. Jedná se např. o obnovu hydrologického režimu v minulosti odvodněných rašelinišť a jiných mokřadů, revitalizace upravených vodních toků, obnovu a tvorbu tůní aj. V případě mokřadů (a zejména rašelinišť) je z hlediska adaptace na změnu klimatu významný rovněž fakt, že se jedná o velmi efektivní a dlouhodobé kolektory uhlíku, a jejich obnova tak není jen následnou reakcí na probíhající změnu, ale přispívá zároveň přímo i k jejímu omezení nebo zpomalení.</w:t>
      </w:r>
    </w:p>
    <w:p w14:paraId="69C94285"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 xml:space="preserve">Kromě adaptačních opatření v krajině obecně je nezbytné se specificky věnovat vodním tokům a dopadům změny klimatu na jejich biologickou složku. Předpokládané výrazné změny v množství a intenzitách průtoků vody v tocích, teplotní změny aj. mohou mít zásadní vliv na složení rybích společenstev i dalších organismů v tocích, což kromě dopadů na strukturu a funkci ekosystémů může přinést i dopady socioekonomické. Jedním z opatření umožňujících omezit tato rizika je obnova </w:t>
      </w:r>
      <w:proofErr w:type="spellStart"/>
      <w:r w:rsidRPr="43DF8A4C">
        <w:rPr>
          <w:rFonts w:asciiTheme="minorHAnsi" w:eastAsiaTheme="minorEastAsia" w:hAnsiTheme="minorHAnsi" w:cstheme="minorBidi"/>
          <w:color w:val="auto"/>
          <w:sz w:val="20"/>
          <w:szCs w:val="20"/>
        </w:rPr>
        <w:t>hydromorfologického</w:t>
      </w:r>
      <w:proofErr w:type="spellEnd"/>
      <w:r w:rsidRPr="43DF8A4C">
        <w:rPr>
          <w:rFonts w:asciiTheme="minorHAnsi" w:eastAsiaTheme="minorEastAsia" w:hAnsiTheme="minorHAnsi" w:cstheme="minorBidi"/>
          <w:color w:val="auto"/>
          <w:sz w:val="20"/>
          <w:szCs w:val="20"/>
        </w:rPr>
        <w:t xml:space="preserve"> kontinua toků (výstavbou rybích přechodů, odstraňováním nadbytečných technických překážek na tocích atp.). </w:t>
      </w:r>
    </w:p>
    <w:p w14:paraId="559F0AEC" w14:textId="5588F402"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K adaptaci nelesních ekosystémů a zejména v dnešní krajině vzácných či ohrožených typů společenstev (která však mohou být významná z hlediska ekosystémových služeb apod.) je nezbytné zajistit zachování nebo obnovu dostatečné plochy přírodních a přírodě blízkých společenstev v celém jejich spektru</w:t>
      </w:r>
      <w:r w:rsidR="00111C2C">
        <w:rPr>
          <w:rFonts w:asciiTheme="minorHAnsi" w:eastAsiaTheme="minorEastAsia" w:hAnsiTheme="minorHAnsi" w:cstheme="minorBidi"/>
          <w:color w:val="auto"/>
          <w:sz w:val="20"/>
          <w:szCs w:val="20"/>
        </w:rPr>
        <w:t>,</w:t>
      </w:r>
      <w:r w:rsidRPr="43DF8A4C">
        <w:rPr>
          <w:rFonts w:asciiTheme="minorHAnsi" w:eastAsiaTheme="minorEastAsia" w:hAnsiTheme="minorHAnsi" w:cstheme="minorBidi"/>
          <w:color w:val="auto"/>
          <w:sz w:val="20"/>
          <w:szCs w:val="20"/>
        </w:rPr>
        <w:t xml:space="preserve"> a to v určitém zastoupení i v jinak zkulturněné krajině. Zásadní je zvýšit zastoupení trvalé zeleně v krajině, zejména dřevin, a celkově zjemnit zrno krajinné mozaiky. Je zásadní zachovat drobné krajinné prvky v zemědělské či industriální krajině a další doplňovat nejlépe obnovou dříve zaniklých. Pozornost musí být věnována také šíření invazních druhů, které mohou nejen ohrožovat přírodní a přírodě blízká společenstva a druhy, ale v podmínkách ovlivněných změnou klimatu mohou představovat ohrožující faktor jak pro přírodu obecně, tak i pro možnost efektivního hospodářského využívání krajiny – je tedy nezbytné zajistit opatření k systémové eradikaci nebo alespoň dlouhodobé kontrole nejvýznamnějších invazních druhů. Kumulaci vlivu klimatických změna a antropogenních zásahů v krajině na živočišnou složku je možné z části omezit zajištěním migrační prostupnosti překážek v krajině.</w:t>
      </w:r>
    </w:p>
    <w:p w14:paraId="645F18A8" w14:textId="77777777" w:rsidR="00F17AAA" w:rsidRPr="00CB1019" w:rsidRDefault="009F230F" w:rsidP="43DF8A4C">
      <w:pPr>
        <w:pBdr>
          <w:top w:val="none" w:sz="4" w:space="0" w:color="000000"/>
          <w:left w:val="none" w:sz="4" w:space="0" w:color="000000"/>
          <w:bottom w:val="none" w:sz="4" w:space="0" w:color="000000"/>
          <w:right w:val="none" w:sz="4" w:space="0" w:color="000000"/>
        </w:pBdr>
        <w:spacing w:after="12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Adaptační opatření v lesích České republiky v souvislosti s postupující změnou klimatických podmínek lze shrnout do následujících okruhů: zvýšení druhové, věkové, prostorové a genetické diverzity lesních ekosystémů, uplatnění přírodě bližších způsobů hospodaření a eliminace tlaku zvěře a omezení dalších stresorů zhoršujících důsledky klimatické změny, jako je např. vyloučení nevhodných zásahů do vodního režimu (zvyšovat retenční schopnost krajiny), péče o fyzikální a chemické vlastnosti lesních půd či omezení mechanického poškozování porostů, zejména těžebními a transportními technologiemi.</w:t>
      </w:r>
    </w:p>
    <w:p w14:paraId="218B919E"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Investice </w:t>
      </w:r>
      <w:hyperlink r:id="rId21">
        <w:r w:rsidRPr="43DF8A4C">
          <w:rPr>
            <w:rFonts w:asciiTheme="minorHAnsi" w:eastAsiaTheme="minorEastAsia" w:hAnsiTheme="minorHAnsi" w:cstheme="minorBidi"/>
            <w:i w:val="0"/>
            <w:iCs w:val="0"/>
            <w:color w:val="auto"/>
            <w:sz w:val="20"/>
            <w:szCs w:val="20"/>
            <w:u w:val="single"/>
          </w:rPr>
          <w:t>Zajistit</w:t>
        </w:r>
      </w:hyperlink>
      <w:r w:rsidRPr="43DF8A4C">
        <w:rPr>
          <w:rFonts w:asciiTheme="minorHAnsi" w:eastAsiaTheme="minorEastAsia" w:hAnsiTheme="minorHAnsi" w:cstheme="minorBidi"/>
          <w:i w:val="0"/>
          <w:iCs w:val="0"/>
          <w:color w:val="auto"/>
          <w:sz w:val="20"/>
          <w:szCs w:val="20"/>
          <w:u w:val="single"/>
        </w:rPr>
        <w:t xml:space="preserve"> </w:t>
      </w:r>
      <w:r w:rsidR="00D60F3E" w:rsidRPr="43DF8A4C">
        <w:rPr>
          <w:rFonts w:asciiTheme="minorHAnsi" w:eastAsiaTheme="minorEastAsia" w:hAnsiTheme="minorHAnsi" w:cstheme="minorBidi"/>
          <w:i w:val="0"/>
          <w:iCs w:val="0"/>
          <w:color w:val="auto"/>
          <w:sz w:val="20"/>
          <w:szCs w:val="20"/>
          <w:u w:val="single"/>
        </w:rPr>
        <w:t xml:space="preserve">ochranu před suchem a </w:t>
      </w:r>
      <w:r w:rsidRPr="43DF8A4C">
        <w:rPr>
          <w:rFonts w:asciiTheme="minorHAnsi" w:eastAsiaTheme="minorEastAsia" w:hAnsiTheme="minorHAnsi" w:cstheme="minorBidi"/>
          <w:i w:val="0"/>
          <w:iCs w:val="0"/>
          <w:color w:val="auto"/>
          <w:sz w:val="20"/>
          <w:szCs w:val="20"/>
          <w:u w:val="single"/>
        </w:rPr>
        <w:t xml:space="preserve">přírodě blízkou povodňovou ochranu </w:t>
      </w:r>
      <w:proofErr w:type="spellStart"/>
      <w:r w:rsidRPr="43DF8A4C">
        <w:rPr>
          <w:rFonts w:asciiTheme="minorHAnsi" w:eastAsiaTheme="minorEastAsia" w:hAnsiTheme="minorHAnsi" w:cstheme="minorBidi"/>
          <w:i w:val="0"/>
          <w:iCs w:val="0"/>
          <w:color w:val="auto"/>
          <w:sz w:val="20"/>
          <w:szCs w:val="20"/>
          <w:u w:val="single"/>
        </w:rPr>
        <w:t>intravilánu</w:t>
      </w:r>
      <w:proofErr w:type="spellEnd"/>
      <w:r w:rsidRPr="43DF8A4C">
        <w:rPr>
          <w:rFonts w:asciiTheme="minorHAnsi" w:eastAsiaTheme="minorEastAsia" w:hAnsiTheme="minorHAnsi" w:cstheme="minorBidi"/>
          <w:i w:val="0"/>
          <w:iCs w:val="0"/>
          <w:color w:val="auto"/>
          <w:sz w:val="20"/>
          <w:szCs w:val="20"/>
          <w:u w:val="single"/>
        </w:rPr>
        <w:t xml:space="preserve"> města Brna</w:t>
      </w:r>
      <w:r w:rsidRPr="43DF8A4C">
        <w:rPr>
          <w:rFonts w:asciiTheme="minorHAnsi" w:eastAsiaTheme="minorEastAsia" w:hAnsiTheme="minorHAnsi" w:cstheme="minorBidi"/>
          <w:i w:val="0"/>
          <w:iCs w:val="0"/>
          <w:color w:val="auto"/>
          <w:sz w:val="20"/>
          <w:szCs w:val="20"/>
        </w:rPr>
        <w:t> byla v rámci metodiky Přílohy 6 Nařízení k RRF posouzena a vzhledem ke komplexnímu charakteru projektu s využitím zejména přírodě blízkých opatření</w:t>
      </w:r>
      <w:r w:rsidR="00D60F3E" w:rsidRPr="43DF8A4C">
        <w:rPr>
          <w:rFonts w:asciiTheme="minorHAnsi" w:eastAsiaTheme="minorEastAsia" w:hAnsiTheme="minorHAnsi" w:cstheme="minorBidi"/>
          <w:i w:val="0"/>
          <w:iCs w:val="0"/>
          <w:color w:val="auto"/>
          <w:sz w:val="20"/>
          <w:szCs w:val="20"/>
        </w:rPr>
        <w:t xml:space="preserve"> ke snížení povodňových rizik</w:t>
      </w:r>
      <w:r w:rsidRPr="43DF8A4C">
        <w:rPr>
          <w:rFonts w:asciiTheme="minorHAnsi" w:eastAsiaTheme="minorEastAsia" w:hAnsiTheme="minorHAnsi" w:cstheme="minorBidi"/>
          <w:i w:val="0"/>
          <w:iCs w:val="0"/>
          <w:color w:val="auto"/>
          <w:sz w:val="20"/>
          <w:szCs w:val="20"/>
        </w:rPr>
        <w:t> </w:t>
      </w:r>
      <w:r w:rsidR="00D60F3E" w:rsidRPr="43DF8A4C">
        <w:rPr>
          <w:rFonts w:asciiTheme="minorHAnsi" w:eastAsiaTheme="minorEastAsia" w:hAnsiTheme="minorHAnsi" w:cstheme="minorBidi"/>
          <w:i w:val="0"/>
          <w:iCs w:val="0"/>
          <w:color w:val="auto"/>
          <w:sz w:val="20"/>
          <w:szCs w:val="20"/>
        </w:rPr>
        <w:t xml:space="preserve">byla </w:t>
      </w:r>
      <w:r w:rsidRPr="43DF8A4C">
        <w:rPr>
          <w:rFonts w:asciiTheme="minorHAnsi" w:eastAsiaTheme="minorEastAsia" w:hAnsiTheme="minorHAnsi" w:cstheme="minorBidi"/>
          <w:i w:val="0"/>
          <w:iCs w:val="0"/>
          <w:color w:val="auto"/>
          <w:sz w:val="20"/>
          <w:szCs w:val="20"/>
        </w:rPr>
        <w:t>přiřazena k oblasti intervence:</w:t>
      </w:r>
    </w:p>
    <w:p w14:paraId="65DBED7B" w14:textId="77777777" w:rsidR="00F17AAA" w:rsidRPr="00CB1019" w:rsidRDefault="009F230F" w:rsidP="43DF8A4C">
      <w:pPr>
        <w:pStyle w:val="K-TextInfo"/>
        <w:numPr>
          <w:ilvl w:val="0"/>
          <w:numId w:val="18"/>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035 Opatření pro přizpůsobování se změně klimatu, předcházení rizikům a řízení rizik souvisejících s oblastí klimatu: povodně (včetně zvyšování povědomí, civilní ochrany a systémů a infrastruktur řízení katastrof). </w:t>
      </w:r>
    </w:p>
    <w:p w14:paraId="53128261" w14:textId="77777777" w:rsidR="00F17AAA" w:rsidRPr="00CB1019" w:rsidRDefault="00F17AAA" w:rsidP="43DF8A4C">
      <w:pPr>
        <w:pStyle w:val="K-TextInfo"/>
        <w:pBdr>
          <w:top w:val="none" w:sz="4" w:space="0" w:color="000000"/>
          <w:left w:val="none" w:sz="4" w:space="0" w:color="000000"/>
          <w:bottom w:val="none" w:sz="4" w:space="0" w:color="000000"/>
          <w:right w:val="none" w:sz="4" w:space="0" w:color="000000"/>
        </w:pBdr>
        <w:ind w:left="720"/>
        <w:rPr>
          <w:rFonts w:asciiTheme="minorHAnsi" w:eastAsiaTheme="minorEastAsia" w:hAnsiTheme="minorHAnsi" w:cstheme="minorBidi"/>
          <w:i w:val="0"/>
          <w:iCs w:val="0"/>
          <w:color w:val="auto"/>
          <w:sz w:val="20"/>
          <w:szCs w:val="20"/>
        </w:rPr>
      </w:pPr>
    </w:p>
    <w:p w14:paraId="68B71972"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Investice </w:t>
      </w:r>
      <w:r w:rsidRPr="43DF8A4C">
        <w:rPr>
          <w:rFonts w:asciiTheme="minorHAnsi" w:eastAsiaTheme="minorEastAsia" w:hAnsiTheme="minorHAnsi" w:cstheme="minorBidi"/>
          <w:i w:val="0"/>
          <w:iCs w:val="0"/>
          <w:color w:val="auto"/>
          <w:sz w:val="20"/>
          <w:szCs w:val="20"/>
          <w:u w:val="single"/>
        </w:rPr>
        <w:t>Hospodaření se srážkovými vodami v </w:t>
      </w:r>
      <w:proofErr w:type="spellStart"/>
      <w:r w:rsidRPr="43DF8A4C">
        <w:rPr>
          <w:rFonts w:asciiTheme="minorHAnsi" w:eastAsiaTheme="minorEastAsia" w:hAnsiTheme="minorHAnsi" w:cstheme="minorBidi"/>
          <w:i w:val="0"/>
          <w:iCs w:val="0"/>
          <w:color w:val="auto"/>
          <w:sz w:val="20"/>
          <w:szCs w:val="20"/>
          <w:u w:val="single"/>
        </w:rPr>
        <w:t>intravilánu</w:t>
      </w:r>
      <w:proofErr w:type="spellEnd"/>
      <w:r w:rsidRPr="43DF8A4C">
        <w:rPr>
          <w:rFonts w:asciiTheme="minorHAnsi" w:eastAsiaTheme="minorEastAsia" w:hAnsiTheme="minorHAnsi" w:cstheme="minorBidi"/>
          <w:i w:val="0"/>
          <w:iCs w:val="0"/>
          <w:color w:val="auto"/>
          <w:sz w:val="20"/>
          <w:szCs w:val="20"/>
        </w:rPr>
        <w:t xml:space="preserve"> byla v rámci metodiky Přílohy 6 Nařízení k RRF posouzena s možností přiřazení k oblasti intervence: </w:t>
      </w:r>
    </w:p>
    <w:p w14:paraId="342483A3" w14:textId="77777777" w:rsidR="00F17AAA" w:rsidRPr="00CB1019" w:rsidRDefault="009F230F" w:rsidP="43DF8A4C">
      <w:pPr>
        <w:pStyle w:val="K-TextInfo"/>
        <w:numPr>
          <w:ilvl w:val="0"/>
          <w:numId w:val="19"/>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037 Opatření pro přizpůsobování se změně klimatu, předcházení rizikům a řízení rizik souvisejících s oblastí klimatu: jiné, např. bouře a sucha (včetně zvyšování povědomí, civilní ochrany a systémů a infrastruktur řízení katastrof). </w:t>
      </w:r>
    </w:p>
    <w:p w14:paraId="74E2F888" w14:textId="46511342" w:rsidR="00F17AAA" w:rsidRPr="00CB1019" w:rsidRDefault="009F230F" w:rsidP="13388955">
      <w:pPr>
        <w:pStyle w:val="K-TextInfo"/>
        <w:numPr>
          <w:ilvl w:val="0"/>
          <w:numId w:val="19"/>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13388955">
        <w:rPr>
          <w:rFonts w:asciiTheme="minorHAnsi" w:eastAsiaTheme="minorEastAsia" w:hAnsiTheme="minorHAnsi" w:cstheme="minorBidi"/>
          <w:i w:val="0"/>
          <w:iCs w:val="0"/>
          <w:color w:val="auto"/>
          <w:sz w:val="20"/>
          <w:szCs w:val="20"/>
        </w:rPr>
        <w:t>040 Hospodaření s vodou a ochrana vodních zdrojů (včetně správy povodí, zvláštních opatření pro přizpůsobování se změně klimatu, opětovného využívání a snižování úniků)</w:t>
      </w:r>
    </w:p>
    <w:p w14:paraId="27556F67"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lastRenderedPageBreak/>
        <w:t xml:space="preserve"> Vzhledem k charakteru investic, které mají charakter jednotlivých adaptačních projektů a nakládání se srážkovými vodami nekomplexního rázu je </w:t>
      </w:r>
      <w:r w:rsidRPr="43DF8A4C">
        <w:rPr>
          <w:rFonts w:asciiTheme="minorHAnsi" w:eastAsiaTheme="minorEastAsia" w:hAnsiTheme="minorHAnsi" w:cstheme="minorBidi"/>
          <w:b/>
          <w:bCs/>
          <w:i w:val="0"/>
          <w:iCs w:val="0"/>
          <w:color w:val="auto"/>
          <w:sz w:val="20"/>
          <w:szCs w:val="20"/>
        </w:rPr>
        <w:t>zvolena intervenční oblast 040</w:t>
      </w:r>
      <w:r w:rsidRPr="43DF8A4C">
        <w:rPr>
          <w:rFonts w:asciiTheme="minorHAnsi" w:eastAsiaTheme="minorEastAsia" w:hAnsiTheme="minorHAnsi" w:cstheme="minorBidi"/>
          <w:i w:val="0"/>
          <w:iCs w:val="0"/>
          <w:color w:val="auto"/>
          <w:sz w:val="20"/>
          <w:szCs w:val="20"/>
        </w:rPr>
        <w:t>.</w:t>
      </w:r>
    </w:p>
    <w:p w14:paraId="62486C05" w14:textId="77777777" w:rsidR="00A75363" w:rsidRPr="00CB1019" w:rsidRDefault="00A75363"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p>
    <w:p w14:paraId="64F67C6B"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Investice </w:t>
      </w:r>
      <w:r w:rsidRPr="43DF8A4C">
        <w:rPr>
          <w:rFonts w:asciiTheme="minorHAnsi" w:eastAsiaTheme="minorEastAsia" w:hAnsiTheme="minorHAnsi" w:cstheme="minorBidi"/>
          <w:i w:val="0"/>
          <w:iCs w:val="0"/>
          <w:color w:val="auto"/>
          <w:sz w:val="20"/>
          <w:szCs w:val="20"/>
          <w:u w:val="single"/>
        </w:rPr>
        <w:t>Péče o zvláště chráněná území a území soustavy Natura 2000 a péče o zvláště chráněné druhy rostlin a živočichů</w:t>
      </w:r>
      <w:r w:rsidRPr="43DF8A4C">
        <w:rPr>
          <w:rFonts w:asciiTheme="minorHAnsi" w:eastAsiaTheme="minorEastAsia" w:hAnsiTheme="minorHAnsi" w:cstheme="minorBidi"/>
          <w:b/>
          <w:bCs/>
          <w:color w:val="auto"/>
          <w:sz w:val="20"/>
          <w:szCs w:val="20"/>
        </w:rPr>
        <w:t xml:space="preserve"> </w:t>
      </w:r>
      <w:r w:rsidRPr="43DF8A4C">
        <w:rPr>
          <w:rFonts w:asciiTheme="minorHAnsi" w:eastAsiaTheme="minorEastAsia" w:hAnsiTheme="minorHAnsi" w:cstheme="minorBidi"/>
          <w:i w:val="0"/>
          <w:iCs w:val="0"/>
          <w:color w:val="auto"/>
          <w:sz w:val="20"/>
          <w:szCs w:val="20"/>
        </w:rPr>
        <w:t>byla v rámci metodiky Přílohy 6 Nařízení k RRF posouzena s možností přiřazení k oblasti intervence:</w:t>
      </w:r>
    </w:p>
    <w:p w14:paraId="654C4A86" w14:textId="77777777" w:rsidR="00F17AAA" w:rsidRPr="00CB1019" w:rsidRDefault="009F230F" w:rsidP="43DF8A4C">
      <w:pPr>
        <w:pStyle w:val="K-TextInfo"/>
        <w:numPr>
          <w:ilvl w:val="0"/>
          <w:numId w:val="20"/>
        </w:numPr>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050 Ochrana přírody a biologické rozmanitosti, přírodní dědictví a zdroje, zelená a modrá infrastruktura</w:t>
      </w:r>
    </w:p>
    <w:p w14:paraId="4101652C" w14:textId="77777777" w:rsidR="00F17AAA" w:rsidRPr="00CB1019" w:rsidRDefault="00F17AAA"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p>
    <w:p w14:paraId="1B549DDC" w14:textId="77777777" w:rsidR="00F17AAA" w:rsidRPr="00CB1019" w:rsidRDefault="009F230F" w:rsidP="43DF8A4C">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Investice </w:t>
      </w:r>
      <w:r w:rsidRPr="43DF8A4C">
        <w:rPr>
          <w:rFonts w:asciiTheme="minorHAnsi" w:eastAsiaTheme="minorEastAsia" w:hAnsiTheme="minorHAnsi" w:cstheme="minorBidi"/>
          <w:i w:val="0"/>
          <w:iCs w:val="0"/>
          <w:color w:val="auto"/>
          <w:sz w:val="20"/>
          <w:szCs w:val="20"/>
          <w:u w:val="single"/>
        </w:rPr>
        <w:t>Adaptace vodních, nelesních a lesních ekosystémů na změnu klimatu</w:t>
      </w:r>
      <w:r w:rsidRPr="43DF8A4C">
        <w:rPr>
          <w:rFonts w:asciiTheme="minorHAnsi" w:eastAsiaTheme="minorEastAsia" w:hAnsiTheme="minorHAnsi" w:cstheme="minorBidi"/>
          <w:i w:val="0"/>
          <w:iCs w:val="0"/>
          <w:color w:val="auto"/>
          <w:sz w:val="20"/>
          <w:szCs w:val="20"/>
        </w:rPr>
        <w:t xml:space="preserve"> byla v rámci metodiky Přílohy 6 Nařízení k RRF posouzena s možností přiřazení k oblasti intervence:</w:t>
      </w:r>
    </w:p>
    <w:p w14:paraId="56E7D93C" w14:textId="1D093820" w:rsidR="09DF6403" w:rsidRDefault="09DF6403" w:rsidP="13388955">
      <w:pPr>
        <w:pStyle w:val="K-TextInfo"/>
        <w:numPr>
          <w:ilvl w:val="0"/>
          <w:numId w:val="21"/>
        </w:numPr>
        <w:rPr>
          <w:rFonts w:asciiTheme="minorHAnsi" w:eastAsiaTheme="minorEastAsia" w:hAnsiTheme="minorHAnsi" w:cstheme="minorBidi"/>
          <w:i w:val="0"/>
          <w:iCs w:val="0"/>
          <w:color w:val="auto"/>
          <w:sz w:val="20"/>
          <w:szCs w:val="20"/>
        </w:rPr>
      </w:pPr>
      <w:r w:rsidRPr="13388955">
        <w:rPr>
          <w:rFonts w:asciiTheme="minorHAnsi" w:eastAsiaTheme="minorEastAsia" w:hAnsiTheme="minorHAnsi" w:cstheme="minorBidi"/>
          <w:i w:val="0"/>
          <w:iCs w:val="0"/>
          <w:color w:val="auto"/>
          <w:sz w:val="20"/>
          <w:szCs w:val="20"/>
        </w:rPr>
        <w:t xml:space="preserve">050 Ochrana přírody a biologické rozmanitosti, přírodní dědictví a zdroje, zelená a modrá infrastruktura </w:t>
      </w:r>
    </w:p>
    <w:p w14:paraId="656B752D" w14:textId="2AB0D14A" w:rsidR="00F17AAA" w:rsidRPr="00CB1019" w:rsidRDefault="009F230F" w:rsidP="13388955">
      <w:pPr>
        <w:pStyle w:val="K-TextInfo"/>
        <w:pBdr>
          <w:top w:val="none" w:sz="4" w:space="0" w:color="000000"/>
          <w:left w:val="none" w:sz="4" w:space="0" w:color="000000"/>
          <w:bottom w:val="none" w:sz="4" w:space="0" w:color="000000"/>
          <w:right w:val="none" w:sz="4" w:space="0" w:color="000000"/>
        </w:pBdr>
        <w:rPr>
          <w:rFonts w:asciiTheme="minorHAnsi" w:eastAsiaTheme="minorEastAsia" w:hAnsiTheme="minorHAnsi" w:cstheme="minorBidi"/>
          <w:i w:val="0"/>
          <w:iCs w:val="0"/>
          <w:color w:val="auto"/>
          <w:sz w:val="20"/>
          <w:szCs w:val="20"/>
        </w:rPr>
      </w:pPr>
      <w:r w:rsidRPr="13388955">
        <w:rPr>
          <w:rFonts w:asciiTheme="minorHAnsi" w:eastAsiaTheme="minorEastAsia" w:hAnsiTheme="minorHAnsi" w:cstheme="minorBidi"/>
          <w:i w:val="0"/>
          <w:iCs w:val="0"/>
          <w:color w:val="auto"/>
          <w:sz w:val="20"/>
          <w:szCs w:val="20"/>
        </w:rPr>
        <w:t>Tato intervenční oblast je zvolena s ohledem na charakter</w:t>
      </w:r>
      <w:r w:rsidR="7162D82E" w:rsidRPr="13388955">
        <w:rPr>
          <w:rFonts w:asciiTheme="minorHAnsi" w:eastAsiaTheme="minorEastAsia" w:hAnsiTheme="minorHAnsi" w:cstheme="minorBidi"/>
          <w:i w:val="0"/>
          <w:iCs w:val="0"/>
          <w:color w:val="auto"/>
          <w:sz w:val="20"/>
          <w:szCs w:val="20"/>
        </w:rPr>
        <w:t xml:space="preserve"> lokálních projektů a</w:t>
      </w:r>
      <w:r w:rsidRPr="13388955">
        <w:rPr>
          <w:rFonts w:asciiTheme="minorHAnsi" w:eastAsiaTheme="minorEastAsia" w:hAnsiTheme="minorHAnsi" w:cstheme="minorBidi"/>
          <w:i w:val="0"/>
          <w:iCs w:val="0"/>
          <w:color w:val="auto"/>
          <w:sz w:val="20"/>
          <w:szCs w:val="20"/>
        </w:rPr>
        <w:t xml:space="preserve"> přírodě blízkých ekosystémových přístupů zvyšujících odolnost </w:t>
      </w:r>
      <w:proofErr w:type="spellStart"/>
      <w:r w:rsidRPr="13388955">
        <w:rPr>
          <w:rFonts w:asciiTheme="minorHAnsi" w:eastAsiaTheme="minorEastAsia" w:hAnsiTheme="minorHAnsi" w:cstheme="minorBidi"/>
          <w:i w:val="0"/>
          <w:iCs w:val="0"/>
          <w:color w:val="auto"/>
          <w:sz w:val="20"/>
          <w:szCs w:val="20"/>
        </w:rPr>
        <w:t>ekosytémů</w:t>
      </w:r>
      <w:proofErr w:type="spellEnd"/>
      <w:r w:rsidRPr="13388955">
        <w:rPr>
          <w:rFonts w:asciiTheme="minorHAnsi" w:eastAsiaTheme="minorEastAsia" w:hAnsiTheme="minorHAnsi" w:cstheme="minorBidi"/>
          <w:i w:val="0"/>
          <w:iCs w:val="0"/>
          <w:color w:val="auto"/>
          <w:sz w:val="20"/>
          <w:szCs w:val="20"/>
        </w:rPr>
        <w:t xml:space="preserve"> na klimatickou změnu, zejména sucho. </w:t>
      </w:r>
    </w:p>
    <w:p w14:paraId="4B99056E" w14:textId="77777777" w:rsidR="00F17AAA" w:rsidRPr="00CB1019" w:rsidRDefault="00F17AAA" w:rsidP="43DF8A4C">
      <w:pPr>
        <w:pBdr>
          <w:top w:val="none" w:sz="4" w:space="0" w:color="000000"/>
          <w:left w:val="none" w:sz="4" w:space="0" w:color="000000"/>
          <w:bottom w:val="none" w:sz="4" w:space="0" w:color="000000"/>
          <w:right w:val="none" w:sz="4" w:space="0" w:color="000000"/>
        </w:pBdr>
        <w:spacing w:after="0" w:line="240" w:lineRule="auto"/>
        <w:rPr>
          <w:rFonts w:asciiTheme="minorHAnsi" w:eastAsiaTheme="minorEastAsia" w:hAnsiTheme="minorHAnsi" w:cstheme="minorBidi"/>
          <w:color w:val="auto"/>
          <w:sz w:val="20"/>
          <w:szCs w:val="20"/>
        </w:rPr>
      </w:pPr>
    </w:p>
    <w:p w14:paraId="4894D81F" w14:textId="77777777" w:rsidR="00F17AAA" w:rsidRPr="00CB1019" w:rsidRDefault="009F230F" w:rsidP="43DF8A4C">
      <w:pPr>
        <w:pStyle w:val="K-Nadpis2"/>
        <w:pBdr>
          <w:top w:val="none" w:sz="4" w:space="0" w:color="000000"/>
          <w:left w:val="none" w:sz="4" w:space="0" w:color="000000"/>
          <w:bottom w:val="none" w:sz="4" w:space="0" w:color="000000"/>
          <w:right w:val="none" w:sz="4" w:space="0" w:color="000000"/>
        </w:pBdr>
        <w:spacing w:after="240"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7. Digitální rozměr komponenty</w:t>
      </w:r>
    </w:p>
    <w:p w14:paraId="44BE7CA7" w14:textId="5E7ADDDB" w:rsidR="03E9CB86" w:rsidRDefault="03E9CB86" w:rsidP="43DF8A4C">
      <w:pPr>
        <w:spacing w:line="240" w:lineRule="auto"/>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t>Tato kapitola není pro danou komponentu relevantní.</w:t>
      </w:r>
    </w:p>
    <w:p w14:paraId="1299C43A" w14:textId="77777777" w:rsidR="00F17AAA" w:rsidRPr="00CB1019" w:rsidRDefault="00F17AAA" w:rsidP="43DF8A4C">
      <w:pPr>
        <w:pBdr>
          <w:top w:val="none" w:sz="4" w:space="0" w:color="000000"/>
          <w:left w:val="none" w:sz="4" w:space="0" w:color="000000"/>
          <w:bottom w:val="none" w:sz="4" w:space="0" w:color="000000"/>
          <w:right w:val="none" w:sz="4" w:space="0" w:color="000000"/>
        </w:pBdr>
        <w:spacing w:after="0" w:line="240" w:lineRule="auto"/>
        <w:rPr>
          <w:rFonts w:asciiTheme="minorHAnsi" w:eastAsiaTheme="minorEastAsia" w:hAnsiTheme="minorHAnsi" w:cstheme="minorBidi"/>
          <w:color w:val="auto"/>
          <w:sz w:val="20"/>
          <w:szCs w:val="20"/>
        </w:rPr>
      </w:pPr>
    </w:p>
    <w:p w14:paraId="3319DB6B" w14:textId="77777777" w:rsidR="00F17AAA" w:rsidRPr="00CB1019" w:rsidRDefault="009F230F" w:rsidP="43DF8A4C">
      <w:pPr>
        <w:pStyle w:val="K-Nadpis2"/>
        <w:pBdr>
          <w:top w:val="none" w:sz="4" w:space="0" w:color="000000"/>
          <w:left w:val="none" w:sz="4" w:space="0" w:color="000000"/>
          <w:bottom w:val="none" w:sz="4" w:space="0" w:color="000000"/>
          <w:right w:val="none" w:sz="4" w:space="0" w:color="000000"/>
        </w:pBdr>
        <w:spacing w:after="240"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8. Uplatnění zásady „významně nepoškozovat“</w:t>
      </w:r>
    </w:p>
    <w:p w14:paraId="3D2C646D" w14:textId="77777777" w:rsidR="00F17AAA" w:rsidRPr="00CB1019" w:rsidRDefault="009F230F" w:rsidP="43DF8A4C">
      <w:pPr>
        <w:pStyle w:val="K-TextInfo"/>
        <w:rPr>
          <w:rFonts w:asciiTheme="minorHAnsi" w:eastAsiaTheme="minorEastAsia" w:hAnsiTheme="minorHAnsi" w:cstheme="minorBidi"/>
          <w:i w:val="0"/>
          <w:iCs w:val="0"/>
          <w:color w:val="auto"/>
          <w:sz w:val="20"/>
          <w:szCs w:val="20"/>
          <w:u w:val="single"/>
        </w:rPr>
      </w:pPr>
      <w:r w:rsidRPr="43DF8A4C">
        <w:rPr>
          <w:rFonts w:asciiTheme="minorHAnsi" w:eastAsiaTheme="minorEastAsia" w:hAnsiTheme="minorHAnsi" w:cstheme="minorBidi"/>
          <w:i w:val="0"/>
          <w:iCs w:val="0"/>
          <w:color w:val="auto"/>
          <w:sz w:val="20"/>
          <w:szCs w:val="20"/>
          <w:u w:val="single"/>
        </w:rPr>
        <w:t xml:space="preserve">Aktivity na základě provedeného hodnocení v rámci plánovaných investic neporušují princip DNSH.  </w:t>
      </w:r>
    </w:p>
    <w:p w14:paraId="3711FD1A" w14:textId="77777777" w:rsidR="00F17AAA" w:rsidRPr="00CB1019" w:rsidRDefault="009F230F" w:rsidP="43DF8A4C">
      <w:pPr>
        <w:pStyle w:val="K-TextInfo"/>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Podporované projekty jsou zaměřené na oblast </w:t>
      </w:r>
      <w:proofErr w:type="spellStart"/>
      <w:r w:rsidRPr="43DF8A4C">
        <w:rPr>
          <w:rFonts w:asciiTheme="minorHAnsi" w:eastAsiaTheme="minorEastAsia" w:hAnsiTheme="minorHAnsi" w:cstheme="minorBidi"/>
          <w:i w:val="0"/>
          <w:iCs w:val="0"/>
          <w:color w:val="auto"/>
          <w:sz w:val="20"/>
          <w:szCs w:val="20"/>
        </w:rPr>
        <w:t>zprůtočnění</w:t>
      </w:r>
      <w:proofErr w:type="spellEnd"/>
      <w:r w:rsidRPr="43DF8A4C">
        <w:rPr>
          <w:rFonts w:asciiTheme="minorHAnsi" w:eastAsiaTheme="minorEastAsia" w:hAnsiTheme="minorHAnsi" w:cstheme="minorBidi"/>
          <w:i w:val="0"/>
          <w:iCs w:val="0"/>
          <w:color w:val="auto"/>
          <w:sz w:val="20"/>
          <w:szCs w:val="20"/>
        </w:rPr>
        <w:t xml:space="preserve"> nebo zvýšení retenčního potenciálu koryt vodních toků a přilehlých niv, zlepšení přirozených rozlivů a hospodaření se srážkovými vodami v </w:t>
      </w:r>
      <w:proofErr w:type="spellStart"/>
      <w:r w:rsidRPr="43DF8A4C">
        <w:rPr>
          <w:rFonts w:asciiTheme="minorHAnsi" w:eastAsiaTheme="minorEastAsia" w:hAnsiTheme="minorHAnsi" w:cstheme="minorBidi"/>
          <w:i w:val="0"/>
          <w:iCs w:val="0"/>
          <w:color w:val="auto"/>
          <w:sz w:val="20"/>
          <w:szCs w:val="20"/>
        </w:rPr>
        <w:t>intravilánu</w:t>
      </w:r>
      <w:proofErr w:type="spellEnd"/>
      <w:r w:rsidRPr="43DF8A4C">
        <w:rPr>
          <w:rFonts w:asciiTheme="minorHAnsi" w:eastAsiaTheme="minorEastAsia" w:hAnsiTheme="minorHAnsi" w:cstheme="minorBidi"/>
          <w:i w:val="0"/>
          <w:iCs w:val="0"/>
          <w:color w:val="auto"/>
          <w:sz w:val="20"/>
          <w:szCs w:val="20"/>
        </w:rPr>
        <w:t xml:space="preserve">. Dále jsou realizovány projekty zaměřené na ochranu biodiverzity a adaptaci ekosystémů na klimatickou změnu. Investice z pohledu celého životního cyklu nemají předpokládané zásadní negativní dopady na tuto environmentální oblast a nepovedou k významnému zvýšení emisí skleníkových plynů a jsou v souladu s DNSH kritériem </w:t>
      </w:r>
      <w:proofErr w:type="spellStart"/>
      <w:r w:rsidRPr="43DF8A4C">
        <w:rPr>
          <w:rFonts w:asciiTheme="minorHAnsi" w:eastAsiaTheme="minorEastAsia" w:hAnsiTheme="minorHAnsi" w:cstheme="minorBidi"/>
          <w:b/>
          <w:bCs/>
          <w:i w:val="0"/>
          <w:iCs w:val="0"/>
          <w:color w:val="auto"/>
          <w:sz w:val="20"/>
          <w:szCs w:val="20"/>
        </w:rPr>
        <w:t>mitigace</w:t>
      </w:r>
      <w:proofErr w:type="spellEnd"/>
      <w:r w:rsidRPr="43DF8A4C">
        <w:rPr>
          <w:rFonts w:asciiTheme="minorHAnsi" w:eastAsiaTheme="minorEastAsia" w:hAnsiTheme="minorHAnsi" w:cstheme="minorBidi"/>
          <w:i w:val="0"/>
          <w:iCs w:val="0"/>
          <w:color w:val="auto"/>
          <w:sz w:val="20"/>
          <w:szCs w:val="20"/>
        </w:rPr>
        <w:t>.</w:t>
      </w:r>
    </w:p>
    <w:p w14:paraId="21C2A8A3" w14:textId="77777777" w:rsidR="00F17AAA" w:rsidRPr="00CB1019" w:rsidRDefault="009F230F" w:rsidP="43DF8A4C">
      <w:pPr>
        <w:pStyle w:val="K-TextInfo"/>
        <w:shd w:val="clear" w:color="auto" w:fill="FFFFFF" w:themeFill="background1"/>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Investice přímo přispívají k cíli </w:t>
      </w:r>
      <w:r w:rsidRPr="43DF8A4C">
        <w:rPr>
          <w:rFonts w:asciiTheme="minorHAnsi" w:eastAsiaTheme="minorEastAsia" w:hAnsiTheme="minorHAnsi" w:cstheme="minorBidi"/>
          <w:b/>
          <w:bCs/>
          <w:i w:val="0"/>
          <w:iCs w:val="0"/>
          <w:color w:val="auto"/>
          <w:sz w:val="20"/>
          <w:szCs w:val="20"/>
        </w:rPr>
        <w:t xml:space="preserve">adaptace </w:t>
      </w:r>
      <w:r w:rsidRPr="43DF8A4C">
        <w:rPr>
          <w:rFonts w:asciiTheme="minorHAnsi" w:eastAsiaTheme="minorEastAsia" w:hAnsiTheme="minorHAnsi" w:cstheme="minorBidi"/>
          <w:i w:val="0"/>
          <w:iCs w:val="0"/>
          <w:color w:val="auto"/>
          <w:sz w:val="20"/>
          <w:szCs w:val="20"/>
        </w:rPr>
        <w:t>na změnu klimatu. Projekt vztahující se k protipovodňové ochraně a snížení povodňového rizika obsahuje doložení snížení povodňového ohrožení a nezhoršuje povodňové riziko dále po toku. V projektové dokumentaci musí být doložen výpočet snížení povodňového rizika pro ohroženou obec a doložena existence povodňového rizika v ohrožené obci (existence ohrožených objektů a ohrožených obyvatel v obci) a musí být doloženo a popsáno, jak bude realizací opatření sníženo povodňové riziko pro ohroženou obec – např. uvedením snížení počtu ohrožených objektů, uvedením zmenšení plošného rozsahu zaplaveného území (ohrožených objektů) po realizaci opatření a popis snížení povodňového rizika dále po toku. Projekt je v souladu s aktuální platnou metodikou Ministerstva životního prostředí, která stanoví postup při navrhování přírodě blízkých protipovodňových opatření, zveřejněnou na www.povis.cz. Uvedená investice je alespoň obecně obsažena v Plánech pro zvládání povodňových rizik nebo Plánech povodí. Je tak zajištěn soulad se státní politikou plánování v oblasti vod, tvořenou zpracovávanými Plány pro zvládání povodňových rizik a plány dílčích povodí, které zajišťují naplňování směrnice Evropského parlamentu a Rady 2000/60/ES, ustavujícími rámec pro činnost Společenství v oblasti vodní politiky, a 2007/60/ES, o vyhodnocování a zvládání povodňových rizik. Za nezpůsobilé výdaje v rámci SC 1.3 jsou považovány výdaje na stavební práce a dodávky, které přímo nesouvisejí s protipovodňovou funkcí vodního díla (zařízení související s chovem ryb atd.). Oblast investice 2.9.3 a 2.9.4. mají přímý pozitivní vztah k posílení odolnosti a zvýšení adaptačních schopností ekosy</w:t>
      </w:r>
      <w:r w:rsidR="00A75363" w:rsidRPr="43DF8A4C">
        <w:rPr>
          <w:rFonts w:asciiTheme="minorHAnsi" w:eastAsiaTheme="minorEastAsia" w:hAnsiTheme="minorHAnsi" w:cstheme="minorBidi"/>
          <w:i w:val="0"/>
          <w:iCs w:val="0"/>
          <w:color w:val="auto"/>
          <w:sz w:val="20"/>
          <w:szCs w:val="20"/>
        </w:rPr>
        <w:t>s</w:t>
      </w:r>
      <w:r w:rsidRPr="43DF8A4C">
        <w:rPr>
          <w:rFonts w:asciiTheme="minorHAnsi" w:eastAsiaTheme="minorEastAsia" w:hAnsiTheme="minorHAnsi" w:cstheme="minorBidi"/>
          <w:i w:val="0"/>
          <w:iCs w:val="0"/>
          <w:color w:val="auto"/>
          <w:sz w:val="20"/>
          <w:szCs w:val="20"/>
        </w:rPr>
        <w:t>témů, krajiny i druhů na klimatickou změnu.</w:t>
      </w:r>
    </w:p>
    <w:p w14:paraId="04489783" w14:textId="77777777" w:rsidR="00F17AAA" w:rsidRPr="00CB1019" w:rsidRDefault="009F230F" w:rsidP="43DF8A4C">
      <w:pPr>
        <w:pStyle w:val="K-TextInfo"/>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highlight w:val="white"/>
        </w:rPr>
        <w:t>Jsou podpořeny projekty podporující adaptaci a</w:t>
      </w:r>
      <w:r w:rsidRPr="43DF8A4C">
        <w:rPr>
          <w:rFonts w:asciiTheme="minorHAnsi" w:eastAsiaTheme="minorEastAsia" w:hAnsiTheme="minorHAnsi" w:cstheme="minorBidi"/>
          <w:b/>
          <w:bCs/>
          <w:i w:val="0"/>
          <w:iCs w:val="0"/>
          <w:color w:val="auto"/>
          <w:sz w:val="20"/>
          <w:szCs w:val="20"/>
          <w:highlight w:val="white"/>
        </w:rPr>
        <w:t xml:space="preserve"> udržitelné využívání vodních zdrojů</w:t>
      </w:r>
      <w:r w:rsidRPr="43DF8A4C">
        <w:rPr>
          <w:rFonts w:asciiTheme="minorHAnsi" w:eastAsiaTheme="minorEastAsia" w:hAnsiTheme="minorHAnsi" w:cstheme="minorBidi"/>
          <w:i w:val="0"/>
          <w:iCs w:val="0"/>
          <w:color w:val="auto"/>
          <w:sz w:val="20"/>
          <w:szCs w:val="20"/>
          <w:highlight w:val="white"/>
        </w:rPr>
        <w:t>. So</w:t>
      </w:r>
      <w:r w:rsidRPr="43DF8A4C">
        <w:rPr>
          <w:rFonts w:asciiTheme="minorHAnsi" w:eastAsiaTheme="minorEastAsia" w:hAnsiTheme="minorHAnsi" w:cstheme="minorBidi"/>
          <w:i w:val="0"/>
          <w:iCs w:val="0"/>
          <w:color w:val="auto"/>
          <w:sz w:val="20"/>
          <w:szCs w:val="20"/>
        </w:rPr>
        <w:t>ulad se státní politikou plánování v oblasti vod, tvořenou zpracovaným zpr</w:t>
      </w:r>
      <w:r w:rsidR="00A75363" w:rsidRPr="43DF8A4C">
        <w:rPr>
          <w:rFonts w:asciiTheme="minorHAnsi" w:eastAsiaTheme="minorEastAsia" w:hAnsiTheme="minorHAnsi" w:cstheme="minorBidi"/>
          <w:i w:val="0"/>
          <w:iCs w:val="0"/>
          <w:color w:val="auto"/>
          <w:sz w:val="20"/>
          <w:szCs w:val="20"/>
        </w:rPr>
        <w:t>acovanými Plány pro zvládání po</w:t>
      </w:r>
      <w:r w:rsidRPr="43DF8A4C">
        <w:rPr>
          <w:rFonts w:asciiTheme="minorHAnsi" w:eastAsiaTheme="minorEastAsia" w:hAnsiTheme="minorHAnsi" w:cstheme="minorBidi"/>
          <w:i w:val="0"/>
          <w:iCs w:val="0"/>
          <w:color w:val="auto"/>
          <w:sz w:val="20"/>
          <w:szCs w:val="20"/>
        </w:rPr>
        <w:t xml:space="preserve">vodňových rizik a plány dílčích povodí.  Soulad se směrnicemi Evropského parlamentu a Rady 2000/60/ES, ustavujícími rámec pro činnost Společenství v oblasti vodní politiky, a 2007/60/ES, o vyhodnocování a zvládání povodňových rizik. Záměr je vhodně navržen, nemá významné nedostatky technického řešení omezující příznivé efekty, kterých by bylo možné v daných podmínkách dosáhnout (např. nevhodný způsob řešení hospodaření se srážkovými vodami pro danou lokalitu a podmínky). Oblast investic 2.9.3 a 2.9.4. nemají očekávaný negativní dopad na vodní režim a kvalitu vod a lze věrohodně očekávat dopad pozitivní, což odpovídá </w:t>
      </w:r>
      <w:proofErr w:type="gramStart"/>
      <w:r w:rsidRPr="43DF8A4C">
        <w:rPr>
          <w:rFonts w:asciiTheme="minorHAnsi" w:eastAsiaTheme="minorEastAsia" w:hAnsiTheme="minorHAnsi" w:cstheme="minorBidi"/>
          <w:i w:val="0"/>
          <w:iCs w:val="0"/>
          <w:color w:val="auto"/>
          <w:sz w:val="20"/>
          <w:szCs w:val="20"/>
        </w:rPr>
        <w:t>100%</w:t>
      </w:r>
      <w:proofErr w:type="gramEnd"/>
      <w:r w:rsidRPr="43DF8A4C">
        <w:rPr>
          <w:rFonts w:asciiTheme="minorHAnsi" w:eastAsiaTheme="minorEastAsia" w:hAnsiTheme="minorHAnsi" w:cstheme="minorBidi"/>
          <w:i w:val="0"/>
          <w:iCs w:val="0"/>
          <w:color w:val="auto"/>
          <w:sz w:val="20"/>
          <w:szCs w:val="20"/>
        </w:rPr>
        <w:t xml:space="preserve"> environmentálnímu </w:t>
      </w:r>
      <w:proofErr w:type="spellStart"/>
      <w:r w:rsidRPr="43DF8A4C">
        <w:rPr>
          <w:rFonts w:asciiTheme="minorHAnsi" w:eastAsiaTheme="minorEastAsia" w:hAnsiTheme="minorHAnsi" w:cstheme="minorBidi"/>
          <w:i w:val="0"/>
          <w:iCs w:val="0"/>
          <w:color w:val="auto"/>
          <w:sz w:val="20"/>
          <w:szCs w:val="20"/>
        </w:rPr>
        <w:t>tagu</w:t>
      </w:r>
      <w:proofErr w:type="spellEnd"/>
      <w:r w:rsidRPr="43DF8A4C">
        <w:rPr>
          <w:rFonts w:asciiTheme="minorHAnsi" w:eastAsiaTheme="minorEastAsia" w:hAnsiTheme="minorHAnsi" w:cstheme="minorBidi"/>
          <w:i w:val="0"/>
          <w:iCs w:val="0"/>
          <w:color w:val="auto"/>
          <w:sz w:val="20"/>
          <w:szCs w:val="20"/>
        </w:rPr>
        <w:t xml:space="preserve">. Detailní hodnocení a podmínky jsou součástí přílohy </w:t>
      </w:r>
      <w:proofErr w:type="gramStart"/>
      <w:r w:rsidRPr="43DF8A4C">
        <w:rPr>
          <w:rFonts w:asciiTheme="minorHAnsi" w:eastAsiaTheme="minorEastAsia" w:hAnsiTheme="minorHAnsi" w:cstheme="minorBidi"/>
          <w:i w:val="0"/>
          <w:iCs w:val="0"/>
          <w:color w:val="auto"/>
          <w:sz w:val="20"/>
          <w:szCs w:val="20"/>
        </w:rPr>
        <w:t>Excel - části</w:t>
      </w:r>
      <w:proofErr w:type="gramEnd"/>
      <w:r w:rsidRPr="43DF8A4C">
        <w:rPr>
          <w:rFonts w:asciiTheme="minorHAnsi" w:eastAsiaTheme="minorEastAsia" w:hAnsiTheme="minorHAnsi" w:cstheme="minorBidi"/>
          <w:i w:val="0"/>
          <w:iCs w:val="0"/>
          <w:color w:val="auto"/>
          <w:sz w:val="20"/>
          <w:szCs w:val="20"/>
        </w:rPr>
        <w:t xml:space="preserve"> hodnocení DNSH.</w:t>
      </w:r>
    </w:p>
    <w:p w14:paraId="1CB58D4F" w14:textId="6BC743D1" w:rsidR="00F17AAA" w:rsidRPr="00CB1019" w:rsidRDefault="009F230F" w:rsidP="43DF8A4C">
      <w:pPr>
        <w:pStyle w:val="K-TextInfo"/>
        <w:rPr>
          <w:rFonts w:asciiTheme="minorHAnsi" w:eastAsiaTheme="minorEastAsia" w:hAnsiTheme="minorHAnsi" w:cstheme="minorBidi"/>
          <w:i w:val="0"/>
          <w:iCs w:val="0"/>
          <w:color w:val="auto"/>
          <w:sz w:val="20"/>
          <w:szCs w:val="20"/>
          <w:highlight w:val="yellow"/>
        </w:rPr>
      </w:pPr>
      <w:r w:rsidRPr="43DF8A4C">
        <w:rPr>
          <w:rFonts w:asciiTheme="minorHAnsi" w:eastAsiaTheme="minorEastAsia" w:hAnsiTheme="minorHAnsi" w:cstheme="minorBidi"/>
          <w:i w:val="0"/>
          <w:iCs w:val="0"/>
          <w:color w:val="auto"/>
          <w:sz w:val="20"/>
          <w:szCs w:val="20"/>
        </w:rPr>
        <w:lastRenderedPageBreak/>
        <w:t xml:space="preserve">Podporované projekty jsou zaměřené na oblast </w:t>
      </w:r>
      <w:proofErr w:type="spellStart"/>
      <w:r w:rsidRPr="43DF8A4C">
        <w:rPr>
          <w:rFonts w:asciiTheme="minorHAnsi" w:eastAsiaTheme="minorEastAsia" w:hAnsiTheme="minorHAnsi" w:cstheme="minorBidi"/>
          <w:i w:val="0"/>
          <w:iCs w:val="0"/>
          <w:color w:val="auto"/>
          <w:sz w:val="20"/>
          <w:szCs w:val="20"/>
        </w:rPr>
        <w:t>zprůtočnění</w:t>
      </w:r>
      <w:proofErr w:type="spellEnd"/>
      <w:r w:rsidRPr="43DF8A4C">
        <w:rPr>
          <w:rFonts w:asciiTheme="minorHAnsi" w:eastAsiaTheme="minorEastAsia" w:hAnsiTheme="minorHAnsi" w:cstheme="minorBidi"/>
          <w:i w:val="0"/>
          <w:iCs w:val="0"/>
          <w:color w:val="auto"/>
          <w:sz w:val="20"/>
          <w:szCs w:val="20"/>
        </w:rPr>
        <w:t xml:space="preserve"> nebo zvýšení retenčního potenciálu koryt vodních toků a přilehlých niv, zlepšení přirozených rozlivů a hospodaření se srážkovými vodami v </w:t>
      </w:r>
      <w:proofErr w:type="spellStart"/>
      <w:r w:rsidRPr="43DF8A4C">
        <w:rPr>
          <w:rFonts w:asciiTheme="minorHAnsi" w:eastAsiaTheme="minorEastAsia" w:hAnsiTheme="minorHAnsi" w:cstheme="minorBidi"/>
          <w:i w:val="0"/>
          <w:iCs w:val="0"/>
          <w:color w:val="auto"/>
          <w:sz w:val="20"/>
          <w:szCs w:val="20"/>
        </w:rPr>
        <w:t>intravilánu</w:t>
      </w:r>
      <w:proofErr w:type="spellEnd"/>
      <w:r w:rsidRPr="43DF8A4C">
        <w:rPr>
          <w:rFonts w:asciiTheme="minorHAnsi" w:eastAsiaTheme="minorEastAsia" w:hAnsiTheme="minorHAnsi" w:cstheme="minorBidi"/>
          <w:i w:val="0"/>
          <w:iCs w:val="0"/>
          <w:color w:val="auto"/>
          <w:sz w:val="20"/>
          <w:szCs w:val="20"/>
        </w:rPr>
        <w:t xml:space="preserve"> a dále na ochranu biodiverzity a adaptační opatření rozličných ekosystémů. Investice z pohledu celého životního cyklu nemají předpokládané zásadní negativní dopady na</w:t>
      </w:r>
      <w:r w:rsidRPr="43DF8A4C">
        <w:rPr>
          <w:rFonts w:asciiTheme="minorHAnsi" w:eastAsiaTheme="minorEastAsia" w:hAnsiTheme="minorHAnsi" w:cstheme="minorBidi"/>
          <w:b/>
          <w:bCs/>
          <w:i w:val="0"/>
          <w:iCs w:val="0"/>
          <w:color w:val="auto"/>
          <w:sz w:val="20"/>
          <w:szCs w:val="20"/>
        </w:rPr>
        <w:t xml:space="preserve"> oběhové hospodářství</w:t>
      </w:r>
      <w:r w:rsidR="00A75363" w:rsidRPr="43DF8A4C">
        <w:rPr>
          <w:rFonts w:asciiTheme="minorHAnsi" w:eastAsiaTheme="minorEastAsia" w:hAnsiTheme="minorHAnsi" w:cstheme="minorBidi"/>
          <w:b/>
          <w:bCs/>
          <w:i w:val="0"/>
          <w:iCs w:val="0"/>
          <w:color w:val="auto"/>
          <w:sz w:val="20"/>
          <w:szCs w:val="20"/>
        </w:rPr>
        <w:t xml:space="preserve"> </w:t>
      </w:r>
      <w:r w:rsidR="00A75363" w:rsidRPr="43DF8A4C">
        <w:rPr>
          <w:rFonts w:asciiTheme="minorHAnsi" w:eastAsiaTheme="minorEastAsia" w:hAnsiTheme="minorHAnsi" w:cstheme="minorBidi"/>
          <w:i w:val="0"/>
          <w:iCs w:val="0"/>
          <w:color w:val="auto"/>
          <w:sz w:val="20"/>
          <w:szCs w:val="20"/>
        </w:rPr>
        <w:t>a</w:t>
      </w:r>
      <w:r w:rsidRPr="43DF8A4C">
        <w:rPr>
          <w:rFonts w:asciiTheme="minorHAnsi" w:eastAsiaTheme="minorEastAsia" w:hAnsiTheme="minorHAnsi" w:cstheme="minorBidi"/>
          <w:i w:val="0"/>
          <w:iCs w:val="0"/>
          <w:color w:val="auto"/>
          <w:sz w:val="20"/>
          <w:szCs w:val="20"/>
        </w:rPr>
        <w:t xml:space="preserve"> jsou v souladu s tímto DNSH kritériem. Při stavebních </w:t>
      </w:r>
      <w:r w:rsidR="00111C2C" w:rsidRPr="43DF8A4C">
        <w:rPr>
          <w:rFonts w:asciiTheme="minorHAnsi" w:eastAsiaTheme="minorEastAsia" w:hAnsiTheme="minorHAnsi" w:cstheme="minorBidi"/>
          <w:i w:val="0"/>
          <w:iCs w:val="0"/>
          <w:color w:val="auto"/>
          <w:sz w:val="20"/>
          <w:szCs w:val="20"/>
        </w:rPr>
        <w:t>pracích</w:t>
      </w:r>
      <w:r w:rsidRPr="43DF8A4C">
        <w:rPr>
          <w:rFonts w:asciiTheme="minorHAnsi" w:eastAsiaTheme="minorEastAsia" w:hAnsiTheme="minorHAnsi" w:cstheme="minorBidi"/>
          <w:i w:val="0"/>
          <w:iCs w:val="0"/>
          <w:color w:val="auto"/>
          <w:sz w:val="20"/>
          <w:szCs w:val="20"/>
        </w:rPr>
        <w:t xml:space="preserve"> na podpořeném projektu města Brno a stavebních </w:t>
      </w:r>
      <w:r w:rsidR="00111C2C" w:rsidRPr="43DF8A4C">
        <w:rPr>
          <w:rFonts w:asciiTheme="minorHAnsi" w:eastAsiaTheme="minorEastAsia" w:hAnsiTheme="minorHAnsi" w:cstheme="minorBidi"/>
          <w:i w:val="0"/>
          <w:iCs w:val="0"/>
          <w:color w:val="auto"/>
          <w:sz w:val="20"/>
          <w:szCs w:val="20"/>
        </w:rPr>
        <w:t>pracích</w:t>
      </w:r>
      <w:r w:rsidRPr="43DF8A4C">
        <w:rPr>
          <w:rFonts w:asciiTheme="minorHAnsi" w:eastAsiaTheme="minorEastAsia" w:hAnsiTheme="minorHAnsi" w:cstheme="minorBidi"/>
          <w:i w:val="0"/>
          <w:iCs w:val="0"/>
          <w:color w:val="auto"/>
          <w:sz w:val="20"/>
          <w:szCs w:val="20"/>
        </w:rPr>
        <w:t xml:space="preserve"> či rekonstrukci budov spojených s adaptačními opatřeními a opatřeními k využití srážkových vod budou vzniklé stavební a demoliční odpady převážně sbírány a znovu použity v souladu s vysokými standardy na národní i průmyslové úrovni a v souladu s pokyny pro tvorbu a nakládání s odpady ze stavebnictví a demolice Ministerstva životního prostředí.</w:t>
      </w:r>
    </w:p>
    <w:p w14:paraId="0C8C15FE" w14:textId="77777777" w:rsidR="00F17AAA" w:rsidRPr="00CB1019" w:rsidRDefault="009F230F" w:rsidP="43DF8A4C">
      <w:pPr>
        <w:pStyle w:val="K-TextInfo"/>
        <w:rPr>
          <w:rFonts w:asciiTheme="minorHAnsi" w:eastAsiaTheme="minorEastAsia" w:hAnsiTheme="minorHAnsi" w:cstheme="minorBidi"/>
          <w:i w:val="0"/>
          <w:iCs w:val="0"/>
          <w:color w:val="auto"/>
          <w:sz w:val="20"/>
          <w:szCs w:val="20"/>
        </w:rPr>
      </w:pPr>
      <w:r w:rsidRPr="43DF8A4C">
        <w:rPr>
          <w:rFonts w:asciiTheme="minorHAnsi" w:eastAsiaTheme="minorEastAsia" w:hAnsiTheme="minorHAnsi" w:cstheme="minorBidi"/>
          <w:i w:val="0"/>
          <w:iCs w:val="0"/>
          <w:color w:val="auto"/>
          <w:sz w:val="20"/>
          <w:szCs w:val="20"/>
        </w:rPr>
        <w:t xml:space="preserve">Podporované projekty jsou zaměřené na oblast </w:t>
      </w:r>
      <w:proofErr w:type="spellStart"/>
      <w:r w:rsidRPr="43DF8A4C">
        <w:rPr>
          <w:rFonts w:asciiTheme="minorHAnsi" w:eastAsiaTheme="minorEastAsia" w:hAnsiTheme="minorHAnsi" w:cstheme="minorBidi"/>
          <w:i w:val="0"/>
          <w:iCs w:val="0"/>
          <w:color w:val="auto"/>
          <w:sz w:val="20"/>
          <w:szCs w:val="20"/>
        </w:rPr>
        <w:t>zprůtočnění</w:t>
      </w:r>
      <w:proofErr w:type="spellEnd"/>
      <w:r w:rsidRPr="43DF8A4C">
        <w:rPr>
          <w:rFonts w:asciiTheme="minorHAnsi" w:eastAsiaTheme="minorEastAsia" w:hAnsiTheme="minorHAnsi" w:cstheme="minorBidi"/>
          <w:i w:val="0"/>
          <w:iCs w:val="0"/>
          <w:color w:val="auto"/>
          <w:sz w:val="20"/>
          <w:szCs w:val="20"/>
        </w:rPr>
        <w:t xml:space="preserve"> nebo zvýšení retenčního potenciálu koryt vodních toků a přilehlých niv, zlepšení přirozených rozlivů a hospodaření se srážkovými vodami v </w:t>
      </w:r>
      <w:proofErr w:type="spellStart"/>
      <w:r w:rsidRPr="43DF8A4C">
        <w:rPr>
          <w:rFonts w:asciiTheme="minorHAnsi" w:eastAsiaTheme="minorEastAsia" w:hAnsiTheme="minorHAnsi" w:cstheme="minorBidi"/>
          <w:i w:val="0"/>
          <w:iCs w:val="0"/>
          <w:color w:val="auto"/>
          <w:sz w:val="20"/>
          <w:szCs w:val="20"/>
        </w:rPr>
        <w:t>intravilánu</w:t>
      </w:r>
      <w:proofErr w:type="spellEnd"/>
      <w:r w:rsidRPr="43DF8A4C">
        <w:rPr>
          <w:rFonts w:asciiTheme="minorHAnsi" w:eastAsiaTheme="minorEastAsia" w:hAnsiTheme="minorHAnsi" w:cstheme="minorBidi"/>
          <w:i w:val="0"/>
          <w:iCs w:val="0"/>
          <w:color w:val="auto"/>
          <w:sz w:val="20"/>
          <w:szCs w:val="20"/>
        </w:rPr>
        <w:t xml:space="preserve"> a ochranu biodiverzity a adaptaci ekosystémů. Investice pohledu celého životního cyklu nemají předpokládané zásadní negativní dopady na tuto oblast p</w:t>
      </w:r>
      <w:r w:rsidRPr="43DF8A4C">
        <w:rPr>
          <w:rFonts w:asciiTheme="minorHAnsi" w:eastAsiaTheme="minorEastAsia" w:hAnsiTheme="minorHAnsi" w:cstheme="minorBidi"/>
          <w:b/>
          <w:bCs/>
          <w:i w:val="0"/>
          <w:iCs w:val="0"/>
          <w:color w:val="auto"/>
          <w:sz w:val="20"/>
          <w:szCs w:val="20"/>
        </w:rPr>
        <w:t>ředcházení znečištění</w:t>
      </w:r>
      <w:r w:rsidRPr="43DF8A4C">
        <w:rPr>
          <w:rFonts w:asciiTheme="minorHAnsi" w:eastAsiaTheme="minorEastAsia" w:hAnsiTheme="minorHAnsi" w:cstheme="minorBidi"/>
          <w:i w:val="0"/>
          <w:iCs w:val="0"/>
          <w:color w:val="auto"/>
          <w:sz w:val="20"/>
          <w:szCs w:val="20"/>
        </w:rPr>
        <w:t xml:space="preserve"> a jsou v souladu s tímto DNSH kritériem.</w:t>
      </w:r>
    </w:p>
    <w:p w14:paraId="31ABC4E6" w14:textId="354136F1" w:rsidR="00F17AAA" w:rsidRPr="00CB1019" w:rsidRDefault="009F230F" w:rsidP="43DF8A4C">
      <w:pPr>
        <w:pBdr>
          <w:top w:val="none" w:sz="4" w:space="0" w:color="000000"/>
          <w:left w:val="none" w:sz="4" w:space="0" w:color="000000"/>
          <w:bottom w:val="none" w:sz="4" w:space="0" w:color="000000"/>
          <w:right w:val="none" w:sz="4" w:space="0" w:color="000000"/>
        </w:pBdr>
        <w:spacing w:after="0" w:line="240" w:lineRule="auto"/>
        <w:jc w:val="both"/>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 xml:space="preserve">Opatření nemá zásadní negativní dopad na oblast </w:t>
      </w:r>
      <w:r w:rsidRPr="43DF8A4C">
        <w:rPr>
          <w:rFonts w:asciiTheme="minorHAnsi" w:eastAsiaTheme="minorEastAsia" w:hAnsiTheme="minorHAnsi" w:cstheme="minorBidi"/>
          <w:b/>
          <w:bCs/>
          <w:color w:val="auto"/>
          <w:sz w:val="20"/>
          <w:szCs w:val="20"/>
        </w:rPr>
        <w:t>biodiverzity</w:t>
      </w:r>
      <w:r w:rsidRPr="43DF8A4C">
        <w:rPr>
          <w:rFonts w:asciiTheme="minorHAnsi" w:eastAsiaTheme="minorEastAsia" w:hAnsiTheme="minorHAnsi" w:cstheme="minorBidi"/>
          <w:color w:val="auto"/>
          <w:sz w:val="20"/>
          <w:szCs w:val="20"/>
        </w:rPr>
        <w:t xml:space="preserve"> a investice 2.9.3 a 2.9.4 jsou zacíleny na přímý pozitivní dopad v této environmentální oblasti. V případě investice 2.9.1 i 2.9.2 je zajištěn soulad se státní politikou plánování v oblasti vod, zejména plány dílčích povodí, které jsou součástí naplňování požadavků směrnice Evropského parlamentu a Rady 2000/60/ES, ustavujícími rámec pro činnost Společenství v oblasti vodní politiky. V případě investice 2.9.1 návrh revitalizované kynety koryta zajišťuje, v rozsahu území využitelného pro revitalizaci, zlepšení současného ekologického stavu vod (úprava kynety do potenciálního geomorfologického typu přirozeného toku), migrační prostupnosti a potřebný transport splavenin. Posouzení případného dopadu realizace investice 2.9.1 i 2.9.2 na biodiverzitu je zajištěno v rámci standardních povolovacích procesu (územní rozhodnutí, stavební povolení) ke konkrétním investicím. Tyto požadavky jsou definovány národní legislativou, kdy se jedná zejména o zákon č. 114/1992 Sb. o ochraně přírody a krajiny a zákon č. 254/2001 Sb. vodní zákon. V</w:t>
      </w:r>
      <w:r w:rsidR="00CB1019" w:rsidRPr="43DF8A4C">
        <w:rPr>
          <w:rFonts w:asciiTheme="minorHAnsi" w:eastAsiaTheme="minorEastAsia" w:hAnsiTheme="minorHAnsi" w:cstheme="minorBidi"/>
          <w:color w:val="auto"/>
          <w:sz w:val="20"/>
          <w:szCs w:val="20"/>
        </w:rPr>
        <w:t> </w:t>
      </w:r>
      <w:r w:rsidRPr="43DF8A4C">
        <w:rPr>
          <w:rFonts w:asciiTheme="minorHAnsi" w:eastAsiaTheme="minorEastAsia" w:hAnsiTheme="minorHAnsi" w:cstheme="minorBidi"/>
          <w:color w:val="auto"/>
          <w:sz w:val="20"/>
          <w:szCs w:val="20"/>
        </w:rPr>
        <w:t>případě</w:t>
      </w:r>
      <w:r w:rsidR="00CB1019" w:rsidRPr="43DF8A4C">
        <w:rPr>
          <w:rFonts w:asciiTheme="minorHAnsi" w:eastAsiaTheme="minorEastAsia" w:hAnsiTheme="minorHAnsi" w:cstheme="minorBidi"/>
          <w:color w:val="auto"/>
          <w:sz w:val="20"/>
          <w:szCs w:val="20"/>
        </w:rPr>
        <w:t>,</w:t>
      </w:r>
      <w:r w:rsidRPr="43DF8A4C">
        <w:rPr>
          <w:rFonts w:asciiTheme="minorHAnsi" w:eastAsiaTheme="minorEastAsia" w:hAnsiTheme="minorHAnsi" w:cstheme="minorBidi"/>
          <w:color w:val="auto"/>
          <w:sz w:val="20"/>
          <w:szCs w:val="20"/>
        </w:rPr>
        <w:t xml:space="preserve"> že by investice dle zákonných </w:t>
      </w:r>
      <w:r w:rsidR="00111C2C" w:rsidRPr="43DF8A4C">
        <w:rPr>
          <w:rFonts w:asciiTheme="minorHAnsi" w:eastAsiaTheme="minorEastAsia" w:hAnsiTheme="minorHAnsi" w:cstheme="minorBidi"/>
          <w:color w:val="auto"/>
          <w:sz w:val="20"/>
          <w:szCs w:val="20"/>
        </w:rPr>
        <w:t>kritérií</w:t>
      </w:r>
      <w:r w:rsidRPr="43DF8A4C">
        <w:rPr>
          <w:rFonts w:asciiTheme="minorHAnsi" w:eastAsiaTheme="minorEastAsia" w:hAnsiTheme="minorHAnsi" w:cstheme="minorBidi"/>
          <w:color w:val="auto"/>
          <w:sz w:val="20"/>
          <w:szCs w:val="20"/>
        </w:rPr>
        <w:t xml:space="preserve"> vyžadovala posouzení vlivu na životní prostředí (EIA)</w:t>
      </w:r>
      <w:r w:rsidR="00CB1019" w:rsidRPr="43DF8A4C">
        <w:rPr>
          <w:rFonts w:asciiTheme="minorHAnsi" w:eastAsiaTheme="minorEastAsia" w:hAnsiTheme="minorHAnsi" w:cstheme="minorBidi"/>
          <w:color w:val="auto"/>
          <w:sz w:val="20"/>
          <w:szCs w:val="20"/>
        </w:rPr>
        <w:t>,</w:t>
      </w:r>
      <w:r w:rsidRPr="43DF8A4C">
        <w:rPr>
          <w:rFonts w:asciiTheme="minorHAnsi" w:eastAsiaTheme="minorEastAsia" w:hAnsiTheme="minorHAnsi" w:cstheme="minorBidi"/>
          <w:color w:val="auto"/>
          <w:sz w:val="20"/>
          <w:szCs w:val="20"/>
        </w:rPr>
        <w:t xml:space="preserve"> tak také zákon č. 100/2001 Sb. o posuzování vlivů na životní prostředí. U investice 2.9.1 proběhlo zjišťovací řízení dle zákona č. 100/2001 Sb. </w:t>
      </w:r>
      <w:r w:rsidR="00A75363" w:rsidRPr="43DF8A4C">
        <w:rPr>
          <w:rFonts w:asciiTheme="minorHAnsi" w:eastAsiaTheme="minorEastAsia" w:hAnsiTheme="minorHAnsi" w:cstheme="minorBidi"/>
          <w:color w:val="auto"/>
          <w:sz w:val="20"/>
          <w:szCs w:val="20"/>
        </w:rPr>
        <w:t xml:space="preserve">A </w:t>
      </w:r>
      <w:r w:rsidRPr="43DF8A4C">
        <w:rPr>
          <w:rFonts w:asciiTheme="minorHAnsi" w:eastAsiaTheme="minorEastAsia" w:hAnsiTheme="minorHAnsi" w:cstheme="minorBidi"/>
          <w:color w:val="auto"/>
          <w:sz w:val="20"/>
          <w:szCs w:val="20"/>
        </w:rPr>
        <w:t xml:space="preserve">projekt nemá negativní vliv na životní prostředí a </w:t>
      </w:r>
      <w:r w:rsidR="00A75363" w:rsidRPr="43DF8A4C">
        <w:rPr>
          <w:rFonts w:asciiTheme="minorHAnsi" w:eastAsiaTheme="minorEastAsia" w:hAnsiTheme="minorHAnsi" w:cstheme="minorBidi"/>
          <w:color w:val="auto"/>
          <w:sz w:val="20"/>
          <w:szCs w:val="20"/>
        </w:rPr>
        <w:t>nemusí být posuzován</w:t>
      </w:r>
      <w:r w:rsidRPr="43DF8A4C">
        <w:rPr>
          <w:rFonts w:asciiTheme="minorHAnsi" w:eastAsiaTheme="minorEastAsia" w:hAnsiTheme="minorHAnsi" w:cstheme="minorBidi"/>
          <w:color w:val="auto"/>
          <w:sz w:val="20"/>
          <w:szCs w:val="20"/>
        </w:rPr>
        <w:t xml:space="preserve"> podle </w:t>
      </w:r>
      <w:r w:rsidR="00A75363" w:rsidRPr="43DF8A4C">
        <w:rPr>
          <w:rFonts w:asciiTheme="minorHAnsi" w:eastAsiaTheme="minorEastAsia" w:hAnsiTheme="minorHAnsi" w:cstheme="minorBidi"/>
          <w:color w:val="auto"/>
          <w:sz w:val="20"/>
          <w:szCs w:val="20"/>
        </w:rPr>
        <w:t xml:space="preserve">tohoto </w:t>
      </w:r>
      <w:r w:rsidRPr="43DF8A4C">
        <w:rPr>
          <w:rFonts w:asciiTheme="minorHAnsi" w:eastAsiaTheme="minorEastAsia" w:hAnsiTheme="minorHAnsi" w:cstheme="minorBidi"/>
          <w:color w:val="auto"/>
          <w:sz w:val="20"/>
          <w:szCs w:val="20"/>
        </w:rPr>
        <w:t>zákona</w:t>
      </w:r>
      <w:r w:rsidR="00A75363" w:rsidRPr="43DF8A4C">
        <w:rPr>
          <w:rFonts w:asciiTheme="minorHAnsi" w:eastAsiaTheme="minorEastAsia" w:hAnsiTheme="minorHAnsi" w:cstheme="minorBidi"/>
          <w:color w:val="auto"/>
          <w:sz w:val="20"/>
          <w:szCs w:val="20"/>
        </w:rPr>
        <w:t>. Investice v rámci komponenty 2.9 tedy jsou v souladu s podmínkami DNSH.</w:t>
      </w:r>
    </w:p>
    <w:p w14:paraId="4DDBEF00" w14:textId="77777777" w:rsidR="00F17AAA" w:rsidRPr="00CB1019" w:rsidRDefault="00F17AAA" w:rsidP="43DF8A4C">
      <w:pPr>
        <w:pStyle w:val="K-TextInfo"/>
        <w:rPr>
          <w:rFonts w:asciiTheme="minorHAnsi" w:eastAsiaTheme="minorEastAsia" w:hAnsiTheme="minorHAnsi" w:cstheme="minorBidi"/>
          <w:color w:val="auto"/>
          <w:sz w:val="20"/>
          <w:szCs w:val="20"/>
        </w:rPr>
      </w:pPr>
    </w:p>
    <w:p w14:paraId="5332F8CC" w14:textId="77777777" w:rsidR="00F17AAA" w:rsidRPr="00CB1019" w:rsidRDefault="009F230F" w:rsidP="43DF8A4C">
      <w:pPr>
        <w:pStyle w:val="K-Nadpis2"/>
        <w:spacing w:after="240"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 xml:space="preserve">9. Milníky, cíle a časová osa </w:t>
      </w:r>
    </w:p>
    <w:p w14:paraId="0E129013" w14:textId="4D765DB5" w:rsidR="08172E11" w:rsidRDefault="08172E11" w:rsidP="43DF8A4C">
      <w:pPr>
        <w:spacing w:line="240" w:lineRule="auto"/>
        <w:jc w:val="both"/>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t>Milníky, cíle a časová osa jsou popsány v tabulce v příloze.</w:t>
      </w:r>
    </w:p>
    <w:p w14:paraId="3461D779" w14:textId="77777777" w:rsidR="00F17AAA" w:rsidRPr="00CB1019" w:rsidRDefault="00F17AAA" w:rsidP="43DF8A4C">
      <w:pPr>
        <w:pStyle w:val="K-Text"/>
        <w:spacing w:line="240" w:lineRule="auto"/>
        <w:rPr>
          <w:rFonts w:asciiTheme="minorHAnsi" w:eastAsiaTheme="minorEastAsia" w:hAnsiTheme="minorHAnsi" w:cstheme="minorBidi"/>
          <w:sz w:val="20"/>
          <w:szCs w:val="20"/>
        </w:rPr>
      </w:pPr>
    </w:p>
    <w:p w14:paraId="02D50083" w14:textId="77777777" w:rsidR="00F17AAA" w:rsidRPr="00CB1019" w:rsidRDefault="009F230F" w:rsidP="43DF8A4C">
      <w:pPr>
        <w:pStyle w:val="K-Nadpis2"/>
        <w:spacing w:after="240" w:line="240" w:lineRule="auto"/>
        <w:rPr>
          <w:rFonts w:asciiTheme="minorHAnsi" w:eastAsiaTheme="minorEastAsia" w:hAnsiTheme="minorHAnsi" w:cstheme="minorBidi"/>
          <w:color w:val="auto"/>
          <w:sz w:val="20"/>
          <w:szCs w:val="20"/>
        </w:rPr>
      </w:pPr>
      <w:r w:rsidRPr="43DF8A4C">
        <w:rPr>
          <w:rFonts w:asciiTheme="minorHAnsi" w:eastAsiaTheme="minorEastAsia" w:hAnsiTheme="minorHAnsi" w:cstheme="minorBidi"/>
          <w:color w:val="auto"/>
          <w:sz w:val="20"/>
          <w:szCs w:val="20"/>
        </w:rPr>
        <w:t xml:space="preserve">10. Financování a náklady </w:t>
      </w:r>
    </w:p>
    <w:p w14:paraId="766B58B7" w14:textId="6113707E" w:rsidR="3DE29F53" w:rsidRDefault="3DE29F53" w:rsidP="43DF8A4C">
      <w:pPr>
        <w:spacing w:line="240" w:lineRule="auto"/>
        <w:jc w:val="both"/>
        <w:rPr>
          <w:rFonts w:asciiTheme="minorHAnsi" w:eastAsiaTheme="minorEastAsia" w:hAnsiTheme="minorHAnsi" w:cstheme="minorBidi"/>
          <w:sz w:val="20"/>
          <w:szCs w:val="20"/>
        </w:rPr>
      </w:pPr>
      <w:r w:rsidRPr="43DF8A4C">
        <w:rPr>
          <w:rFonts w:asciiTheme="minorHAnsi" w:eastAsiaTheme="minorEastAsia" w:hAnsiTheme="minorHAnsi" w:cstheme="minorBidi"/>
          <w:sz w:val="20"/>
          <w:szCs w:val="20"/>
        </w:rPr>
        <w:t>Financování a náklady jsou popsány v tabulce v příloze.</w:t>
      </w:r>
    </w:p>
    <w:p w14:paraId="3C76C515" w14:textId="518B111B" w:rsidR="71301C15" w:rsidRDefault="71301C15" w:rsidP="43DF8A4C">
      <w:pPr>
        <w:pStyle w:val="K-TextInfo"/>
        <w:rPr>
          <w:rFonts w:asciiTheme="minorHAnsi" w:eastAsiaTheme="minorEastAsia" w:hAnsiTheme="minorHAnsi" w:cstheme="minorBidi"/>
          <w:color w:val="2196FF" w:themeColor="accent2" w:themeTint="99"/>
          <w:sz w:val="20"/>
          <w:szCs w:val="20"/>
        </w:rPr>
      </w:pPr>
    </w:p>
    <w:sectPr w:rsidR="71301C15">
      <w:headerReference w:type="even" r:id="rId22"/>
      <w:headerReference w:type="default" r:id="rId23"/>
      <w:footerReference w:type="default" r:id="rId24"/>
      <w:headerReference w:type="first" r:id="rId25"/>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7CC75" w14:textId="77777777" w:rsidR="00EA0D5F" w:rsidRDefault="00EA0D5F">
      <w:pPr>
        <w:spacing w:after="0" w:line="240" w:lineRule="auto"/>
      </w:pPr>
      <w:r>
        <w:separator/>
      </w:r>
    </w:p>
  </w:endnote>
  <w:endnote w:type="continuationSeparator" w:id="0">
    <w:p w14:paraId="285A40DC" w14:textId="77777777" w:rsidR="00EA0D5F" w:rsidRDefault="00EA0D5F">
      <w:pPr>
        <w:spacing w:after="0" w:line="240" w:lineRule="auto"/>
      </w:pPr>
      <w:r>
        <w:continuationSeparator/>
      </w:r>
    </w:p>
  </w:endnote>
  <w:endnote w:type="continuationNotice" w:id="1">
    <w:p w14:paraId="57925BC7" w14:textId="77777777" w:rsidR="00EA0D5F" w:rsidRDefault="00EA0D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Body)">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9CD0B" w14:textId="37D078B2" w:rsidR="71301C15" w:rsidRDefault="71301C15" w:rsidP="71301C15">
    <w:pPr>
      <w:pStyle w:val="Zpat"/>
      <w:jc w:val="center"/>
      <w:rPr>
        <w:noProof/>
      </w:rPr>
    </w:pPr>
  </w:p>
  <w:p w14:paraId="2400D386" w14:textId="77777777" w:rsidR="00F17AAA" w:rsidRDefault="009F230F">
    <w:pPr>
      <w:pStyle w:val="Zpat"/>
      <w:jc w:val="center"/>
    </w:pPr>
    <w:r>
      <w:fldChar w:fldCharType="begin"/>
    </w:r>
    <w:r>
      <w:instrText>PAGE \* MERGEFORMAT</w:instrText>
    </w:r>
    <w:r>
      <w:fldChar w:fldCharType="separate"/>
    </w:r>
    <w:r w:rsidR="00A463A7">
      <w:rPr>
        <w:noProof/>
      </w:rPr>
      <w:t>1</w:t>
    </w:r>
    <w:r>
      <w:fldChar w:fldCharType="end"/>
    </w:r>
  </w:p>
  <w:p w14:paraId="110FFD37" w14:textId="77777777" w:rsidR="00F17AAA" w:rsidRDefault="00F17AA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E9AB5" w14:textId="77777777" w:rsidR="00EA0D5F" w:rsidRDefault="00EA0D5F">
      <w:pPr>
        <w:spacing w:after="0" w:line="240" w:lineRule="auto"/>
      </w:pPr>
      <w:r>
        <w:separator/>
      </w:r>
    </w:p>
  </w:footnote>
  <w:footnote w:type="continuationSeparator" w:id="0">
    <w:p w14:paraId="6E86638B" w14:textId="77777777" w:rsidR="00EA0D5F" w:rsidRDefault="00EA0D5F">
      <w:pPr>
        <w:spacing w:after="0" w:line="240" w:lineRule="auto"/>
      </w:pPr>
      <w:r>
        <w:continuationSeparator/>
      </w:r>
    </w:p>
  </w:footnote>
  <w:footnote w:type="continuationNotice" w:id="1">
    <w:p w14:paraId="568A4EF3" w14:textId="77777777" w:rsidR="00EA0D5F" w:rsidRDefault="00EA0D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39945" w14:textId="486A13CF" w:rsidR="00F17AAA" w:rsidRDefault="0099666B">
    <w:pPr>
      <w:pStyle w:val="Zhlav"/>
    </w:pPr>
    <w:r>
      <w:rPr>
        <w:noProof/>
        <w:lang w:eastAsia="cs-CZ"/>
      </w:rPr>
      <mc:AlternateContent>
        <mc:Choice Requires="wps">
          <w:drawing>
            <wp:anchor distT="0" distB="0" distL="0" distR="0" simplePos="0" relativeHeight="251659264" behindDoc="0" locked="0" layoutInCell="1" allowOverlap="1" wp14:anchorId="2886DACC" wp14:editId="5705E937">
              <wp:simplePos x="635" y="635"/>
              <wp:positionH relativeFrom="leftMargin">
                <wp:align>left</wp:align>
              </wp:positionH>
              <wp:positionV relativeFrom="paragraph">
                <wp:posOffset>635</wp:posOffset>
              </wp:positionV>
              <wp:extent cx="443865" cy="443865"/>
              <wp:effectExtent l="0" t="0" r="17145" b="13970"/>
              <wp:wrapSquare wrapText="bothSides"/>
              <wp:docPr id="7" name="Textové pole 7" descr="Veřejně přístupné informac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57B1F7" w14:textId="52530C26" w:rsidR="0099666B" w:rsidRPr="0099666B" w:rsidRDefault="0099666B">
                          <w:pPr>
                            <w:rPr>
                              <w:color w:val="000000"/>
                              <w:sz w:val="20"/>
                              <w:szCs w:val="20"/>
                            </w:rPr>
                          </w:pPr>
                          <w:r w:rsidRPr="0099666B">
                            <w:rPr>
                              <w:color w:val="000000"/>
                              <w:sz w:val="20"/>
                              <w:szCs w:val="20"/>
                            </w:rPr>
                            <w:t>Veřejně přístupné informace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w:pict>
            <v:shapetype id="_x0000_t202" coordsize="21600,21600" o:spt="202" path="m,l,21600r21600,l21600,xe" w14:anchorId="2886DACC">
              <v:stroke joinstyle="miter"/>
              <v:path gradientshapeok="t" o:connecttype="rect"/>
            </v:shapetype>
            <v:shape id="Textové pole 7"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alt="Veřejně přístupné informac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">
              <v:textbox style="mso-fit-shape-to-text:t" inset="5pt,0,0,0">
                <w:txbxContent>
                  <w:p w:rsidRPr="0099666B" w:rsidR="0099666B" w:rsidRDefault="0099666B" w14:paraId="2F57B1F7" w14:textId="52530C26">
                    <w:pPr>
                      <w:rPr>
                        <w:color w:val="000000"/>
                        <w:sz w:val="20"/>
                        <w:szCs w:val="20"/>
                      </w:rPr>
                    </w:pPr>
                    <w:r w:rsidRPr="0099666B">
                      <w:rPr>
                        <w:color w:val="000000"/>
                        <w:sz w:val="20"/>
                        <w:szCs w:val="20"/>
                      </w:rPr>
                      <w:t>Veřejně přístupné informace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71301C15" w14:paraId="108ED25F" w14:textId="77777777" w:rsidTr="71301C15">
      <w:tc>
        <w:tcPr>
          <w:tcW w:w="3210" w:type="dxa"/>
        </w:tcPr>
        <w:p w14:paraId="247EC3EC" w14:textId="64F85FDD" w:rsidR="71301C15" w:rsidRDefault="71301C15" w:rsidP="71301C15">
          <w:pPr>
            <w:pStyle w:val="Zhlav"/>
            <w:ind w:left="-115"/>
          </w:pPr>
        </w:p>
      </w:tc>
      <w:tc>
        <w:tcPr>
          <w:tcW w:w="3210" w:type="dxa"/>
        </w:tcPr>
        <w:p w14:paraId="76E74349" w14:textId="3B2677F7" w:rsidR="71301C15" w:rsidRDefault="71301C15" w:rsidP="71301C15">
          <w:pPr>
            <w:pStyle w:val="Zhlav"/>
            <w:jc w:val="center"/>
          </w:pPr>
        </w:p>
      </w:tc>
      <w:tc>
        <w:tcPr>
          <w:tcW w:w="3210" w:type="dxa"/>
        </w:tcPr>
        <w:p w14:paraId="147AA522" w14:textId="6F736689" w:rsidR="71301C15" w:rsidRDefault="71301C15" w:rsidP="71301C15">
          <w:pPr>
            <w:pStyle w:val="Zhlav"/>
            <w:ind w:right="-115"/>
            <w:jc w:val="right"/>
          </w:pPr>
        </w:p>
      </w:tc>
    </w:tr>
  </w:tbl>
  <w:p w14:paraId="694DF726" w14:textId="43CE357C" w:rsidR="71301C15" w:rsidRDefault="71301C15" w:rsidP="71301C15">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E0A41" w14:textId="675B8E1B" w:rsidR="00F17AAA" w:rsidRDefault="0099666B">
    <w:pPr>
      <w:pStyle w:val="Zhlav"/>
    </w:pPr>
    <w:r>
      <w:rPr>
        <w:noProof/>
        <w:lang w:eastAsia="cs-CZ"/>
      </w:rPr>
      <mc:AlternateContent>
        <mc:Choice Requires="wps">
          <w:drawing>
            <wp:anchor distT="0" distB="0" distL="0" distR="0" simplePos="0" relativeHeight="251658240" behindDoc="0" locked="0" layoutInCell="1" allowOverlap="1" wp14:anchorId="3E6783D1" wp14:editId="2655D27D">
              <wp:simplePos x="635" y="635"/>
              <wp:positionH relativeFrom="leftMargin">
                <wp:align>left</wp:align>
              </wp:positionH>
              <wp:positionV relativeFrom="paragraph">
                <wp:posOffset>635</wp:posOffset>
              </wp:positionV>
              <wp:extent cx="443865" cy="443865"/>
              <wp:effectExtent l="0" t="0" r="17145" b="13970"/>
              <wp:wrapSquare wrapText="bothSides"/>
              <wp:docPr id="6" name="Textové pole 6" descr="Veřejně přístupné informac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1C7BF3" w14:textId="5FCBBE71" w:rsidR="0099666B" w:rsidRPr="0099666B" w:rsidRDefault="0099666B">
                          <w:pPr>
                            <w:rPr>
                              <w:color w:val="000000"/>
                              <w:sz w:val="20"/>
                              <w:szCs w:val="20"/>
                            </w:rPr>
                          </w:pPr>
                          <w:r w:rsidRPr="0099666B">
                            <w:rPr>
                              <w:color w:val="000000"/>
                              <w:sz w:val="20"/>
                              <w:szCs w:val="20"/>
                            </w:rPr>
                            <w:t>Veřejně přístupné informace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w:pict>
            <v:shapetype id="_x0000_t202" coordsize="21600,21600" o:spt="202" path="m,l,21600r21600,l21600,xe" w14:anchorId="3E6783D1">
              <v:stroke joinstyle="miter"/>
              <v:path gradientshapeok="t" o:connecttype="rect"/>
            </v:shapetype>
            <v:shape id="Textové pole 6"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alt="Veřejně přístupné informace"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">
              <v:textbox style="mso-fit-shape-to-text:t" inset="5pt,0,0,0">
                <w:txbxContent>
                  <w:p w:rsidRPr="0099666B" w:rsidR="0099666B" w:rsidRDefault="0099666B" w14:paraId="001C7BF3" w14:textId="5FCBBE71">
                    <w:pPr>
                      <w:rPr>
                        <w:color w:val="000000"/>
                        <w:sz w:val="20"/>
                        <w:szCs w:val="20"/>
                      </w:rPr>
                    </w:pPr>
                    <w:r w:rsidRPr="0099666B">
                      <w:rPr>
                        <w:color w:val="000000"/>
                        <w:sz w:val="20"/>
                        <w:szCs w:val="20"/>
                      </w:rPr>
                      <w:t>Veřejně přístupné informace</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1592B"/>
    <w:multiLevelType w:val="hybridMultilevel"/>
    <w:tmpl w:val="E89AF36E"/>
    <w:numStyleLink w:val="VariantaB-odrky"/>
  </w:abstractNum>
  <w:abstractNum w:abstractNumId="1" w15:restartNumberingAfterBreak="0">
    <w:nsid w:val="0C1B286E"/>
    <w:multiLevelType w:val="hybridMultilevel"/>
    <w:tmpl w:val="568A4970"/>
    <w:numStyleLink w:val="VariantaA-odrky"/>
  </w:abstractNum>
  <w:abstractNum w:abstractNumId="2" w15:restartNumberingAfterBreak="0">
    <w:nsid w:val="10BB1322"/>
    <w:multiLevelType w:val="hybridMultilevel"/>
    <w:tmpl w:val="0D8E5C0C"/>
    <w:lvl w:ilvl="0" w:tplc="B8DC8124">
      <w:start w:val="7"/>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34B5869"/>
    <w:multiLevelType w:val="hybridMultilevel"/>
    <w:tmpl w:val="E89AF36E"/>
    <w:styleLink w:val="VariantaB-odrky"/>
    <w:lvl w:ilvl="0" w:tplc="7152D01C">
      <w:start w:val="1"/>
      <w:numFmt w:val="bullet"/>
      <w:pStyle w:val="SeznamsodrkamiB"/>
      <w:lvlText w:val="—"/>
      <w:lvlJc w:val="left"/>
      <w:pPr>
        <w:ind w:left="357" w:hanging="357"/>
      </w:pPr>
      <w:rPr>
        <w:rFonts w:ascii="Calibri" w:hAnsi="Calibri" w:hint="default"/>
        <w:sz w:val="16"/>
      </w:rPr>
    </w:lvl>
    <w:lvl w:ilvl="1" w:tplc="39DE89C6">
      <w:start w:val="1"/>
      <w:numFmt w:val="bullet"/>
      <w:pStyle w:val="SeznamsodrkamiB2"/>
      <w:lvlText w:val=""/>
      <w:lvlJc w:val="left"/>
      <w:pPr>
        <w:ind w:left="714" w:hanging="357"/>
      </w:pPr>
      <w:rPr>
        <w:rFonts w:ascii="Wingdings" w:hAnsi="Wingdings" w:hint="default"/>
        <w:sz w:val="14"/>
      </w:rPr>
    </w:lvl>
    <w:lvl w:ilvl="2" w:tplc="0764C15A">
      <w:start w:val="1"/>
      <w:numFmt w:val="bullet"/>
      <w:pStyle w:val="SeznamsodrkamiB3"/>
      <w:lvlText w:val=""/>
      <w:lvlJc w:val="left"/>
      <w:pPr>
        <w:ind w:left="1071" w:hanging="357"/>
      </w:pPr>
      <w:rPr>
        <w:rFonts w:ascii="Wingdings 2" w:hAnsi="Wingdings 2" w:hint="default"/>
      </w:rPr>
    </w:lvl>
    <w:lvl w:ilvl="3" w:tplc="1A78C8C6">
      <w:start w:val="1"/>
      <w:numFmt w:val="bullet"/>
      <w:pStyle w:val="SeznamsodrkamiB4"/>
      <w:lvlText w:val=""/>
      <w:lvlJc w:val="left"/>
      <w:pPr>
        <w:ind w:left="1428" w:hanging="357"/>
      </w:pPr>
      <w:rPr>
        <w:rFonts w:ascii="Wingdings 2" w:hAnsi="Wingdings 2" w:hint="default"/>
      </w:rPr>
    </w:lvl>
    <w:lvl w:ilvl="4" w:tplc="F0DCCF3E">
      <w:start w:val="1"/>
      <w:numFmt w:val="bullet"/>
      <w:pStyle w:val="SeznamsodrkamiB5"/>
      <w:lvlText w:val=""/>
      <w:lvlJc w:val="left"/>
      <w:pPr>
        <w:ind w:left="1785" w:hanging="357"/>
      </w:pPr>
      <w:rPr>
        <w:rFonts w:ascii="Wingdings 2" w:hAnsi="Wingdings 2" w:hint="default"/>
      </w:rPr>
    </w:lvl>
    <w:lvl w:ilvl="5" w:tplc="F7F057B2">
      <w:start w:val="1"/>
      <w:numFmt w:val="bullet"/>
      <w:lvlText w:val=""/>
      <w:lvlJc w:val="left"/>
      <w:pPr>
        <w:ind w:left="2142" w:hanging="357"/>
      </w:pPr>
      <w:rPr>
        <w:rFonts w:ascii="Wingdings 2" w:hAnsi="Wingdings 2" w:cs="Times New Roman" w:hint="default"/>
      </w:rPr>
    </w:lvl>
    <w:lvl w:ilvl="6" w:tplc="CAC2E8F6">
      <w:start w:val="1"/>
      <w:numFmt w:val="bullet"/>
      <w:lvlText w:val=""/>
      <w:lvlJc w:val="left"/>
      <w:pPr>
        <w:ind w:left="2499" w:hanging="357"/>
      </w:pPr>
      <w:rPr>
        <w:rFonts w:ascii="Wingdings 2" w:hAnsi="Wingdings 2" w:cs="Times New Roman" w:hint="default"/>
      </w:rPr>
    </w:lvl>
    <w:lvl w:ilvl="7" w:tplc="AA26EE94">
      <w:start w:val="1"/>
      <w:numFmt w:val="bullet"/>
      <w:lvlText w:val=""/>
      <w:lvlJc w:val="left"/>
      <w:pPr>
        <w:ind w:left="2856" w:hanging="357"/>
      </w:pPr>
      <w:rPr>
        <w:rFonts w:ascii="Wingdings 2" w:hAnsi="Wingdings 2" w:cs="Times New Roman" w:hint="default"/>
      </w:rPr>
    </w:lvl>
    <w:lvl w:ilvl="8" w:tplc="65723410">
      <w:start w:val="1"/>
      <w:numFmt w:val="bullet"/>
      <w:lvlText w:val=""/>
      <w:lvlJc w:val="left"/>
      <w:pPr>
        <w:ind w:left="3213" w:hanging="357"/>
      </w:pPr>
      <w:rPr>
        <w:rFonts w:ascii="Wingdings 2" w:hAnsi="Wingdings 2" w:cs="Times New Roman" w:hint="default"/>
      </w:rPr>
    </w:lvl>
  </w:abstractNum>
  <w:abstractNum w:abstractNumId="4" w15:restartNumberingAfterBreak="0">
    <w:nsid w:val="15546E36"/>
    <w:multiLevelType w:val="hybridMultilevel"/>
    <w:tmpl w:val="0405001D"/>
    <w:numStyleLink w:val="VariantaB-sla"/>
  </w:abstractNum>
  <w:abstractNum w:abstractNumId="5" w15:restartNumberingAfterBreak="0">
    <w:nsid w:val="17D9259F"/>
    <w:multiLevelType w:val="hybridMultilevel"/>
    <w:tmpl w:val="1A1AE0FC"/>
    <w:lvl w:ilvl="0" w:tplc="DEAC0B56">
      <w:start w:val="1"/>
      <w:numFmt w:val="bullet"/>
      <w:lvlText w:val="·"/>
      <w:lvlJc w:val="left"/>
      <w:pPr>
        <w:ind w:left="720" w:hanging="360"/>
      </w:pPr>
      <w:rPr>
        <w:rFonts w:ascii="Symbol" w:eastAsia="Symbol" w:hAnsi="Symbol" w:cs="Symbol"/>
      </w:rPr>
    </w:lvl>
    <w:lvl w:ilvl="1" w:tplc="2A546030">
      <w:start w:val="1"/>
      <w:numFmt w:val="bullet"/>
      <w:lvlText w:val="o"/>
      <w:lvlJc w:val="left"/>
      <w:pPr>
        <w:ind w:left="1440" w:hanging="360"/>
      </w:pPr>
      <w:rPr>
        <w:rFonts w:ascii="Courier New" w:eastAsia="Courier New" w:hAnsi="Courier New" w:cs="Courier New"/>
      </w:rPr>
    </w:lvl>
    <w:lvl w:ilvl="2" w:tplc="9710B6B8">
      <w:start w:val="1"/>
      <w:numFmt w:val="bullet"/>
      <w:lvlText w:val="§"/>
      <w:lvlJc w:val="left"/>
      <w:pPr>
        <w:ind w:left="2160" w:hanging="360"/>
      </w:pPr>
      <w:rPr>
        <w:rFonts w:ascii="Wingdings" w:eastAsia="Wingdings" w:hAnsi="Wingdings" w:cs="Wingdings"/>
      </w:rPr>
    </w:lvl>
    <w:lvl w:ilvl="3" w:tplc="5BA40B3C">
      <w:start w:val="1"/>
      <w:numFmt w:val="bullet"/>
      <w:lvlText w:val="·"/>
      <w:lvlJc w:val="left"/>
      <w:pPr>
        <w:ind w:left="2880" w:hanging="360"/>
      </w:pPr>
      <w:rPr>
        <w:rFonts w:ascii="Symbol" w:eastAsia="Symbol" w:hAnsi="Symbol" w:cs="Symbol"/>
      </w:rPr>
    </w:lvl>
    <w:lvl w:ilvl="4" w:tplc="48A67E4C">
      <w:start w:val="1"/>
      <w:numFmt w:val="bullet"/>
      <w:lvlText w:val="o"/>
      <w:lvlJc w:val="left"/>
      <w:pPr>
        <w:ind w:left="3600" w:hanging="360"/>
      </w:pPr>
      <w:rPr>
        <w:rFonts w:ascii="Courier New" w:eastAsia="Courier New" w:hAnsi="Courier New" w:cs="Courier New"/>
      </w:rPr>
    </w:lvl>
    <w:lvl w:ilvl="5" w:tplc="99980516">
      <w:start w:val="1"/>
      <w:numFmt w:val="bullet"/>
      <w:lvlText w:val="§"/>
      <w:lvlJc w:val="left"/>
      <w:pPr>
        <w:ind w:left="4320" w:hanging="360"/>
      </w:pPr>
      <w:rPr>
        <w:rFonts w:ascii="Wingdings" w:eastAsia="Wingdings" w:hAnsi="Wingdings" w:cs="Wingdings"/>
      </w:rPr>
    </w:lvl>
    <w:lvl w:ilvl="6" w:tplc="83909CF6">
      <w:start w:val="1"/>
      <w:numFmt w:val="bullet"/>
      <w:lvlText w:val="·"/>
      <w:lvlJc w:val="left"/>
      <w:pPr>
        <w:ind w:left="5040" w:hanging="360"/>
      </w:pPr>
      <w:rPr>
        <w:rFonts w:ascii="Symbol" w:eastAsia="Symbol" w:hAnsi="Symbol" w:cs="Symbol"/>
      </w:rPr>
    </w:lvl>
    <w:lvl w:ilvl="7" w:tplc="2E944370">
      <w:start w:val="1"/>
      <w:numFmt w:val="bullet"/>
      <w:lvlText w:val="o"/>
      <w:lvlJc w:val="left"/>
      <w:pPr>
        <w:ind w:left="5760" w:hanging="360"/>
      </w:pPr>
      <w:rPr>
        <w:rFonts w:ascii="Courier New" w:eastAsia="Courier New" w:hAnsi="Courier New" w:cs="Courier New"/>
      </w:rPr>
    </w:lvl>
    <w:lvl w:ilvl="8" w:tplc="B1A22BD0">
      <w:start w:val="1"/>
      <w:numFmt w:val="bullet"/>
      <w:lvlText w:val="§"/>
      <w:lvlJc w:val="left"/>
      <w:pPr>
        <w:ind w:left="6480" w:hanging="360"/>
      </w:pPr>
      <w:rPr>
        <w:rFonts w:ascii="Wingdings" w:eastAsia="Wingdings" w:hAnsi="Wingdings" w:cs="Wingdings"/>
      </w:rPr>
    </w:lvl>
  </w:abstractNum>
  <w:abstractNum w:abstractNumId="6" w15:restartNumberingAfterBreak="0">
    <w:nsid w:val="1C965B3D"/>
    <w:multiLevelType w:val="hybridMultilevel"/>
    <w:tmpl w:val="1D0A81A6"/>
    <w:lvl w:ilvl="0" w:tplc="607838C8">
      <w:start w:val="1"/>
      <w:numFmt w:val="bullet"/>
      <w:lvlText w:val="·"/>
      <w:lvlJc w:val="left"/>
      <w:pPr>
        <w:ind w:left="720" w:hanging="360"/>
      </w:pPr>
      <w:rPr>
        <w:rFonts w:ascii="Symbol" w:eastAsia="Symbol" w:hAnsi="Symbol" w:cs="Symbol"/>
      </w:rPr>
    </w:lvl>
    <w:lvl w:ilvl="1" w:tplc="D0B40FA6">
      <w:start w:val="1"/>
      <w:numFmt w:val="bullet"/>
      <w:lvlText w:val="o"/>
      <w:lvlJc w:val="left"/>
      <w:pPr>
        <w:ind w:left="1440" w:hanging="360"/>
      </w:pPr>
      <w:rPr>
        <w:rFonts w:ascii="Courier New" w:eastAsia="Courier New" w:hAnsi="Courier New" w:cs="Courier New"/>
      </w:rPr>
    </w:lvl>
    <w:lvl w:ilvl="2" w:tplc="9412DF58">
      <w:start w:val="1"/>
      <w:numFmt w:val="bullet"/>
      <w:lvlText w:val="§"/>
      <w:lvlJc w:val="left"/>
      <w:pPr>
        <w:ind w:left="2160" w:hanging="360"/>
      </w:pPr>
      <w:rPr>
        <w:rFonts w:ascii="Wingdings" w:eastAsia="Wingdings" w:hAnsi="Wingdings" w:cs="Wingdings"/>
      </w:rPr>
    </w:lvl>
    <w:lvl w:ilvl="3" w:tplc="BE7EA2B6">
      <w:start w:val="1"/>
      <w:numFmt w:val="bullet"/>
      <w:lvlText w:val="·"/>
      <w:lvlJc w:val="left"/>
      <w:pPr>
        <w:ind w:left="2880" w:hanging="360"/>
      </w:pPr>
      <w:rPr>
        <w:rFonts w:ascii="Symbol" w:eastAsia="Symbol" w:hAnsi="Symbol" w:cs="Symbol"/>
      </w:rPr>
    </w:lvl>
    <w:lvl w:ilvl="4" w:tplc="A0626CF8">
      <w:start w:val="1"/>
      <w:numFmt w:val="bullet"/>
      <w:lvlText w:val="o"/>
      <w:lvlJc w:val="left"/>
      <w:pPr>
        <w:ind w:left="3600" w:hanging="360"/>
      </w:pPr>
      <w:rPr>
        <w:rFonts w:ascii="Courier New" w:eastAsia="Courier New" w:hAnsi="Courier New" w:cs="Courier New"/>
      </w:rPr>
    </w:lvl>
    <w:lvl w:ilvl="5" w:tplc="C5B69162">
      <w:start w:val="1"/>
      <w:numFmt w:val="bullet"/>
      <w:lvlText w:val="§"/>
      <w:lvlJc w:val="left"/>
      <w:pPr>
        <w:ind w:left="4320" w:hanging="360"/>
      </w:pPr>
      <w:rPr>
        <w:rFonts w:ascii="Wingdings" w:eastAsia="Wingdings" w:hAnsi="Wingdings" w:cs="Wingdings"/>
      </w:rPr>
    </w:lvl>
    <w:lvl w:ilvl="6" w:tplc="BEDC7D6A">
      <w:start w:val="1"/>
      <w:numFmt w:val="bullet"/>
      <w:lvlText w:val="·"/>
      <w:lvlJc w:val="left"/>
      <w:pPr>
        <w:ind w:left="5040" w:hanging="360"/>
      </w:pPr>
      <w:rPr>
        <w:rFonts w:ascii="Symbol" w:eastAsia="Symbol" w:hAnsi="Symbol" w:cs="Symbol"/>
      </w:rPr>
    </w:lvl>
    <w:lvl w:ilvl="7" w:tplc="E25EC13E">
      <w:start w:val="1"/>
      <w:numFmt w:val="bullet"/>
      <w:lvlText w:val="o"/>
      <w:lvlJc w:val="left"/>
      <w:pPr>
        <w:ind w:left="5760" w:hanging="360"/>
      </w:pPr>
      <w:rPr>
        <w:rFonts w:ascii="Courier New" w:eastAsia="Courier New" w:hAnsi="Courier New" w:cs="Courier New"/>
      </w:rPr>
    </w:lvl>
    <w:lvl w:ilvl="8" w:tplc="0FD84ACA">
      <w:start w:val="1"/>
      <w:numFmt w:val="bullet"/>
      <w:lvlText w:val="§"/>
      <w:lvlJc w:val="left"/>
      <w:pPr>
        <w:ind w:left="6480" w:hanging="360"/>
      </w:pPr>
      <w:rPr>
        <w:rFonts w:ascii="Wingdings" w:eastAsia="Wingdings" w:hAnsi="Wingdings" w:cs="Wingdings"/>
      </w:rPr>
    </w:lvl>
  </w:abstractNum>
  <w:abstractNum w:abstractNumId="7" w15:restartNumberingAfterBreak="0">
    <w:nsid w:val="1F582B32"/>
    <w:multiLevelType w:val="hybridMultilevel"/>
    <w:tmpl w:val="CD90B166"/>
    <w:lvl w:ilvl="0" w:tplc="1C98456C">
      <w:start w:val="1"/>
      <w:numFmt w:val="bullet"/>
      <w:lvlText w:val="–"/>
      <w:lvlJc w:val="left"/>
      <w:pPr>
        <w:ind w:left="709" w:hanging="360"/>
      </w:pPr>
      <w:rPr>
        <w:rFonts w:ascii="Arial" w:eastAsia="Arial" w:hAnsi="Arial" w:cs="Arial"/>
      </w:rPr>
    </w:lvl>
    <w:lvl w:ilvl="1" w:tplc="93B40396">
      <w:start w:val="1"/>
      <w:numFmt w:val="bullet"/>
      <w:lvlText w:val="o"/>
      <w:lvlJc w:val="left"/>
      <w:pPr>
        <w:ind w:left="1429" w:hanging="360"/>
      </w:pPr>
      <w:rPr>
        <w:rFonts w:ascii="Courier New" w:eastAsia="Courier New" w:hAnsi="Courier New" w:cs="Courier New"/>
      </w:rPr>
    </w:lvl>
    <w:lvl w:ilvl="2" w:tplc="D28256E6">
      <w:start w:val="1"/>
      <w:numFmt w:val="bullet"/>
      <w:lvlText w:val="§"/>
      <w:lvlJc w:val="left"/>
      <w:pPr>
        <w:ind w:left="2149" w:hanging="360"/>
      </w:pPr>
      <w:rPr>
        <w:rFonts w:ascii="Wingdings" w:eastAsia="Wingdings" w:hAnsi="Wingdings" w:cs="Wingdings"/>
      </w:rPr>
    </w:lvl>
    <w:lvl w:ilvl="3" w:tplc="3F145680">
      <w:start w:val="1"/>
      <w:numFmt w:val="bullet"/>
      <w:lvlText w:val="·"/>
      <w:lvlJc w:val="left"/>
      <w:pPr>
        <w:ind w:left="2869" w:hanging="360"/>
      </w:pPr>
      <w:rPr>
        <w:rFonts w:ascii="Symbol" w:eastAsia="Symbol" w:hAnsi="Symbol" w:cs="Symbol"/>
      </w:rPr>
    </w:lvl>
    <w:lvl w:ilvl="4" w:tplc="FBC078D6">
      <w:start w:val="1"/>
      <w:numFmt w:val="bullet"/>
      <w:lvlText w:val="o"/>
      <w:lvlJc w:val="left"/>
      <w:pPr>
        <w:ind w:left="3589" w:hanging="360"/>
      </w:pPr>
      <w:rPr>
        <w:rFonts w:ascii="Courier New" w:eastAsia="Courier New" w:hAnsi="Courier New" w:cs="Courier New"/>
      </w:rPr>
    </w:lvl>
    <w:lvl w:ilvl="5" w:tplc="4B52D6AE">
      <w:start w:val="1"/>
      <w:numFmt w:val="bullet"/>
      <w:lvlText w:val="§"/>
      <w:lvlJc w:val="left"/>
      <w:pPr>
        <w:ind w:left="4309" w:hanging="360"/>
      </w:pPr>
      <w:rPr>
        <w:rFonts w:ascii="Wingdings" w:eastAsia="Wingdings" w:hAnsi="Wingdings" w:cs="Wingdings"/>
      </w:rPr>
    </w:lvl>
    <w:lvl w:ilvl="6" w:tplc="58A2D50C">
      <w:start w:val="1"/>
      <w:numFmt w:val="bullet"/>
      <w:lvlText w:val="·"/>
      <w:lvlJc w:val="left"/>
      <w:pPr>
        <w:ind w:left="5029" w:hanging="360"/>
      </w:pPr>
      <w:rPr>
        <w:rFonts w:ascii="Symbol" w:eastAsia="Symbol" w:hAnsi="Symbol" w:cs="Symbol"/>
      </w:rPr>
    </w:lvl>
    <w:lvl w:ilvl="7" w:tplc="EEC816C8">
      <w:start w:val="1"/>
      <w:numFmt w:val="bullet"/>
      <w:lvlText w:val="o"/>
      <w:lvlJc w:val="left"/>
      <w:pPr>
        <w:ind w:left="5749" w:hanging="360"/>
      </w:pPr>
      <w:rPr>
        <w:rFonts w:ascii="Courier New" w:eastAsia="Courier New" w:hAnsi="Courier New" w:cs="Courier New"/>
      </w:rPr>
    </w:lvl>
    <w:lvl w:ilvl="8" w:tplc="662AD5F0">
      <w:start w:val="1"/>
      <w:numFmt w:val="bullet"/>
      <w:lvlText w:val="§"/>
      <w:lvlJc w:val="left"/>
      <w:pPr>
        <w:ind w:left="6469" w:hanging="360"/>
      </w:pPr>
      <w:rPr>
        <w:rFonts w:ascii="Wingdings" w:eastAsia="Wingdings" w:hAnsi="Wingdings" w:cs="Wingdings"/>
      </w:rPr>
    </w:lvl>
  </w:abstractNum>
  <w:abstractNum w:abstractNumId="8" w15:restartNumberingAfterBreak="0">
    <w:nsid w:val="26221838"/>
    <w:multiLevelType w:val="hybridMultilevel"/>
    <w:tmpl w:val="8252FDC2"/>
    <w:lvl w:ilvl="0" w:tplc="C8EA6132">
      <w:start w:val="1"/>
      <w:numFmt w:val="bullet"/>
      <w:lvlText w:val="·"/>
      <w:lvlJc w:val="left"/>
      <w:pPr>
        <w:ind w:left="720" w:hanging="360"/>
      </w:pPr>
      <w:rPr>
        <w:rFonts w:ascii="Symbol" w:eastAsia="Symbol" w:hAnsi="Symbol" w:cs="Symbol"/>
      </w:rPr>
    </w:lvl>
    <w:lvl w:ilvl="1" w:tplc="113C9560">
      <w:start w:val="1"/>
      <w:numFmt w:val="bullet"/>
      <w:lvlText w:val="o"/>
      <w:lvlJc w:val="left"/>
      <w:pPr>
        <w:ind w:left="1440" w:hanging="360"/>
      </w:pPr>
      <w:rPr>
        <w:rFonts w:ascii="Courier New" w:eastAsia="Courier New" w:hAnsi="Courier New" w:cs="Courier New"/>
      </w:rPr>
    </w:lvl>
    <w:lvl w:ilvl="2" w:tplc="F628DF3A">
      <w:start w:val="1"/>
      <w:numFmt w:val="bullet"/>
      <w:lvlText w:val="§"/>
      <w:lvlJc w:val="left"/>
      <w:pPr>
        <w:ind w:left="2160" w:hanging="360"/>
      </w:pPr>
      <w:rPr>
        <w:rFonts w:ascii="Wingdings" w:eastAsia="Wingdings" w:hAnsi="Wingdings" w:cs="Wingdings"/>
      </w:rPr>
    </w:lvl>
    <w:lvl w:ilvl="3" w:tplc="57548DF0">
      <w:start w:val="1"/>
      <w:numFmt w:val="bullet"/>
      <w:lvlText w:val="·"/>
      <w:lvlJc w:val="left"/>
      <w:pPr>
        <w:ind w:left="2880" w:hanging="360"/>
      </w:pPr>
      <w:rPr>
        <w:rFonts w:ascii="Symbol" w:eastAsia="Symbol" w:hAnsi="Symbol" w:cs="Symbol"/>
      </w:rPr>
    </w:lvl>
    <w:lvl w:ilvl="4" w:tplc="97BA6342">
      <w:start w:val="1"/>
      <w:numFmt w:val="bullet"/>
      <w:lvlText w:val="o"/>
      <w:lvlJc w:val="left"/>
      <w:pPr>
        <w:ind w:left="3600" w:hanging="360"/>
      </w:pPr>
      <w:rPr>
        <w:rFonts w:ascii="Courier New" w:eastAsia="Courier New" w:hAnsi="Courier New" w:cs="Courier New"/>
      </w:rPr>
    </w:lvl>
    <w:lvl w:ilvl="5" w:tplc="3C2CF7AE">
      <w:start w:val="1"/>
      <w:numFmt w:val="bullet"/>
      <w:lvlText w:val="§"/>
      <w:lvlJc w:val="left"/>
      <w:pPr>
        <w:ind w:left="4320" w:hanging="360"/>
      </w:pPr>
      <w:rPr>
        <w:rFonts w:ascii="Wingdings" w:eastAsia="Wingdings" w:hAnsi="Wingdings" w:cs="Wingdings"/>
      </w:rPr>
    </w:lvl>
    <w:lvl w:ilvl="6" w:tplc="6772D9B6">
      <w:start w:val="1"/>
      <w:numFmt w:val="bullet"/>
      <w:lvlText w:val="·"/>
      <w:lvlJc w:val="left"/>
      <w:pPr>
        <w:ind w:left="5040" w:hanging="360"/>
      </w:pPr>
      <w:rPr>
        <w:rFonts w:ascii="Symbol" w:eastAsia="Symbol" w:hAnsi="Symbol" w:cs="Symbol"/>
      </w:rPr>
    </w:lvl>
    <w:lvl w:ilvl="7" w:tplc="DAB25AAC">
      <w:start w:val="1"/>
      <w:numFmt w:val="bullet"/>
      <w:lvlText w:val="o"/>
      <w:lvlJc w:val="left"/>
      <w:pPr>
        <w:ind w:left="5760" w:hanging="360"/>
      </w:pPr>
      <w:rPr>
        <w:rFonts w:ascii="Courier New" w:eastAsia="Courier New" w:hAnsi="Courier New" w:cs="Courier New"/>
      </w:rPr>
    </w:lvl>
    <w:lvl w:ilvl="8" w:tplc="1454400C">
      <w:start w:val="1"/>
      <w:numFmt w:val="bullet"/>
      <w:lvlText w:val="§"/>
      <w:lvlJc w:val="left"/>
      <w:pPr>
        <w:ind w:left="6480" w:hanging="360"/>
      </w:pPr>
      <w:rPr>
        <w:rFonts w:ascii="Wingdings" w:eastAsia="Wingdings" w:hAnsi="Wingdings" w:cs="Wingdings"/>
      </w:rPr>
    </w:lvl>
  </w:abstractNum>
  <w:abstractNum w:abstractNumId="9" w15:restartNumberingAfterBreak="0">
    <w:nsid w:val="279F3973"/>
    <w:multiLevelType w:val="hybridMultilevel"/>
    <w:tmpl w:val="0405001D"/>
    <w:styleLink w:val="VariantaB-sla"/>
    <w:lvl w:ilvl="0" w:tplc="54187C6A">
      <w:start w:val="1"/>
      <w:numFmt w:val="decimal"/>
      <w:pStyle w:val="slovanseznamB"/>
      <w:lvlText w:val="%1)"/>
      <w:lvlJc w:val="left"/>
      <w:pPr>
        <w:ind w:left="360" w:hanging="360"/>
      </w:pPr>
      <w:rPr>
        <w:rFonts w:hint="default"/>
      </w:rPr>
    </w:lvl>
    <w:lvl w:ilvl="1" w:tplc="54BC42EE">
      <w:start w:val="1"/>
      <w:numFmt w:val="lowerLetter"/>
      <w:pStyle w:val="slovanseznamB2"/>
      <w:lvlText w:val="%2)"/>
      <w:lvlJc w:val="left"/>
      <w:pPr>
        <w:ind w:left="720" w:hanging="360"/>
      </w:pPr>
      <w:rPr>
        <w:rFonts w:hint="default"/>
      </w:rPr>
    </w:lvl>
    <w:lvl w:ilvl="2" w:tplc="F940D0F4">
      <w:start w:val="1"/>
      <w:numFmt w:val="lowerRoman"/>
      <w:pStyle w:val="slovanseznamB3"/>
      <w:lvlText w:val="%3)"/>
      <w:lvlJc w:val="left"/>
      <w:pPr>
        <w:ind w:left="1080" w:hanging="360"/>
      </w:pPr>
      <w:rPr>
        <w:rFonts w:hint="default"/>
      </w:rPr>
    </w:lvl>
    <w:lvl w:ilvl="3" w:tplc="C59EB9A0">
      <w:start w:val="1"/>
      <w:numFmt w:val="decimal"/>
      <w:pStyle w:val="slovanseznamB4"/>
      <w:lvlText w:val="(%4)"/>
      <w:lvlJc w:val="left"/>
      <w:pPr>
        <w:ind w:left="1440" w:hanging="360"/>
      </w:pPr>
      <w:rPr>
        <w:rFonts w:hint="default"/>
      </w:rPr>
    </w:lvl>
    <w:lvl w:ilvl="4" w:tplc="C3C26CA8">
      <w:start w:val="1"/>
      <w:numFmt w:val="lowerLetter"/>
      <w:pStyle w:val="slovanseznamB5"/>
      <w:lvlText w:val="(%5)"/>
      <w:lvlJc w:val="left"/>
      <w:pPr>
        <w:ind w:left="1800" w:hanging="360"/>
      </w:pPr>
      <w:rPr>
        <w:rFonts w:hint="default"/>
      </w:rPr>
    </w:lvl>
    <w:lvl w:ilvl="5" w:tplc="CC0EA922">
      <w:start w:val="1"/>
      <w:numFmt w:val="lowerRoman"/>
      <w:lvlText w:val="(%6)"/>
      <w:lvlJc w:val="left"/>
      <w:pPr>
        <w:ind w:left="2160" w:hanging="360"/>
      </w:pPr>
      <w:rPr>
        <w:rFonts w:hint="default"/>
      </w:rPr>
    </w:lvl>
    <w:lvl w:ilvl="6" w:tplc="ECB21464">
      <w:start w:val="1"/>
      <w:numFmt w:val="decimal"/>
      <w:lvlText w:val="%7."/>
      <w:lvlJc w:val="left"/>
      <w:pPr>
        <w:ind w:left="2520" w:hanging="360"/>
      </w:pPr>
      <w:rPr>
        <w:rFonts w:hint="default"/>
      </w:rPr>
    </w:lvl>
    <w:lvl w:ilvl="7" w:tplc="91363814">
      <w:start w:val="1"/>
      <w:numFmt w:val="lowerLetter"/>
      <w:lvlText w:val="%8."/>
      <w:lvlJc w:val="left"/>
      <w:pPr>
        <w:ind w:left="2880" w:hanging="360"/>
      </w:pPr>
      <w:rPr>
        <w:rFonts w:hint="default"/>
      </w:rPr>
    </w:lvl>
    <w:lvl w:ilvl="8" w:tplc="DBA83F92">
      <w:start w:val="1"/>
      <w:numFmt w:val="lowerRoman"/>
      <w:lvlText w:val="%9."/>
      <w:lvlJc w:val="left"/>
      <w:pPr>
        <w:ind w:left="3240" w:hanging="360"/>
      </w:pPr>
      <w:rPr>
        <w:rFonts w:hint="default"/>
      </w:rPr>
    </w:lvl>
  </w:abstractNum>
  <w:abstractNum w:abstractNumId="10" w15:restartNumberingAfterBreak="0">
    <w:nsid w:val="3E51709E"/>
    <w:multiLevelType w:val="hybridMultilevel"/>
    <w:tmpl w:val="4A10BFE2"/>
    <w:lvl w:ilvl="0" w:tplc="C19ABE18">
      <w:start w:val="1"/>
      <w:numFmt w:val="bullet"/>
      <w:lvlText w:val="·"/>
      <w:lvlJc w:val="left"/>
      <w:pPr>
        <w:ind w:left="720" w:hanging="360"/>
      </w:pPr>
      <w:rPr>
        <w:rFonts w:ascii="Symbol" w:eastAsia="Symbol" w:hAnsi="Symbol" w:cs="Symbol"/>
      </w:rPr>
    </w:lvl>
    <w:lvl w:ilvl="1" w:tplc="2B387CE8">
      <w:start w:val="1"/>
      <w:numFmt w:val="bullet"/>
      <w:lvlText w:val="o"/>
      <w:lvlJc w:val="left"/>
      <w:pPr>
        <w:ind w:left="1440" w:hanging="360"/>
      </w:pPr>
      <w:rPr>
        <w:rFonts w:ascii="Courier New" w:eastAsia="Courier New" w:hAnsi="Courier New" w:cs="Courier New"/>
      </w:rPr>
    </w:lvl>
    <w:lvl w:ilvl="2" w:tplc="6186B546">
      <w:start w:val="1"/>
      <w:numFmt w:val="bullet"/>
      <w:lvlText w:val="§"/>
      <w:lvlJc w:val="left"/>
      <w:pPr>
        <w:ind w:left="2160" w:hanging="360"/>
      </w:pPr>
      <w:rPr>
        <w:rFonts w:ascii="Wingdings" w:eastAsia="Wingdings" w:hAnsi="Wingdings" w:cs="Wingdings"/>
      </w:rPr>
    </w:lvl>
    <w:lvl w:ilvl="3" w:tplc="AE4C49E2">
      <w:start w:val="1"/>
      <w:numFmt w:val="bullet"/>
      <w:lvlText w:val="·"/>
      <w:lvlJc w:val="left"/>
      <w:pPr>
        <w:ind w:left="2880" w:hanging="360"/>
      </w:pPr>
      <w:rPr>
        <w:rFonts w:ascii="Symbol" w:eastAsia="Symbol" w:hAnsi="Symbol" w:cs="Symbol"/>
      </w:rPr>
    </w:lvl>
    <w:lvl w:ilvl="4" w:tplc="F7901548">
      <w:start w:val="1"/>
      <w:numFmt w:val="bullet"/>
      <w:lvlText w:val="o"/>
      <w:lvlJc w:val="left"/>
      <w:pPr>
        <w:ind w:left="3600" w:hanging="360"/>
      </w:pPr>
      <w:rPr>
        <w:rFonts w:ascii="Courier New" w:eastAsia="Courier New" w:hAnsi="Courier New" w:cs="Courier New"/>
      </w:rPr>
    </w:lvl>
    <w:lvl w:ilvl="5" w:tplc="E89AE2EE">
      <w:start w:val="1"/>
      <w:numFmt w:val="bullet"/>
      <w:lvlText w:val="§"/>
      <w:lvlJc w:val="left"/>
      <w:pPr>
        <w:ind w:left="4320" w:hanging="360"/>
      </w:pPr>
      <w:rPr>
        <w:rFonts w:ascii="Wingdings" w:eastAsia="Wingdings" w:hAnsi="Wingdings" w:cs="Wingdings"/>
      </w:rPr>
    </w:lvl>
    <w:lvl w:ilvl="6" w:tplc="812016D4">
      <w:start w:val="1"/>
      <w:numFmt w:val="bullet"/>
      <w:lvlText w:val="·"/>
      <w:lvlJc w:val="left"/>
      <w:pPr>
        <w:ind w:left="5040" w:hanging="360"/>
      </w:pPr>
      <w:rPr>
        <w:rFonts w:ascii="Symbol" w:eastAsia="Symbol" w:hAnsi="Symbol" w:cs="Symbol"/>
      </w:rPr>
    </w:lvl>
    <w:lvl w:ilvl="7" w:tplc="10BA1C16">
      <w:start w:val="1"/>
      <w:numFmt w:val="bullet"/>
      <w:lvlText w:val="o"/>
      <w:lvlJc w:val="left"/>
      <w:pPr>
        <w:ind w:left="5760" w:hanging="360"/>
      </w:pPr>
      <w:rPr>
        <w:rFonts w:ascii="Courier New" w:eastAsia="Courier New" w:hAnsi="Courier New" w:cs="Courier New"/>
      </w:rPr>
    </w:lvl>
    <w:lvl w:ilvl="8" w:tplc="FF16BD40">
      <w:start w:val="1"/>
      <w:numFmt w:val="bullet"/>
      <w:lvlText w:val="§"/>
      <w:lvlJc w:val="left"/>
      <w:pPr>
        <w:ind w:left="6480" w:hanging="360"/>
      </w:pPr>
      <w:rPr>
        <w:rFonts w:ascii="Wingdings" w:eastAsia="Wingdings" w:hAnsi="Wingdings" w:cs="Wingdings"/>
      </w:rPr>
    </w:lvl>
  </w:abstractNum>
  <w:abstractNum w:abstractNumId="11" w15:restartNumberingAfterBreak="0">
    <w:nsid w:val="4182498D"/>
    <w:multiLevelType w:val="hybridMultilevel"/>
    <w:tmpl w:val="EA926794"/>
    <w:lvl w:ilvl="0" w:tplc="0628891E">
      <w:start w:val="1"/>
      <w:numFmt w:val="bullet"/>
      <w:lvlText w:val="–"/>
      <w:lvlJc w:val="left"/>
      <w:pPr>
        <w:ind w:left="709" w:hanging="360"/>
      </w:pPr>
      <w:rPr>
        <w:rFonts w:ascii="Arial" w:eastAsia="Arial" w:hAnsi="Arial" w:cs="Arial"/>
      </w:rPr>
    </w:lvl>
    <w:lvl w:ilvl="1" w:tplc="BD5E65FA">
      <w:start w:val="1"/>
      <w:numFmt w:val="bullet"/>
      <w:lvlText w:val="o"/>
      <w:lvlJc w:val="left"/>
      <w:pPr>
        <w:ind w:left="1429" w:hanging="360"/>
      </w:pPr>
      <w:rPr>
        <w:rFonts w:ascii="Courier New" w:eastAsia="Courier New" w:hAnsi="Courier New" w:cs="Courier New"/>
      </w:rPr>
    </w:lvl>
    <w:lvl w:ilvl="2" w:tplc="907EBB66">
      <w:start w:val="1"/>
      <w:numFmt w:val="bullet"/>
      <w:lvlText w:val="§"/>
      <w:lvlJc w:val="left"/>
      <w:pPr>
        <w:ind w:left="2149" w:hanging="360"/>
      </w:pPr>
      <w:rPr>
        <w:rFonts w:ascii="Wingdings" w:eastAsia="Wingdings" w:hAnsi="Wingdings" w:cs="Wingdings"/>
      </w:rPr>
    </w:lvl>
    <w:lvl w:ilvl="3" w:tplc="BA3295C4">
      <w:start w:val="1"/>
      <w:numFmt w:val="bullet"/>
      <w:lvlText w:val="·"/>
      <w:lvlJc w:val="left"/>
      <w:pPr>
        <w:ind w:left="2869" w:hanging="360"/>
      </w:pPr>
      <w:rPr>
        <w:rFonts w:ascii="Symbol" w:eastAsia="Symbol" w:hAnsi="Symbol" w:cs="Symbol"/>
      </w:rPr>
    </w:lvl>
    <w:lvl w:ilvl="4" w:tplc="09B24EC8">
      <w:start w:val="1"/>
      <w:numFmt w:val="bullet"/>
      <w:lvlText w:val="o"/>
      <w:lvlJc w:val="left"/>
      <w:pPr>
        <w:ind w:left="3589" w:hanging="360"/>
      </w:pPr>
      <w:rPr>
        <w:rFonts w:ascii="Courier New" w:eastAsia="Courier New" w:hAnsi="Courier New" w:cs="Courier New"/>
      </w:rPr>
    </w:lvl>
    <w:lvl w:ilvl="5" w:tplc="B1B8745C">
      <w:start w:val="1"/>
      <w:numFmt w:val="bullet"/>
      <w:lvlText w:val="§"/>
      <w:lvlJc w:val="left"/>
      <w:pPr>
        <w:ind w:left="4309" w:hanging="360"/>
      </w:pPr>
      <w:rPr>
        <w:rFonts w:ascii="Wingdings" w:eastAsia="Wingdings" w:hAnsi="Wingdings" w:cs="Wingdings"/>
      </w:rPr>
    </w:lvl>
    <w:lvl w:ilvl="6" w:tplc="8440FD74">
      <w:start w:val="1"/>
      <w:numFmt w:val="bullet"/>
      <w:lvlText w:val="·"/>
      <w:lvlJc w:val="left"/>
      <w:pPr>
        <w:ind w:left="5029" w:hanging="360"/>
      </w:pPr>
      <w:rPr>
        <w:rFonts w:ascii="Symbol" w:eastAsia="Symbol" w:hAnsi="Symbol" w:cs="Symbol"/>
      </w:rPr>
    </w:lvl>
    <w:lvl w:ilvl="7" w:tplc="E7DEB054">
      <w:start w:val="1"/>
      <w:numFmt w:val="bullet"/>
      <w:lvlText w:val="o"/>
      <w:lvlJc w:val="left"/>
      <w:pPr>
        <w:ind w:left="5749" w:hanging="360"/>
      </w:pPr>
      <w:rPr>
        <w:rFonts w:ascii="Courier New" w:eastAsia="Courier New" w:hAnsi="Courier New" w:cs="Courier New"/>
      </w:rPr>
    </w:lvl>
    <w:lvl w:ilvl="8" w:tplc="3A1828DE">
      <w:start w:val="1"/>
      <w:numFmt w:val="bullet"/>
      <w:lvlText w:val="§"/>
      <w:lvlJc w:val="left"/>
      <w:pPr>
        <w:ind w:left="6469" w:hanging="360"/>
      </w:pPr>
      <w:rPr>
        <w:rFonts w:ascii="Wingdings" w:eastAsia="Wingdings" w:hAnsi="Wingdings" w:cs="Wingdings"/>
      </w:rPr>
    </w:lvl>
  </w:abstractNum>
  <w:abstractNum w:abstractNumId="12" w15:restartNumberingAfterBreak="0">
    <w:nsid w:val="44176D96"/>
    <w:multiLevelType w:val="hybridMultilevel"/>
    <w:tmpl w:val="D74879C4"/>
    <w:lvl w:ilvl="0" w:tplc="BF92CAA6">
      <w:start w:val="1"/>
      <w:numFmt w:val="bullet"/>
      <w:lvlText w:val="·"/>
      <w:lvlJc w:val="left"/>
      <w:pPr>
        <w:ind w:left="720" w:hanging="360"/>
      </w:pPr>
      <w:rPr>
        <w:rFonts w:ascii="Symbol" w:eastAsia="Symbol" w:hAnsi="Symbol" w:cs="Symbol"/>
      </w:rPr>
    </w:lvl>
    <w:lvl w:ilvl="1" w:tplc="E8D61BFE">
      <w:start w:val="1"/>
      <w:numFmt w:val="bullet"/>
      <w:lvlText w:val="o"/>
      <w:lvlJc w:val="left"/>
      <w:pPr>
        <w:ind w:left="1440" w:hanging="360"/>
      </w:pPr>
      <w:rPr>
        <w:rFonts w:ascii="Courier New" w:eastAsia="Courier New" w:hAnsi="Courier New" w:cs="Courier New"/>
      </w:rPr>
    </w:lvl>
    <w:lvl w:ilvl="2" w:tplc="5B4C0B48">
      <w:start w:val="1"/>
      <w:numFmt w:val="bullet"/>
      <w:lvlText w:val="§"/>
      <w:lvlJc w:val="left"/>
      <w:pPr>
        <w:ind w:left="2160" w:hanging="360"/>
      </w:pPr>
      <w:rPr>
        <w:rFonts w:ascii="Wingdings" w:eastAsia="Wingdings" w:hAnsi="Wingdings" w:cs="Wingdings"/>
      </w:rPr>
    </w:lvl>
    <w:lvl w:ilvl="3" w:tplc="37D2FC6E">
      <w:start w:val="1"/>
      <w:numFmt w:val="bullet"/>
      <w:lvlText w:val="·"/>
      <w:lvlJc w:val="left"/>
      <w:pPr>
        <w:ind w:left="2880" w:hanging="360"/>
      </w:pPr>
      <w:rPr>
        <w:rFonts w:ascii="Symbol" w:eastAsia="Symbol" w:hAnsi="Symbol" w:cs="Symbol"/>
      </w:rPr>
    </w:lvl>
    <w:lvl w:ilvl="4" w:tplc="A0EC0CCE">
      <w:start w:val="1"/>
      <w:numFmt w:val="bullet"/>
      <w:lvlText w:val="o"/>
      <w:lvlJc w:val="left"/>
      <w:pPr>
        <w:ind w:left="3600" w:hanging="360"/>
      </w:pPr>
      <w:rPr>
        <w:rFonts w:ascii="Courier New" w:eastAsia="Courier New" w:hAnsi="Courier New" w:cs="Courier New"/>
      </w:rPr>
    </w:lvl>
    <w:lvl w:ilvl="5" w:tplc="8D162246">
      <w:start w:val="1"/>
      <w:numFmt w:val="bullet"/>
      <w:lvlText w:val="§"/>
      <w:lvlJc w:val="left"/>
      <w:pPr>
        <w:ind w:left="4320" w:hanging="360"/>
      </w:pPr>
      <w:rPr>
        <w:rFonts w:ascii="Wingdings" w:eastAsia="Wingdings" w:hAnsi="Wingdings" w:cs="Wingdings"/>
      </w:rPr>
    </w:lvl>
    <w:lvl w:ilvl="6" w:tplc="197889C0">
      <w:start w:val="1"/>
      <w:numFmt w:val="bullet"/>
      <w:lvlText w:val="·"/>
      <w:lvlJc w:val="left"/>
      <w:pPr>
        <w:ind w:left="5040" w:hanging="360"/>
      </w:pPr>
      <w:rPr>
        <w:rFonts w:ascii="Symbol" w:eastAsia="Symbol" w:hAnsi="Symbol" w:cs="Symbol"/>
      </w:rPr>
    </w:lvl>
    <w:lvl w:ilvl="7" w:tplc="19BA6F62">
      <w:start w:val="1"/>
      <w:numFmt w:val="bullet"/>
      <w:lvlText w:val="o"/>
      <w:lvlJc w:val="left"/>
      <w:pPr>
        <w:ind w:left="5760" w:hanging="360"/>
      </w:pPr>
      <w:rPr>
        <w:rFonts w:ascii="Courier New" w:eastAsia="Courier New" w:hAnsi="Courier New" w:cs="Courier New"/>
      </w:rPr>
    </w:lvl>
    <w:lvl w:ilvl="8" w:tplc="9A149DC6">
      <w:start w:val="1"/>
      <w:numFmt w:val="bullet"/>
      <w:lvlText w:val="§"/>
      <w:lvlJc w:val="left"/>
      <w:pPr>
        <w:ind w:left="6480" w:hanging="360"/>
      </w:pPr>
      <w:rPr>
        <w:rFonts w:ascii="Wingdings" w:eastAsia="Wingdings" w:hAnsi="Wingdings" w:cs="Wingdings"/>
      </w:rPr>
    </w:lvl>
  </w:abstractNum>
  <w:abstractNum w:abstractNumId="13" w15:restartNumberingAfterBreak="0">
    <w:nsid w:val="4E9D2668"/>
    <w:multiLevelType w:val="hybridMultilevel"/>
    <w:tmpl w:val="568A4970"/>
    <w:styleLink w:val="VariantaA-odrky"/>
    <w:lvl w:ilvl="0" w:tplc="DE8E726E">
      <w:start w:val="1"/>
      <w:numFmt w:val="bullet"/>
      <w:pStyle w:val="Seznamsodrkami"/>
      <w:lvlText w:val=""/>
      <w:lvlJc w:val="left"/>
      <w:pPr>
        <w:ind w:left="357" w:hanging="357"/>
      </w:pPr>
      <w:rPr>
        <w:rFonts w:ascii="Wingdings" w:hAnsi="Wingdings" w:hint="default"/>
        <w:sz w:val="16"/>
      </w:rPr>
    </w:lvl>
    <w:lvl w:ilvl="1" w:tplc="83D8894A">
      <w:start w:val="1"/>
      <w:numFmt w:val="bullet"/>
      <w:pStyle w:val="Seznamsodrkami2"/>
      <w:lvlText w:val=""/>
      <w:lvlJc w:val="left"/>
      <w:pPr>
        <w:ind w:left="714" w:hanging="357"/>
      </w:pPr>
      <w:rPr>
        <w:rFonts w:ascii="Wingdings" w:hAnsi="Wingdings" w:hint="default"/>
        <w:sz w:val="14"/>
      </w:rPr>
    </w:lvl>
    <w:lvl w:ilvl="2" w:tplc="68E22864">
      <w:start w:val="1"/>
      <w:numFmt w:val="bullet"/>
      <w:pStyle w:val="Seznamsodrkami3"/>
      <w:lvlText w:val=""/>
      <w:lvlJc w:val="left"/>
      <w:pPr>
        <w:ind w:left="1071" w:hanging="357"/>
      </w:pPr>
      <w:rPr>
        <w:rFonts w:ascii="Wingdings" w:hAnsi="Wingdings" w:hint="default"/>
        <w:sz w:val="10"/>
      </w:rPr>
    </w:lvl>
    <w:lvl w:ilvl="3" w:tplc="12E2DEC4">
      <w:start w:val="1"/>
      <w:numFmt w:val="bullet"/>
      <w:pStyle w:val="Seznamsodrkami4"/>
      <w:lvlText w:val=""/>
      <w:lvlJc w:val="left"/>
      <w:pPr>
        <w:ind w:left="1428" w:hanging="357"/>
      </w:pPr>
      <w:rPr>
        <w:rFonts w:ascii="Wingdings" w:hAnsi="Wingdings" w:hint="default"/>
        <w:sz w:val="10"/>
      </w:rPr>
    </w:lvl>
    <w:lvl w:ilvl="4" w:tplc="BD108D4C">
      <w:start w:val="1"/>
      <w:numFmt w:val="bullet"/>
      <w:pStyle w:val="Seznamsodrkami5"/>
      <w:lvlText w:val=""/>
      <w:lvlJc w:val="left"/>
      <w:pPr>
        <w:ind w:left="1785" w:hanging="357"/>
      </w:pPr>
      <w:rPr>
        <w:rFonts w:ascii="Wingdings" w:hAnsi="Wingdings" w:hint="default"/>
        <w:sz w:val="10"/>
      </w:rPr>
    </w:lvl>
    <w:lvl w:ilvl="5" w:tplc="19F4E84A">
      <w:start w:val="1"/>
      <w:numFmt w:val="bullet"/>
      <w:lvlText w:val=""/>
      <w:lvlJc w:val="left"/>
      <w:pPr>
        <w:ind w:left="2142" w:hanging="357"/>
      </w:pPr>
      <w:rPr>
        <w:rFonts w:ascii="Wingdings" w:hAnsi="Wingdings" w:hint="default"/>
        <w:sz w:val="10"/>
      </w:rPr>
    </w:lvl>
    <w:lvl w:ilvl="6" w:tplc="E9B2D524">
      <w:start w:val="1"/>
      <w:numFmt w:val="bullet"/>
      <w:lvlText w:val=""/>
      <w:lvlJc w:val="left"/>
      <w:pPr>
        <w:ind w:left="2499" w:hanging="357"/>
      </w:pPr>
      <w:rPr>
        <w:rFonts w:ascii="Wingdings" w:hAnsi="Wingdings" w:hint="default"/>
        <w:sz w:val="10"/>
      </w:rPr>
    </w:lvl>
    <w:lvl w:ilvl="7" w:tplc="84BA6C28">
      <w:start w:val="1"/>
      <w:numFmt w:val="bullet"/>
      <w:lvlText w:val=""/>
      <w:lvlJc w:val="left"/>
      <w:pPr>
        <w:ind w:left="2856" w:hanging="357"/>
      </w:pPr>
      <w:rPr>
        <w:rFonts w:ascii="Wingdings" w:hAnsi="Wingdings" w:hint="default"/>
        <w:sz w:val="10"/>
      </w:rPr>
    </w:lvl>
    <w:lvl w:ilvl="8" w:tplc="B99ADB0E">
      <w:start w:val="1"/>
      <w:numFmt w:val="bullet"/>
      <w:lvlText w:val=""/>
      <w:lvlJc w:val="left"/>
      <w:pPr>
        <w:ind w:left="3213" w:hanging="357"/>
      </w:pPr>
      <w:rPr>
        <w:rFonts w:ascii="Wingdings" w:hAnsi="Wingdings" w:hint="default"/>
        <w:color w:val="000000" w:themeColor="text1"/>
        <w:sz w:val="10"/>
      </w:rPr>
    </w:lvl>
  </w:abstractNum>
  <w:abstractNum w:abstractNumId="14" w15:restartNumberingAfterBreak="0">
    <w:nsid w:val="56012C4D"/>
    <w:multiLevelType w:val="hybridMultilevel"/>
    <w:tmpl w:val="A39E5E10"/>
    <w:lvl w:ilvl="0" w:tplc="192C25A2">
      <w:start w:val="1"/>
      <w:numFmt w:val="bullet"/>
      <w:lvlText w:val="–"/>
      <w:lvlJc w:val="left"/>
      <w:pPr>
        <w:ind w:left="720" w:hanging="360"/>
      </w:pPr>
      <w:rPr>
        <w:rFonts w:ascii="Arial" w:eastAsia="Arial" w:hAnsi="Arial" w:cs="Arial"/>
      </w:rPr>
    </w:lvl>
    <w:lvl w:ilvl="1" w:tplc="FF24B6DA">
      <w:start w:val="1"/>
      <w:numFmt w:val="bullet"/>
      <w:lvlText w:val="o"/>
      <w:lvlJc w:val="left"/>
      <w:pPr>
        <w:ind w:left="1440" w:hanging="360"/>
      </w:pPr>
      <w:rPr>
        <w:rFonts w:ascii="Courier New" w:eastAsia="Courier New" w:hAnsi="Courier New" w:cs="Courier New"/>
      </w:rPr>
    </w:lvl>
    <w:lvl w:ilvl="2" w:tplc="5C02361C">
      <w:start w:val="1"/>
      <w:numFmt w:val="bullet"/>
      <w:lvlText w:val="§"/>
      <w:lvlJc w:val="left"/>
      <w:pPr>
        <w:ind w:left="2160" w:hanging="360"/>
      </w:pPr>
      <w:rPr>
        <w:rFonts w:ascii="Wingdings" w:eastAsia="Wingdings" w:hAnsi="Wingdings" w:cs="Wingdings"/>
      </w:rPr>
    </w:lvl>
    <w:lvl w:ilvl="3" w:tplc="360E47D6">
      <w:start w:val="1"/>
      <w:numFmt w:val="bullet"/>
      <w:lvlText w:val="·"/>
      <w:lvlJc w:val="left"/>
      <w:pPr>
        <w:ind w:left="2880" w:hanging="360"/>
      </w:pPr>
      <w:rPr>
        <w:rFonts w:ascii="Symbol" w:eastAsia="Symbol" w:hAnsi="Symbol" w:cs="Symbol"/>
      </w:rPr>
    </w:lvl>
    <w:lvl w:ilvl="4" w:tplc="6A0268D0">
      <w:start w:val="1"/>
      <w:numFmt w:val="bullet"/>
      <w:lvlText w:val="o"/>
      <w:lvlJc w:val="left"/>
      <w:pPr>
        <w:ind w:left="3600" w:hanging="360"/>
      </w:pPr>
      <w:rPr>
        <w:rFonts w:ascii="Courier New" w:eastAsia="Courier New" w:hAnsi="Courier New" w:cs="Courier New"/>
      </w:rPr>
    </w:lvl>
    <w:lvl w:ilvl="5" w:tplc="714E33BC">
      <w:start w:val="1"/>
      <w:numFmt w:val="bullet"/>
      <w:lvlText w:val="§"/>
      <w:lvlJc w:val="left"/>
      <w:pPr>
        <w:ind w:left="4320" w:hanging="360"/>
      </w:pPr>
      <w:rPr>
        <w:rFonts w:ascii="Wingdings" w:eastAsia="Wingdings" w:hAnsi="Wingdings" w:cs="Wingdings"/>
      </w:rPr>
    </w:lvl>
    <w:lvl w:ilvl="6" w:tplc="39223D32">
      <w:start w:val="1"/>
      <w:numFmt w:val="bullet"/>
      <w:lvlText w:val="·"/>
      <w:lvlJc w:val="left"/>
      <w:pPr>
        <w:ind w:left="5040" w:hanging="360"/>
      </w:pPr>
      <w:rPr>
        <w:rFonts w:ascii="Symbol" w:eastAsia="Symbol" w:hAnsi="Symbol" w:cs="Symbol"/>
      </w:rPr>
    </w:lvl>
    <w:lvl w:ilvl="7" w:tplc="1B120598">
      <w:start w:val="1"/>
      <w:numFmt w:val="bullet"/>
      <w:lvlText w:val="o"/>
      <w:lvlJc w:val="left"/>
      <w:pPr>
        <w:ind w:left="5760" w:hanging="360"/>
      </w:pPr>
      <w:rPr>
        <w:rFonts w:ascii="Courier New" w:eastAsia="Courier New" w:hAnsi="Courier New" w:cs="Courier New"/>
      </w:rPr>
    </w:lvl>
    <w:lvl w:ilvl="8" w:tplc="E24891BC">
      <w:start w:val="1"/>
      <w:numFmt w:val="bullet"/>
      <w:lvlText w:val="§"/>
      <w:lvlJc w:val="left"/>
      <w:pPr>
        <w:ind w:left="6480" w:hanging="360"/>
      </w:pPr>
      <w:rPr>
        <w:rFonts w:ascii="Wingdings" w:eastAsia="Wingdings" w:hAnsi="Wingdings" w:cs="Wingdings"/>
      </w:rPr>
    </w:lvl>
  </w:abstractNum>
  <w:abstractNum w:abstractNumId="15" w15:restartNumberingAfterBreak="0">
    <w:nsid w:val="56FC418E"/>
    <w:multiLevelType w:val="hybridMultilevel"/>
    <w:tmpl w:val="72104084"/>
    <w:lvl w:ilvl="0" w:tplc="773CA940">
      <w:start w:val="1"/>
      <w:numFmt w:val="bullet"/>
      <w:lvlText w:val="·"/>
      <w:lvlJc w:val="left"/>
      <w:pPr>
        <w:ind w:left="720" w:hanging="360"/>
      </w:pPr>
      <w:rPr>
        <w:rFonts w:ascii="Symbol" w:eastAsia="Symbol" w:hAnsi="Symbol" w:cs="Symbol"/>
      </w:rPr>
    </w:lvl>
    <w:lvl w:ilvl="1" w:tplc="7E54F7DA">
      <w:start w:val="1"/>
      <w:numFmt w:val="bullet"/>
      <w:lvlText w:val="o"/>
      <w:lvlJc w:val="left"/>
      <w:pPr>
        <w:ind w:left="1440" w:hanging="360"/>
      </w:pPr>
      <w:rPr>
        <w:rFonts w:ascii="Courier New" w:eastAsia="Courier New" w:hAnsi="Courier New" w:cs="Courier New"/>
      </w:rPr>
    </w:lvl>
    <w:lvl w:ilvl="2" w:tplc="EB64DF00">
      <w:start w:val="1"/>
      <w:numFmt w:val="bullet"/>
      <w:lvlText w:val="§"/>
      <w:lvlJc w:val="left"/>
      <w:pPr>
        <w:ind w:left="2160" w:hanging="360"/>
      </w:pPr>
      <w:rPr>
        <w:rFonts w:ascii="Wingdings" w:eastAsia="Wingdings" w:hAnsi="Wingdings" w:cs="Wingdings"/>
      </w:rPr>
    </w:lvl>
    <w:lvl w:ilvl="3" w:tplc="B70613C8">
      <w:start w:val="1"/>
      <w:numFmt w:val="bullet"/>
      <w:lvlText w:val="·"/>
      <w:lvlJc w:val="left"/>
      <w:pPr>
        <w:ind w:left="2880" w:hanging="360"/>
      </w:pPr>
      <w:rPr>
        <w:rFonts w:ascii="Symbol" w:eastAsia="Symbol" w:hAnsi="Symbol" w:cs="Symbol"/>
      </w:rPr>
    </w:lvl>
    <w:lvl w:ilvl="4" w:tplc="602A992E">
      <w:start w:val="1"/>
      <w:numFmt w:val="bullet"/>
      <w:lvlText w:val="o"/>
      <w:lvlJc w:val="left"/>
      <w:pPr>
        <w:ind w:left="3600" w:hanging="360"/>
      </w:pPr>
      <w:rPr>
        <w:rFonts w:ascii="Courier New" w:eastAsia="Courier New" w:hAnsi="Courier New" w:cs="Courier New"/>
      </w:rPr>
    </w:lvl>
    <w:lvl w:ilvl="5" w:tplc="F138B994">
      <w:start w:val="1"/>
      <w:numFmt w:val="bullet"/>
      <w:lvlText w:val="§"/>
      <w:lvlJc w:val="left"/>
      <w:pPr>
        <w:ind w:left="4320" w:hanging="360"/>
      </w:pPr>
      <w:rPr>
        <w:rFonts w:ascii="Wingdings" w:eastAsia="Wingdings" w:hAnsi="Wingdings" w:cs="Wingdings"/>
      </w:rPr>
    </w:lvl>
    <w:lvl w:ilvl="6" w:tplc="DF44B95C">
      <w:start w:val="1"/>
      <w:numFmt w:val="bullet"/>
      <w:lvlText w:val="·"/>
      <w:lvlJc w:val="left"/>
      <w:pPr>
        <w:ind w:left="5040" w:hanging="360"/>
      </w:pPr>
      <w:rPr>
        <w:rFonts w:ascii="Symbol" w:eastAsia="Symbol" w:hAnsi="Symbol" w:cs="Symbol"/>
      </w:rPr>
    </w:lvl>
    <w:lvl w:ilvl="7" w:tplc="8B2A383E">
      <w:start w:val="1"/>
      <w:numFmt w:val="bullet"/>
      <w:lvlText w:val="o"/>
      <w:lvlJc w:val="left"/>
      <w:pPr>
        <w:ind w:left="5760" w:hanging="360"/>
      </w:pPr>
      <w:rPr>
        <w:rFonts w:ascii="Courier New" w:eastAsia="Courier New" w:hAnsi="Courier New" w:cs="Courier New"/>
      </w:rPr>
    </w:lvl>
    <w:lvl w:ilvl="8" w:tplc="2A88F46A">
      <w:start w:val="1"/>
      <w:numFmt w:val="bullet"/>
      <w:lvlText w:val="§"/>
      <w:lvlJc w:val="left"/>
      <w:pPr>
        <w:ind w:left="6480" w:hanging="360"/>
      </w:pPr>
      <w:rPr>
        <w:rFonts w:ascii="Wingdings" w:eastAsia="Wingdings" w:hAnsi="Wingdings" w:cs="Wingdings"/>
      </w:rPr>
    </w:lvl>
  </w:abstractNum>
  <w:abstractNum w:abstractNumId="16" w15:restartNumberingAfterBreak="0">
    <w:nsid w:val="57A47684"/>
    <w:multiLevelType w:val="hybridMultilevel"/>
    <w:tmpl w:val="CFB4AB96"/>
    <w:lvl w:ilvl="0" w:tplc="21BC7A78">
      <w:start w:val="1"/>
      <w:numFmt w:val="decimal"/>
      <w:lvlText w:val="%1."/>
      <w:lvlJc w:val="left"/>
      <w:pPr>
        <w:ind w:left="720" w:hanging="360"/>
      </w:pPr>
    </w:lvl>
    <w:lvl w:ilvl="1" w:tplc="AB22B2A2">
      <w:start w:val="1"/>
      <w:numFmt w:val="lowerLetter"/>
      <w:lvlText w:val="%2."/>
      <w:lvlJc w:val="left"/>
      <w:pPr>
        <w:ind w:left="1440" w:hanging="360"/>
      </w:pPr>
    </w:lvl>
    <w:lvl w:ilvl="2" w:tplc="A240D944">
      <w:start w:val="1"/>
      <w:numFmt w:val="lowerRoman"/>
      <w:lvlText w:val="%3."/>
      <w:lvlJc w:val="right"/>
      <w:pPr>
        <w:ind w:left="2160" w:hanging="180"/>
      </w:pPr>
    </w:lvl>
    <w:lvl w:ilvl="3" w:tplc="8536DE30">
      <w:start w:val="1"/>
      <w:numFmt w:val="decimal"/>
      <w:lvlText w:val="%4."/>
      <w:lvlJc w:val="left"/>
      <w:pPr>
        <w:ind w:left="2880" w:hanging="360"/>
      </w:pPr>
    </w:lvl>
    <w:lvl w:ilvl="4" w:tplc="88E65700">
      <w:start w:val="1"/>
      <w:numFmt w:val="lowerLetter"/>
      <w:lvlText w:val="%5."/>
      <w:lvlJc w:val="left"/>
      <w:pPr>
        <w:ind w:left="3600" w:hanging="360"/>
      </w:pPr>
    </w:lvl>
    <w:lvl w:ilvl="5" w:tplc="350441AE">
      <w:start w:val="1"/>
      <w:numFmt w:val="lowerRoman"/>
      <w:lvlText w:val="%6."/>
      <w:lvlJc w:val="right"/>
      <w:pPr>
        <w:ind w:left="4320" w:hanging="180"/>
      </w:pPr>
    </w:lvl>
    <w:lvl w:ilvl="6" w:tplc="29B8C408">
      <w:start w:val="1"/>
      <w:numFmt w:val="decimal"/>
      <w:lvlText w:val="%7."/>
      <w:lvlJc w:val="left"/>
      <w:pPr>
        <w:ind w:left="5040" w:hanging="360"/>
      </w:pPr>
    </w:lvl>
    <w:lvl w:ilvl="7" w:tplc="F1A608AC">
      <w:start w:val="1"/>
      <w:numFmt w:val="lowerLetter"/>
      <w:lvlText w:val="%8."/>
      <w:lvlJc w:val="left"/>
      <w:pPr>
        <w:ind w:left="5760" w:hanging="360"/>
      </w:pPr>
    </w:lvl>
    <w:lvl w:ilvl="8" w:tplc="0CFC5D8E">
      <w:start w:val="1"/>
      <w:numFmt w:val="lowerRoman"/>
      <w:lvlText w:val="%9."/>
      <w:lvlJc w:val="right"/>
      <w:pPr>
        <w:ind w:left="6480" w:hanging="180"/>
      </w:pPr>
    </w:lvl>
  </w:abstractNum>
  <w:abstractNum w:abstractNumId="17" w15:restartNumberingAfterBreak="0">
    <w:nsid w:val="63F87E75"/>
    <w:multiLevelType w:val="hybridMultilevel"/>
    <w:tmpl w:val="41FA8CD6"/>
    <w:lvl w:ilvl="0" w:tplc="8DF0B8DA">
      <w:start w:val="1"/>
      <w:numFmt w:val="bullet"/>
      <w:lvlText w:val="–"/>
      <w:lvlJc w:val="left"/>
      <w:pPr>
        <w:ind w:left="720" w:hanging="360"/>
      </w:pPr>
      <w:rPr>
        <w:rFonts w:ascii="Arial" w:eastAsia="Arial" w:hAnsi="Arial" w:cs="Arial"/>
      </w:rPr>
    </w:lvl>
    <w:lvl w:ilvl="1" w:tplc="21F2ABF6">
      <w:start w:val="1"/>
      <w:numFmt w:val="bullet"/>
      <w:lvlText w:val="o"/>
      <w:lvlJc w:val="left"/>
      <w:pPr>
        <w:ind w:left="1440" w:hanging="360"/>
      </w:pPr>
      <w:rPr>
        <w:rFonts w:ascii="Courier New" w:eastAsia="Courier New" w:hAnsi="Courier New" w:cs="Courier New"/>
      </w:rPr>
    </w:lvl>
    <w:lvl w:ilvl="2" w:tplc="860C09A2">
      <w:start w:val="1"/>
      <w:numFmt w:val="bullet"/>
      <w:lvlText w:val="§"/>
      <w:lvlJc w:val="left"/>
      <w:pPr>
        <w:ind w:left="2160" w:hanging="360"/>
      </w:pPr>
      <w:rPr>
        <w:rFonts w:ascii="Wingdings" w:eastAsia="Wingdings" w:hAnsi="Wingdings" w:cs="Wingdings"/>
      </w:rPr>
    </w:lvl>
    <w:lvl w:ilvl="3" w:tplc="11460C1A">
      <w:start w:val="1"/>
      <w:numFmt w:val="bullet"/>
      <w:lvlText w:val="·"/>
      <w:lvlJc w:val="left"/>
      <w:pPr>
        <w:ind w:left="2880" w:hanging="360"/>
      </w:pPr>
      <w:rPr>
        <w:rFonts w:ascii="Symbol" w:eastAsia="Symbol" w:hAnsi="Symbol" w:cs="Symbol"/>
      </w:rPr>
    </w:lvl>
    <w:lvl w:ilvl="4" w:tplc="9C2826B4">
      <w:start w:val="1"/>
      <w:numFmt w:val="bullet"/>
      <w:lvlText w:val="o"/>
      <w:lvlJc w:val="left"/>
      <w:pPr>
        <w:ind w:left="3600" w:hanging="360"/>
      </w:pPr>
      <w:rPr>
        <w:rFonts w:ascii="Courier New" w:eastAsia="Courier New" w:hAnsi="Courier New" w:cs="Courier New"/>
      </w:rPr>
    </w:lvl>
    <w:lvl w:ilvl="5" w:tplc="2F2AD138">
      <w:start w:val="1"/>
      <w:numFmt w:val="bullet"/>
      <w:lvlText w:val="§"/>
      <w:lvlJc w:val="left"/>
      <w:pPr>
        <w:ind w:left="4320" w:hanging="360"/>
      </w:pPr>
      <w:rPr>
        <w:rFonts w:ascii="Wingdings" w:eastAsia="Wingdings" w:hAnsi="Wingdings" w:cs="Wingdings"/>
      </w:rPr>
    </w:lvl>
    <w:lvl w:ilvl="6" w:tplc="0CF8EAA6">
      <w:start w:val="1"/>
      <w:numFmt w:val="bullet"/>
      <w:lvlText w:val="·"/>
      <w:lvlJc w:val="left"/>
      <w:pPr>
        <w:ind w:left="5040" w:hanging="360"/>
      </w:pPr>
      <w:rPr>
        <w:rFonts w:ascii="Symbol" w:eastAsia="Symbol" w:hAnsi="Symbol" w:cs="Symbol"/>
      </w:rPr>
    </w:lvl>
    <w:lvl w:ilvl="7" w:tplc="9B580D3A">
      <w:start w:val="1"/>
      <w:numFmt w:val="bullet"/>
      <w:lvlText w:val="o"/>
      <w:lvlJc w:val="left"/>
      <w:pPr>
        <w:ind w:left="5760" w:hanging="360"/>
      </w:pPr>
      <w:rPr>
        <w:rFonts w:ascii="Courier New" w:eastAsia="Courier New" w:hAnsi="Courier New" w:cs="Courier New"/>
      </w:rPr>
    </w:lvl>
    <w:lvl w:ilvl="8" w:tplc="DF52D44A">
      <w:start w:val="1"/>
      <w:numFmt w:val="bullet"/>
      <w:lvlText w:val="§"/>
      <w:lvlJc w:val="left"/>
      <w:pPr>
        <w:ind w:left="6480" w:hanging="360"/>
      </w:pPr>
      <w:rPr>
        <w:rFonts w:ascii="Wingdings" w:eastAsia="Wingdings" w:hAnsi="Wingdings" w:cs="Wingdings"/>
      </w:rPr>
    </w:lvl>
  </w:abstractNum>
  <w:abstractNum w:abstractNumId="18" w15:restartNumberingAfterBreak="0">
    <w:nsid w:val="6A6034C5"/>
    <w:multiLevelType w:val="multilevel"/>
    <w:tmpl w:val="3CF00F4A"/>
    <w:numStyleLink w:val="VariantaA-sla"/>
  </w:abstractNum>
  <w:abstractNum w:abstractNumId="19" w15:restartNumberingAfterBreak="0">
    <w:nsid w:val="6BF84CF5"/>
    <w:multiLevelType w:val="multilevel"/>
    <w:tmpl w:val="3CF00F4A"/>
    <w:styleLink w:val="VariantaA-sla"/>
    <w:lvl w:ilvl="0">
      <w:start w:val="1"/>
      <w:numFmt w:val="decimal"/>
      <w:pStyle w:val="slovanseznam"/>
      <w:lvlText w:val="%1."/>
      <w:lvlJc w:val="left"/>
      <w:pPr>
        <w:ind w:left="357" w:hanging="357"/>
      </w:pPr>
      <w:rPr>
        <w:rFonts w:hint="default"/>
      </w:rPr>
    </w:lvl>
    <w:lvl w:ilvl="1">
      <w:start w:val="1"/>
      <w:numFmt w:val="decimal"/>
      <w:pStyle w:val="slovanseznam2"/>
      <w:lvlText w:val="%1.%2."/>
      <w:lvlJc w:val="left"/>
      <w:pPr>
        <w:ind w:left="851" w:hanging="494"/>
      </w:pPr>
      <w:rPr>
        <w:rFonts w:hint="default"/>
      </w:rPr>
    </w:lvl>
    <w:lvl w:ilvl="2">
      <w:start w:val="1"/>
      <w:numFmt w:val="decimal"/>
      <w:pStyle w:val="slovanseznam3"/>
      <w:lvlText w:val="%1.%2.%3."/>
      <w:lvlJc w:val="left"/>
      <w:pPr>
        <w:ind w:left="1474" w:hanging="623"/>
      </w:pPr>
      <w:rPr>
        <w:rFonts w:hint="default"/>
      </w:rPr>
    </w:lvl>
    <w:lvl w:ilvl="3">
      <w:start w:val="1"/>
      <w:numFmt w:val="decimal"/>
      <w:pStyle w:val="slovanseznam4"/>
      <w:lvlText w:val="%1.%2.%3.%4."/>
      <w:lvlJc w:val="left"/>
      <w:pPr>
        <w:tabs>
          <w:tab w:val="num" w:pos="1474"/>
        </w:tabs>
        <w:ind w:left="2268" w:hanging="794"/>
      </w:pPr>
      <w:rPr>
        <w:rFonts w:hint="default"/>
      </w:rPr>
    </w:lvl>
    <w:lvl w:ilvl="4">
      <w:start w:val="1"/>
      <w:numFmt w:val="decimal"/>
      <w:pStyle w:val="slovanseznam5"/>
      <w:lvlText w:val="%1.%2.%3.%4.%5."/>
      <w:lvlJc w:val="left"/>
      <w:pPr>
        <w:ind w:left="3232" w:hanging="964"/>
      </w:pPr>
      <w:rPr>
        <w:rFonts w:hint="default"/>
      </w:rPr>
    </w:lvl>
    <w:lvl w:ilvl="5">
      <w:start w:val="1"/>
      <w:numFmt w:val="decimal"/>
      <w:lvlText w:val="%1.%2.%3.%4.%5.%6."/>
      <w:lvlJc w:val="left"/>
      <w:pPr>
        <w:ind w:left="4366" w:hanging="1134"/>
      </w:pPr>
      <w:rPr>
        <w:rFonts w:hint="default"/>
      </w:rPr>
    </w:lvl>
    <w:lvl w:ilvl="6">
      <w:start w:val="1"/>
      <w:numFmt w:val="decimal"/>
      <w:lvlText w:val="%1.%2.%3.%4.%5.%6.%7."/>
      <w:lvlJc w:val="left"/>
      <w:pPr>
        <w:tabs>
          <w:tab w:val="num" w:pos="3232"/>
        </w:tabs>
        <w:ind w:left="4536" w:hanging="1304"/>
      </w:pPr>
      <w:rPr>
        <w:rFonts w:hint="default"/>
      </w:rPr>
    </w:lvl>
    <w:lvl w:ilvl="7">
      <w:start w:val="1"/>
      <w:numFmt w:val="decimal"/>
      <w:lvlText w:val="%1.%2.%3.%4.%5.%6.%7.%8."/>
      <w:lvlJc w:val="left"/>
      <w:pPr>
        <w:tabs>
          <w:tab w:val="num" w:pos="3232"/>
        </w:tabs>
        <w:ind w:left="4706" w:hanging="1474"/>
      </w:pPr>
      <w:rPr>
        <w:rFonts w:hint="default"/>
      </w:rPr>
    </w:lvl>
    <w:lvl w:ilvl="8">
      <w:start w:val="1"/>
      <w:numFmt w:val="decimal"/>
      <w:lvlText w:val="%1.%2.%3.%4.%5.%6.%7.%8.%9."/>
      <w:lvlJc w:val="left"/>
      <w:pPr>
        <w:ind w:left="4876" w:hanging="1644"/>
      </w:pPr>
      <w:rPr>
        <w:rFonts w:hint="default"/>
      </w:rPr>
    </w:lvl>
  </w:abstractNum>
  <w:abstractNum w:abstractNumId="20" w15:restartNumberingAfterBreak="0">
    <w:nsid w:val="71E52139"/>
    <w:multiLevelType w:val="hybridMultilevel"/>
    <w:tmpl w:val="6D420BD6"/>
    <w:lvl w:ilvl="0" w:tplc="91DE75CA">
      <w:start w:val="1"/>
      <w:numFmt w:val="bullet"/>
      <w:lvlText w:val="–"/>
      <w:lvlJc w:val="left"/>
      <w:pPr>
        <w:ind w:left="720" w:hanging="360"/>
      </w:pPr>
      <w:rPr>
        <w:rFonts w:ascii="Arial" w:eastAsia="Arial" w:hAnsi="Arial" w:cs="Arial"/>
      </w:rPr>
    </w:lvl>
    <w:lvl w:ilvl="1" w:tplc="65E8038A">
      <w:start w:val="1"/>
      <w:numFmt w:val="bullet"/>
      <w:lvlText w:val="o"/>
      <w:lvlJc w:val="left"/>
      <w:pPr>
        <w:ind w:left="1440" w:hanging="360"/>
      </w:pPr>
      <w:rPr>
        <w:rFonts w:ascii="Courier New" w:eastAsia="Courier New" w:hAnsi="Courier New" w:cs="Courier New"/>
      </w:rPr>
    </w:lvl>
    <w:lvl w:ilvl="2" w:tplc="FEFC8E12">
      <w:start w:val="1"/>
      <w:numFmt w:val="bullet"/>
      <w:lvlText w:val="§"/>
      <w:lvlJc w:val="left"/>
      <w:pPr>
        <w:ind w:left="2160" w:hanging="360"/>
      </w:pPr>
      <w:rPr>
        <w:rFonts w:ascii="Wingdings" w:eastAsia="Wingdings" w:hAnsi="Wingdings" w:cs="Wingdings"/>
      </w:rPr>
    </w:lvl>
    <w:lvl w:ilvl="3" w:tplc="D4A0AF2C">
      <w:start w:val="1"/>
      <w:numFmt w:val="bullet"/>
      <w:lvlText w:val="·"/>
      <w:lvlJc w:val="left"/>
      <w:pPr>
        <w:ind w:left="2880" w:hanging="360"/>
      </w:pPr>
      <w:rPr>
        <w:rFonts w:ascii="Symbol" w:eastAsia="Symbol" w:hAnsi="Symbol" w:cs="Symbol"/>
      </w:rPr>
    </w:lvl>
    <w:lvl w:ilvl="4" w:tplc="D76CFA1C">
      <w:start w:val="1"/>
      <w:numFmt w:val="bullet"/>
      <w:lvlText w:val="o"/>
      <w:lvlJc w:val="left"/>
      <w:pPr>
        <w:ind w:left="3600" w:hanging="360"/>
      </w:pPr>
      <w:rPr>
        <w:rFonts w:ascii="Courier New" w:eastAsia="Courier New" w:hAnsi="Courier New" w:cs="Courier New"/>
      </w:rPr>
    </w:lvl>
    <w:lvl w:ilvl="5" w:tplc="D194C390">
      <w:start w:val="1"/>
      <w:numFmt w:val="bullet"/>
      <w:lvlText w:val="§"/>
      <w:lvlJc w:val="left"/>
      <w:pPr>
        <w:ind w:left="4320" w:hanging="360"/>
      </w:pPr>
      <w:rPr>
        <w:rFonts w:ascii="Wingdings" w:eastAsia="Wingdings" w:hAnsi="Wingdings" w:cs="Wingdings"/>
      </w:rPr>
    </w:lvl>
    <w:lvl w:ilvl="6" w:tplc="FC1086C2">
      <w:start w:val="1"/>
      <w:numFmt w:val="bullet"/>
      <w:lvlText w:val="·"/>
      <w:lvlJc w:val="left"/>
      <w:pPr>
        <w:ind w:left="5040" w:hanging="360"/>
      </w:pPr>
      <w:rPr>
        <w:rFonts w:ascii="Symbol" w:eastAsia="Symbol" w:hAnsi="Symbol" w:cs="Symbol"/>
      </w:rPr>
    </w:lvl>
    <w:lvl w:ilvl="7" w:tplc="607E165C">
      <w:start w:val="1"/>
      <w:numFmt w:val="bullet"/>
      <w:lvlText w:val="o"/>
      <w:lvlJc w:val="left"/>
      <w:pPr>
        <w:ind w:left="5760" w:hanging="360"/>
      </w:pPr>
      <w:rPr>
        <w:rFonts w:ascii="Courier New" w:eastAsia="Courier New" w:hAnsi="Courier New" w:cs="Courier New"/>
      </w:rPr>
    </w:lvl>
    <w:lvl w:ilvl="8" w:tplc="3F6222A8">
      <w:start w:val="1"/>
      <w:numFmt w:val="bullet"/>
      <w:lvlText w:val="§"/>
      <w:lvlJc w:val="left"/>
      <w:pPr>
        <w:ind w:left="6480" w:hanging="360"/>
      </w:pPr>
      <w:rPr>
        <w:rFonts w:ascii="Wingdings" w:eastAsia="Wingdings" w:hAnsi="Wingdings" w:cs="Wingdings"/>
      </w:rPr>
    </w:lvl>
  </w:abstractNum>
  <w:abstractNum w:abstractNumId="21" w15:restartNumberingAfterBreak="0">
    <w:nsid w:val="77A70DB0"/>
    <w:multiLevelType w:val="hybridMultilevel"/>
    <w:tmpl w:val="87E01140"/>
    <w:lvl w:ilvl="0" w:tplc="1DC8E35C">
      <w:start w:val="1"/>
      <w:numFmt w:val="bullet"/>
      <w:lvlText w:val="·"/>
      <w:lvlJc w:val="left"/>
      <w:pPr>
        <w:ind w:left="720" w:hanging="360"/>
      </w:pPr>
      <w:rPr>
        <w:rFonts w:ascii="Symbol" w:eastAsia="Symbol" w:hAnsi="Symbol" w:cs="Symbol"/>
      </w:rPr>
    </w:lvl>
    <w:lvl w:ilvl="1" w:tplc="E912E46A">
      <w:start w:val="1"/>
      <w:numFmt w:val="bullet"/>
      <w:lvlText w:val="o"/>
      <w:lvlJc w:val="left"/>
      <w:pPr>
        <w:ind w:left="1440" w:hanging="360"/>
      </w:pPr>
      <w:rPr>
        <w:rFonts w:ascii="Courier New" w:eastAsia="Courier New" w:hAnsi="Courier New" w:cs="Courier New"/>
      </w:rPr>
    </w:lvl>
    <w:lvl w:ilvl="2" w:tplc="425C2408">
      <w:start w:val="1"/>
      <w:numFmt w:val="bullet"/>
      <w:lvlText w:val="§"/>
      <w:lvlJc w:val="left"/>
      <w:pPr>
        <w:ind w:left="2160" w:hanging="360"/>
      </w:pPr>
      <w:rPr>
        <w:rFonts w:ascii="Wingdings" w:eastAsia="Wingdings" w:hAnsi="Wingdings" w:cs="Wingdings"/>
      </w:rPr>
    </w:lvl>
    <w:lvl w:ilvl="3" w:tplc="D3DE6FDE">
      <w:start w:val="1"/>
      <w:numFmt w:val="bullet"/>
      <w:lvlText w:val="·"/>
      <w:lvlJc w:val="left"/>
      <w:pPr>
        <w:ind w:left="2880" w:hanging="360"/>
      </w:pPr>
      <w:rPr>
        <w:rFonts w:ascii="Symbol" w:eastAsia="Symbol" w:hAnsi="Symbol" w:cs="Symbol"/>
      </w:rPr>
    </w:lvl>
    <w:lvl w:ilvl="4" w:tplc="3670B250">
      <w:start w:val="1"/>
      <w:numFmt w:val="bullet"/>
      <w:lvlText w:val="o"/>
      <w:lvlJc w:val="left"/>
      <w:pPr>
        <w:ind w:left="3600" w:hanging="360"/>
      </w:pPr>
      <w:rPr>
        <w:rFonts w:ascii="Courier New" w:eastAsia="Courier New" w:hAnsi="Courier New" w:cs="Courier New"/>
      </w:rPr>
    </w:lvl>
    <w:lvl w:ilvl="5" w:tplc="5D002EAA">
      <w:start w:val="1"/>
      <w:numFmt w:val="bullet"/>
      <w:lvlText w:val="§"/>
      <w:lvlJc w:val="left"/>
      <w:pPr>
        <w:ind w:left="4320" w:hanging="360"/>
      </w:pPr>
      <w:rPr>
        <w:rFonts w:ascii="Wingdings" w:eastAsia="Wingdings" w:hAnsi="Wingdings" w:cs="Wingdings"/>
      </w:rPr>
    </w:lvl>
    <w:lvl w:ilvl="6" w:tplc="9C0E5DB4">
      <w:start w:val="1"/>
      <w:numFmt w:val="bullet"/>
      <w:lvlText w:val="·"/>
      <w:lvlJc w:val="left"/>
      <w:pPr>
        <w:ind w:left="5040" w:hanging="360"/>
      </w:pPr>
      <w:rPr>
        <w:rFonts w:ascii="Symbol" w:eastAsia="Symbol" w:hAnsi="Symbol" w:cs="Symbol"/>
      </w:rPr>
    </w:lvl>
    <w:lvl w:ilvl="7" w:tplc="2216F8F2">
      <w:start w:val="1"/>
      <w:numFmt w:val="bullet"/>
      <w:lvlText w:val="o"/>
      <w:lvlJc w:val="left"/>
      <w:pPr>
        <w:ind w:left="5760" w:hanging="360"/>
      </w:pPr>
      <w:rPr>
        <w:rFonts w:ascii="Courier New" w:eastAsia="Courier New" w:hAnsi="Courier New" w:cs="Courier New"/>
      </w:rPr>
    </w:lvl>
    <w:lvl w:ilvl="8" w:tplc="22FC7A14">
      <w:start w:val="1"/>
      <w:numFmt w:val="bullet"/>
      <w:lvlText w:val="§"/>
      <w:lvlJc w:val="left"/>
      <w:pPr>
        <w:ind w:left="6480" w:hanging="360"/>
      </w:pPr>
      <w:rPr>
        <w:rFonts w:ascii="Wingdings" w:eastAsia="Wingdings" w:hAnsi="Wingdings" w:cs="Wingdings"/>
      </w:rPr>
    </w:lvl>
  </w:abstractNum>
  <w:abstractNum w:abstractNumId="22" w15:restartNumberingAfterBreak="0">
    <w:nsid w:val="7D492113"/>
    <w:multiLevelType w:val="hybridMultilevel"/>
    <w:tmpl w:val="33AA711C"/>
    <w:lvl w:ilvl="0" w:tplc="9C82B07E">
      <w:start w:val="1"/>
      <w:numFmt w:val="bullet"/>
      <w:lvlText w:val="·"/>
      <w:lvlJc w:val="left"/>
      <w:pPr>
        <w:ind w:left="720" w:hanging="360"/>
      </w:pPr>
      <w:rPr>
        <w:rFonts w:ascii="Symbol" w:eastAsia="Symbol" w:hAnsi="Symbol" w:cs="Symbol"/>
      </w:rPr>
    </w:lvl>
    <w:lvl w:ilvl="1" w:tplc="6B1A5D2A">
      <w:start w:val="1"/>
      <w:numFmt w:val="bullet"/>
      <w:lvlText w:val="o"/>
      <w:lvlJc w:val="left"/>
      <w:pPr>
        <w:ind w:left="1440" w:hanging="360"/>
      </w:pPr>
      <w:rPr>
        <w:rFonts w:ascii="Courier New" w:eastAsia="Courier New" w:hAnsi="Courier New" w:cs="Courier New"/>
      </w:rPr>
    </w:lvl>
    <w:lvl w:ilvl="2" w:tplc="86085C8E">
      <w:start w:val="1"/>
      <w:numFmt w:val="bullet"/>
      <w:lvlText w:val="§"/>
      <w:lvlJc w:val="left"/>
      <w:pPr>
        <w:ind w:left="2160" w:hanging="360"/>
      </w:pPr>
      <w:rPr>
        <w:rFonts w:ascii="Wingdings" w:eastAsia="Wingdings" w:hAnsi="Wingdings" w:cs="Wingdings"/>
      </w:rPr>
    </w:lvl>
    <w:lvl w:ilvl="3" w:tplc="2E6EABA8">
      <w:start w:val="1"/>
      <w:numFmt w:val="bullet"/>
      <w:lvlText w:val="·"/>
      <w:lvlJc w:val="left"/>
      <w:pPr>
        <w:ind w:left="2880" w:hanging="360"/>
      </w:pPr>
      <w:rPr>
        <w:rFonts w:ascii="Symbol" w:eastAsia="Symbol" w:hAnsi="Symbol" w:cs="Symbol"/>
      </w:rPr>
    </w:lvl>
    <w:lvl w:ilvl="4" w:tplc="C03A0954">
      <w:start w:val="1"/>
      <w:numFmt w:val="bullet"/>
      <w:lvlText w:val="o"/>
      <w:lvlJc w:val="left"/>
      <w:pPr>
        <w:ind w:left="3600" w:hanging="360"/>
      </w:pPr>
      <w:rPr>
        <w:rFonts w:ascii="Courier New" w:eastAsia="Courier New" w:hAnsi="Courier New" w:cs="Courier New"/>
      </w:rPr>
    </w:lvl>
    <w:lvl w:ilvl="5" w:tplc="46DAA660">
      <w:start w:val="1"/>
      <w:numFmt w:val="bullet"/>
      <w:lvlText w:val="§"/>
      <w:lvlJc w:val="left"/>
      <w:pPr>
        <w:ind w:left="4320" w:hanging="360"/>
      </w:pPr>
      <w:rPr>
        <w:rFonts w:ascii="Wingdings" w:eastAsia="Wingdings" w:hAnsi="Wingdings" w:cs="Wingdings"/>
      </w:rPr>
    </w:lvl>
    <w:lvl w:ilvl="6" w:tplc="3188A702">
      <w:start w:val="1"/>
      <w:numFmt w:val="bullet"/>
      <w:lvlText w:val="·"/>
      <w:lvlJc w:val="left"/>
      <w:pPr>
        <w:ind w:left="5040" w:hanging="360"/>
      </w:pPr>
      <w:rPr>
        <w:rFonts w:ascii="Symbol" w:eastAsia="Symbol" w:hAnsi="Symbol" w:cs="Symbol"/>
      </w:rPr>
    </w:lvl>
    <w:lvl w:ilvl="7" w:tplc="763673A0">
      <w:start w:val="1"/>
      <w:numFmt w:val="bullet"/>
      <w:lvlText w:val="o"/>
      <w:lvlJc w:val="left"/>
      <w:pPr>
        <w:ind w:left="5760" w:hanging="360"/>
      </w:pPr>
      <w:rPr>
        <w:rFonts w:ascii="Courier New" w:eastAsia="Courier New" w:hAnsi="Courier New" w:cs="Courier New"/>
      </w:rPr>
    </w:lvl>
    <w:lvl w:ilvl="8" w:tplc="62860C28">
      <w:start w:val="1"/>
      <w:numFmt w:val="bullet"/>
      <w:lvlText w:val="§"/>
      <w:lvlJc w:val="left"/>
      <w:pPr>
        <w:ind w:left="6480" w:hanging="360"/>
      </w:pPr>
      <w:rPr>
        <w:rFonts w:ascii="Wingdings" w:eastAsia="Wingdings" w:hAnsi="Wingdings" w:cs="Wingdings"/>
      </w:rPr>
    </w:lvl>
  </w:abstractNum>
  <w:num w:numId="1">
    <w:abstractNumId w:val="16"/>
  </w:num>
  <w:num w:numId="2">
    <w:abstractNumId w:val="3"/>
  </w:num>
  <w:num w:numId="3">
    <w:abstractNumId w:val="13"/>
  </w:num>
  <w:num w:numId="4">
    <w:abstractNumId w:val="9"/>
  </w:num>
  <w:num w:numId="5">
    <w:abstractNumId w:val="19"/>
  </w:num>
  <w:num w:numId="6">
    <w:abstractNumId w:val="4"/>
  </w:num>
  <w:num w:numId="7">
    <w:abstractNumId w:val="1"/>
  </w:num>
  <w:num w:numId="8">
    <w:abstractNumId w:val="18"/>
  </w:num>
  <w:num w:numId="9">
    <w:abstractNumId w:val="0"/>
  </w:num>
  <w:num w:numId="10">
    <w:abstractNumId w:val="10"/>
  </w:num>
  <w:num w:numId="11">
    <w:abstractNumId w:val="20"/>
  </w:num>
  <w:num w:numId="12">
    <w:abstractNumId w:val="21"/>
  </w:num>
  <w:num w:numId="13">
    <w:abstractNumId w:val="5"/>
  </w:num>
  <w:num w:numId="14">
    <w:abstractNumId w:val="8"/>
  </w:num>
  <w:num w:numId="15">
    <w:abstractNumId w:val="12"/>
  </w:num>
  <w:num w:numId="16">
    <w:abstractNumId w:val="6"/>
  </w:num>
  <w:num w:numId="17">
    <w:abstractNumId w:val="15"/>
  </w:num>
  <w:num w:numId="18">
    <w:abstractNumId w:val="17"/>
  </w:num>
  <w:num w:numId="19">
    <w:abstractNumId w:val="14"/>
  </w:num>
  <w:num w:numId="20">
    <w:abstractNumId w:val="11"/>
  </w:num>
  <w:num w:numId="21">
    <w:abstractNumId w:val="7"/>
  </w:num>
  <w:num w:numId="22">
    <w:abstractNumId w:val="22"/>
  </w:num>
  <w:num w:numId="23">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AAA"/>
    <w:rsid w:val="000E32F4"/>
    <w:rsid w:val="00111C2C"/>
    <w:rsid w:val="001705D8"/>
    <w:rsid w:val="001C03B2"/>
    <w:rsid w:val="001D03AF"/>
    <w:rsid w:val="002218B4"/>
    <w:rsid w:val="00260D68"/>
    <w:rsid w:val="00351296"/>
    <w:rsid w:val="00372C13"/>
    <w:rsid w:val="004837E3"/>
    <w:rsid w:val="00484E13"/>
    <w:rsid w:val="00493786"/>
    <w:rsid w:val="004B302D"/>
    <w:rsid w:val="004B72C7"/>
    <w:rsid w:val="004C17AB"/>
    <w:rsid w:val="005076F5"/>
    <w:rsid w:val="00525769"/>
    <w:rsid w:val="00532A51"/>
    <w:rsid w:val="00541F56"/>
    <w:rsid w:val="00546D02"/>
    <w:rsid w:val="005B06BF"/>
    <w:rsid w:val="005C63BA"/>
    <w:rsid w:val="00634D57"/>
    <w:rsid w:val="00636DA8"/>
    <w:rsid w:val="006929E8"/>
    <w:rsid w:val="006C1E08"/>
    <w:rsid w:val="00700114"/>
    <w:rsid w:val="007765B6"/>
    <w:rsid w:val="0078215C"/>
    <w:rsid w:val="007B3BCF"/>
    <w:rsid w:val="00882174"/>
    <w:rsid w:val="00886E41"/>
    <w:rsid w:val="00895D8A"/>
    <w:rsid w:val="008A3EB9"/>
    <w:rsid w:val="008D390D"/>
    <w:rsid w:val="008D611C"/>
    <w:rsid w:val="008F546A"/>
    <w:rsid w:val="009536A4"/>
    <w:rsid w:val="0099666B"/>
    <w:rsid w:val="009B7B66"/>
    <w:rsid w:val="009C694B"/>
    <w:rsid w:val="009F230F"/>
    <w:rsid w:val="00A463A7"/>
    <w:rsid w:val="00A75363"/>
    <w:rsid w:val="00A85B9D"/>
    <w:rsid w:val="00B01138"/>
    <w:rsid w:val="00B47430"/>
    <w:rsid w:val="00BB0C44"/>
    <w:rsid w:val="00BB17BA"/>
    <w:rsid w:val="00BF285D"/>
    <w:rsid w:val="00C31580"/>
    <w:rsid w:val="00C54474"/>
    <w:rsid w:val="00C6127E"/>
    <w:rsid w:val="00CA4202"/>
    <w:rsid w:val="00CA6D5C"/>
    <w:rsid w:val="00CB1019"/>
    <w:rsid w:val="00CB1948"/>
    <w:rsid w:val="00CD0732"/>
    <w:rsid w:val="00CD35C0"/>
    <w:rsid w:val="00D03B26"/>
    <w:rsid w:val="00D60F3E"/>
    <w:rsid w:val="00D90FFC"/>
    <w:rsid w:val="00DC4886"/>
    <w:rsid w:val="00DE2C94"/>
    <w:rsid w:val="00E33AC4"/>
    <w:rsid w:val="00E51547"/>
    <w:rsid w:val="00E5558F"/>
    <w:rsid w:val="00E8775C"/>
    <w:rsid w:val="00EA0D5F"/>
    <w:rsid w:val="00F17AAA"/>
    <w:rsid w:val="00F267DE"/>
    <w:rsid w:val="00FA3C0F"/>
    <w:rsid w:val="00FC1633"/>
    <w:rsid w:val="01C970E4"/>
    <w:rsid w:val="02C8AA31"/>
    <w:rsid w:val="03E9CB86"/>
    <w:rsid w:val="05840013"/>
    <w:rsid w:val="06BF60E7"/>
    <w:rsid w:val="07B35169"/>
    <w:rsid w:val="08172E11"/>
    <w:rsid w:val="09DF6403"/>
    <w:rsid w:val="0A20DF1A"/>
    <w:rsid w:val="0B27C9BE"/>
    <w:rsid w:val="0B568DA8"/>
    <w:rsid w:val="0B958F73"/>
    <w:rsid w:val="0C8662D1"/>
    <w:rsid w:val="0DE5F317"/>
    <w:rsid w:val="0E17E2D2"/>
    <w:rsid w:val="0E8C6CEE"/>
    <w:rsid w:val="100070B0"/>
    <w:rsid w:val="133179E2"/>
    <w:rsid w:val="13388955"/>
    <w:rsid w:val="1535BD89"/>
    <w:rsid w:val="17571C1B"/>
    <w:rsid w:val="18237037"/>
    <w:rsid w:val="1CC69638"/>
    <w:rsid w:val="1F2FCD03"/>
    <w:rsid w:val="21409770"/>
    <w:rsid w:val="21858EE1"/>
    <w:rsid w:val="21FC79F5"/>
    <w:rsid w:val="2302A75D"/>
    <w:rsid w:val="29C4FE54"/>
    <w:rsid w:val="2A5BFD2D"/>
    <w:rsid w:val="2C2963C0"/>
    <w:rsid w:val="307B8135"/>
    <w:rsid w:val="31EEBCC1"/>
    <w:rsid w:val="35EF1CCD"/>
    <w:rsid w:val="3DE29F53"/>
    <w:rsid w:val="409AD7F5"/>
    <w:rsid w:val="4144F8B7"/>
    <w:rsid w:val="42749623"/>
    <w:rsid w:val="43DF8A4C"/>
    <w:rsid w:val="457FE4A5"/>
    <w:rsid w:val="464545EF"/>
    <w:rsid w:val="472995DE"/>
    <w:rsid w:val="4A22D062"/>
    <w:rsid w:val="4BBE880D"/>
    <w:rsid w:val="4BDD85B0"/>
    <w:rsid w:val="4E36E34E"/>
    <w:rsid w:val="50A1E70B"/>
    <w:rsid w:val="510832BB"/>
    <w:rsid w:val="55120EDE"/>
    <w:rsid w:val="57DBB635"/>
    <w:rsid w:val="5915A401"/>
    <w:rsid w:val="5A97BC00"/>
    <w:rsid w:val="6301DA24"/>
    <w:rsid w:val="63FB991D"/>
    <w:rsid w:val="66AE66DD"/>
    <w:rsid w:val="675A3E28"/>
    <w:rsid w:val="68A1F408"/>
    <w:rsid w:val="6AC79340"/>
    <w:rsid w:val="6BA1A2BD"/>
    <w:rsid w:val="6CE6801A"/>
    <w:rsid w:val="70A596BF"/>
    <w:rsid w:val="71301C15"/>
    <w:rsid w:val="7162D82E"/>
    <w:rsid w:val="72F95F76"/>
    <w:rsid w:val="75B46100"/>
    <w:rsid w:val="7609E140"/>
    <w:rsid w:val="768ECB35"/>
    <w:rsid w:val="76FE4DCE"/>
    <w:rsid w:val="78BFE651"/>
    <w:rsid w:val="7B0FB919"/>
    <w:rsid w:val="7C18C02E"/>
    <w:rsid w:val="7DB0CD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E94846"/>
  <w15:docId w15:val="{F262177F-1131-4225-B234-4963A09D1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7" w:qFormat="1"/>
    <w:lsdException w:name="heading 2" w:semiHidden="1" w:uiPriority="7" w:unhideWhenUsed="1" w:qFormat="1"/>
    <w:lsdException w:name="heading 3" w:semiHidden="1" w:uiPriority="7"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lsdException w:name="List Number" w:semiHidden="1" w:uiPriority="1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lsdException w:name="List Bullet 3" w:semiHidden="1" w:uiPriority="10" w:unhideWhenUsed="1"/>
    <w:lsdException w:name="List Bullet 4" w:semiHidden="1" w:uiPriority="10" w:unhideWhenUsed="1"/>
    <w:lsdException w:name="List Bullet 5" w:semiHidden="1" w:uiPriority="10" w:unhideWhenUsed="1"/>
    <w:lsdException w:name="List Number 2" w:semiHidden="1" w:uiPriority="15" w:unhideWhenUsed="1"/>
    <w:lsdException w:name="List Number 3" w:semiHidden="1" w:uiPriority="15" w:unhideWhenUsed="1"/>
    <w:lsdException w:name="List Number 4" w:semiHidden="1" w:uiPriority="15" w:unhideWhenUsed="1"/>
    <w:lsdException w:name="List Number 5" w:semiHidden="1" w:uiPriority="15"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iPriority="31" w:unhideWhenUsed="1"/>
    <w:lsdException w:name="Body Text First Indent" w:semiHidden="1" w:uiPriority="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9" w:unhideWhenUsed="1"/>
    <w:lsdException w:name="Hyperlink" w:semiHidden="1" w:unhideWhenUsed="1"/>
    <w:lsdException w:name="FollowedHyperlink" w:semiHidden="1" w:uiPriority="34"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7" w:qFormat="1"/>
    <w:lsdException w:name="Intense Quote" w:uiPriority="2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23" w:qFormat="1"/>
    <w:lsdException w:name="Intense Reference" w:uiPriority="24" w:qFormat="1"/>
    <w:lsdException w:name="Book Title" w:uiPriority="33" w:qFormat="1"/>
    <w:lsdException w:name="Bibliography" w:semiHidden="1" w:uiPriority="37" w:unhideWhenUsed="1"/>
    <w:lsdException w:name="TOC Heading" w:semiHidden="1" w:uiPriority="6"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pPr>
      <w:spacing w:after="160" w:line="293" w:lineRule="auto"/>
    </w:pPr>
    <w:rPr>
      <w:color w:val="000000" w:themeColor="text1"/>
    </w:rPr>
  </w:style>
  <w:style w:type="paragraph" w:styleId="Nadpis1">
    <w:name w:val="heading 1"/>
    <w:basedOn w:val="Normln"/>
    <w:next w:val="Normln"/>
    <w:link w:val="Nadpis1Char"/>
    <w:uiPriority w:val="7"/>
    <w:pPr>
      <w:keepNext/>
      <w:keepLines/>
      <w:spacing w:before="160" w:after="0"/>
      <w:outlineLvl w:val="0"/>
    </w:pPr>
    <w:rPr>
      <w:b/>
      <w:sz w:val="28"/>
      <w:szCs w:val="32"/>
    </w:rPr>
  </w:style>
  <w:style w:type="paragraph" w:styleId="Nadpis2">
    <w:name w:val="heading 2"/>
    <w:basedOn w:val="Normln"/>
    <w:next w:val="Normln"/>
    <w:link w:val="Nadpis2Char"/>
    <w:uiPriority w:val="7"/>
    <w:unhideWhenUsed/>
    <w:pPr>
      <w:keepNext/>
      <w:keepLines/>
      <w:spacing w:before="80" w:after="0"/>
      <w:outlineLvl w:val="1"/>
    </w:pPr>
    <w:rPr>
      <w:b/>
      <w:sz w:val="26"/>
      <w:szCs w:val="26"/>
    </w:rPr>
  </w:style>
  <w:style w:type="paragraph" w:styleId="Nadpis3">
    <w:name w:val="heading 3"/>
    <w:basedOn w:val="Normln"/>
    <w:next w:val="Normln"/>
    <w:link w:val="Nadpis3Char"/>
    <w:uiPriority w:val="7"/>
    <w:unhideWhenUsed/>
    <w:pPr>
      <w:keepNext/>
      <w:keepLines/>
      <w:spacing w:before="40" w:after="0"/>
      <w:outlineLvl w:val="2"/>
    </w:pPr>
    <w:rPr>
      <w:b/>
      <w:sz w:val="24"/>
      <w:szCs w:val="24"/>
    </w:rPr>
  </w:style>
  <w:style w:type="paragraph" w:styleId="Nadpis4">
    <w:name w:val="heading 4"/>
    <w:basedOn w:val="Normln"/>
    <w:next w:val="Normln"/>
    <w:link w:val="Nadpis4Char"/>
    <w:uiPriority w:val="7"/>
    <w:unhideWhenUsed/>
    <w:pPr>
      <w:keepNext/>
      <w:keepLines/>
      <w:spacing w:before="40" w:after="0"/>
      <w:outlineLvl w:val="3"/>
    </w:pPr>
    <w:rPr>
      <w:i/>
      <w:iCs/>
      <w:sz w:val="24"/>
    </w:rPr>
  </w:style>
  <w:style w:type="paragraph" w:styleId="Nadpis5">
    <w:name w:val="heading 5"/>
    <w:basedOn w:val="Normln"/>
    <w:next w:val="Normln"/>
    <w:link w:val="Nadpis5Char"/>
    <w:uiPriority w:val="7"/>
    <w:unhideWhenUsed/>
    <w:pPr>
      <w:keepNext/>
      <w:keepLines/>
      <w:spacing w:before="40" w:after="0"/>
      <w:outlineLvl w:val="4"/>
    </w:pPr>
    <w:rPr>
      <w:b/>
    </w:rPr>
  </w:style>
  <w:style w:type="paragraph" w:styleId="Nadpis6">
    <w:name w:val="heading 6"/>
    <w:basedOn w:val="Normln"/>
    <w:next w:val="Normln"/>
    <w:link w:val="Nadpis6Char"/>
    <w:uiPriority w:val="7"/>
    <w:unhideWhenUsed/>
    <w:pPr>
      <w:keepNext/>
      <w:keepLines/>
      <w:spacing w:before="40" w:after="0"/>
      <w:outlineLvl w:val="5"/>
    </w:pPr>
    <w:rPr>
      <w:i/>
    </w:rPr>
  </w:style>
  <w:style w:type="paragraph" w:styleId="Nadpis7">
    <w:name w:val="heading 7"/>
    <w:basedOn w:val="Normln"/>
    <w:next w:val="Normln"/>
    <w:link w:val="Nadpis7Char"/>
    <w:uiPriority w:val="7"/>
    <w:unhideWhenUsed/>
    <w:pPr>
      <w:keepNext/>
      <w:keepLines/>
      <w:spacing w:before="40" w:after="0"/>
      <w:outlineLvl w:val="6"/>
    </w:pPr>
    <w:rPr>
      <w:iCs/>
    </w:rPr>
  </w:style>
  <w:style w:type="paragraph" w:styleId="Nadpis8">
    <w:name w:val="heading 8"/>
    <w:basedOn w:val="Normln"/>
    <w:next w:val="Normln"/>
    <w:link w:val="Nadpis8Char"/>
    <w:uiPriority w:val="7"/>
    <w:unhideWhenUsed/>
    <w:pPr>
      <w:keepNext/>
      <w:keepLines/>
      <w:spacing w:before="40" w:after="0"/>
      <w:outlineLvl w:val="7"/>
    </w:pPr>
    <w:rPr>
      <w:b/>
      <w:color w:val="272727" w:themeColor="text1" w:themeTint="D8"/>
      <w:sz w:val="21"/>
      <w:szCs w:val="21"/>
    </w:rPr>
  </w:style>
  <w:style w:type="paragraph" w:styleId="Nadpis9">
    <w:name w:val="heading 9"/>
    <w:basedOn w:val="Normln"/>
    <w:next w:val="Normln"/>
    <w:link w:val="Nadpis9Char"/>
    <w:uiPriority w:val="7"/>
    <w:unhideWhenUsed/>
    <w:pPr>
      <w:keepNext/>
      <w:keepLines/>
      <w:spacing w:before="40" w:after="0"/>
      <w:outlineLvl w:val="8"/>
    </w:pPr>
    <w:rPr>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Heading1Char">
    <w:name w:val="Heading 1 Char"/>
    <w:basedOn w:val="Standardnpsmoodstavce"/>
    <w:uiPriority w:val="9"/>
    <w:rPr>
      <w:rFonts w:ascii="Arial" w:eastAsia="Arial" w:hAnsi="Arial" w:cs="Arial"/>
      <w:sz w:val="40"/>
      <w:szCs w:val="40"/>
    </w:rPr>
  </w:style>
  <w:style w:type="character" w:customStyle="1" w:styleId="Heading2Char">
    <w:name w:val="Heading 2 Char"/>
    <w:basedOn w:val="Standardnpsmoodstavce"/>
    <w:uiPriority w:val="9"/>
    <w:rPr>
      <w:rFonts w:ascii="Arial" w:eastAsia="Arial" w:hAnsi="Arial" w:cs="Arial"/>
      <w:sz w:val="34"/>
    </w:rPr>
  </w:style>
  <w:style w:type="character" w:customStyle="1" w:styleId="Heading3Char">
    <w:name w:val="Heading 3 Char"/>
    <w:basedOn w:val="Standardnpsmoodstavce"/>
    <w:uiPriority w:val="9"/>
    <w:rPr>
      <w:rFonts w:ascii="Arial" w:eastAsia="Arial" w:hAnsi="Arial" w:cs="Arial"/>
      <w:sz w:val="30"/>
      <w:szCs w:val="30"/>
    </w:rPr>
  </w:style>
  <w:style w:type="character" w:customStyle="1" w:styleId="Heading4Char">
    <w:name w:val="Heading 4 Char"/>
    <w:basedOn w:val="Standardnpsmoodstavce"/>
    <w:uiPriority w:val="9"/>
    <w:rPr>
      <w:rFonts w:ascii="Arial" w:eastAsia="Arial" w:hAnsi="Arial" w:cs="Arial"/>
      <w:b/>
      <w:bCs/>
      <w:sz w:val="26"/>
      <w:szCs w:val="26"/>
    </w:rPr>
  </w:style>
  <w:style w:type="character" w:customStyle="1" w:styleId="Heading5Char">
    <w:name w:val="Heading 5 Char"/>
    <w:basedOn w:val="Standardnpsmoodstavce"/>
    <w:uiPriority w:val="9"/>
    <w:rPr>
      <w:rFonts w:ascii="Arial" w:eastAsia="Arial" w:hAnsi="Arial" w:cs="Arial"/>
      <w:b/>
      <w:bCs/>
      <w:sz w:val="24"/>
      <w:szCs w:val="24"/>
    </w:rPr>
  </w:style>
  <w:style w:type="character" w:customStyle="1" w:styleId="Heading6Char">
    <w:name w:val="Heading 6 Char"/>
    <w:basedOn w:val="Standardnpsmoodstavce"/>
    <w:uiPriority w:val="9"/>
    <w:rPr>
      <w:rFonts w:ascii="Arial" w:eastAsia="Arial" w:hAnsi="Arial" w:cs="Arial"/>
      <w:b/>
      <w:bCs/>
      <w:sz w:val="22"/>
      <w:szCs w:val="22"/>
    </w:rPr>
  </w:style>
  <w:style w:type="character" w:customStyle="1" w:styleId="Heading7Char">
    <w:name w:val="Heading 7 Char"/>
    <w:basedOn w:val="Standardnpsmoodstavce"/>
    <w:uiPriority w:val="9"/>
    <w:rPr>
      <w:rFonts w:ascii="Arial" w:eastAsia="Arial" w:hAnsi="Arial" w:cs="Arial"/>
      <w:b/>
      <w:bCs/>
      <w:i/>
      <w:iCs/>
      <w:sz w:val="22"/>
      <w:szCs w:val="22"/>
    </w:rPr>
  </w:style>
  <w:style w:type="character" w:customStyle="1" w:styleId="Heading8Char">
    <w:name w:val="Heading 8 Char"/>
    <w:basedOn w:val="Standardnpsmoodstavce"/>
    <w:uiPriority w:val="9"/>
    <w:rPr>
      <w:rFonts w:ascii="Arial" w:eastAsia="Arial" w:hAnsi="Arial" w:cs="Arial"/>
      <w:i/>
      <w:iCs/>
      <w:sz w:val="22"/>
      <w:szCs w:val="22"/>
    </w:rPr>
  </w:style>
  <w:style w:type="character" w:customStyle="1" w:styleId="Heading9Char">
    <w:name w:val="Heading 9 Char"/>
    <w:basedOn w:val="Standardnpsmoodstavce"/>
    <w:uiPriority w:val="9"/>
    <w:rPr>
      <w:rFonts w:ascii="Arial" w:eastAsia="Arial" w:hAnsi="Arial" w:cs="Arial"/>
      <w:i/>
      <w:iCs/>
      <w:sz w:val="21"/>
      <w:szCs w:val="21"/>
    </w:rPr>
  </w:style>
  <w:style w:type="paragraph" w:styleId="Bezmezer">
    <w:name w:val="No Spacing"/>
    <w:uiPriority w:val="1"/>
    <w:qFormat/>
    <w:pPr>
      <w:spacing w:after="0" w:line="240" w:lineRule="auto"/>
    </w:pPr>
  </w:style>
  <w:style w:type="character" w:customStyle="1" w:styleId="TitleChar">
    <w:name w:val="Title Char"/>
    <w:basedOn w:val="Standardnpsmoodstavce"/>
    <w:uiPriority w:val="10"/>
    <w:rPr>
      <w:sz w:val="48"/>
      <w:szCs w:val="48"/>
    </w:rPr>
  </w:style>
  <w:style w:type="character" w:customStyle="1" w:styleId="SubtitleChar">
    <w:name w:val="Subtitle Char"/>
    <w:basedOn w:val="Standardnpsmoodstavce"/>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Standardnpsmoodstavce"/>
    <w:uiPriority w:val="99"/>
  </w:style>
  <w:style w:type="character" w:customStyle="1" w:styleId="FooterChar">
    <w:name w:val="Footer Char"/>
    <w:basedOn w:val="Standardnpsmoodstavce"/>
    <w:uiPriority w:val="99"/>
  </w:style>
  <w:style w:type="paragraph" w:styleId="Titulek">
    <w:name w:val="caption"/>
    <w:basedOn w:val="Normln"/>
    <w:next w:val="Normln"/>
    <w:uiPriority w:val="35"/>
    <w:semiHidden/>
    <w:unhideWhenUsed/>
    <w:qFormat/>
    <w:pPr>
      <w:spacing w:line="276" w:lineRule="auto"/>
    </w:pPr>
    <w:rPr>
      <w:b/>
      <w:bCs/>
      <w:color w:val="E31B23" w:themeColor="accent1"/>
      <w:sz w:val="18"/>
      <w:szCs w:val="18"/>
    </w:rPr>
  </w:style>
  <w:style w:type="character" w:customStyle="1" w:styleId="CaptionChar">
    <w:name w:val="Caption Char"/>
    <w:uiPriority w:val="99"/>
  </w:style>
  <w:style w:type="table" w:customStyle="1" w:styleId="Svtlmkatabulky1">
    <w:name w:val="Světlá mřížka tabulky1"/>
    <w:basedOn w:val="Normlntabulka"/>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rosttabulka1">
    <w:name w:val="Plain Table 1"/>
    <w:basedOn w:val="Normlntabulka"/>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Prosttabulka2">
    <w:name w:val="Plain Table 2"/>
    <w:basedOn w:val="Normlntabulka"/>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rosttabulka3">
    <w:name w:val="Plain Table 3"/>
    <w:basedOn w:val="Normlntabulka"/>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Prosttabulka4">
    <w:name w:val="Plain Table 4"/>
    <w:basedOn w:val="Normlntabulka"/>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Prosttabulka5">
    <w:name w:val="Plain Table 5"/>
    <w:basedOn w:val="Normlntabulka"/>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Svtltabulkasmkou1">
    <w:name w:val="Grid Table 1 Light"/>
    <w:basedOn w:val="Normlntabulka"/>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Svtltabulkasmkou1zvraznn11">
    <w:name w:val="Světlá tabulka s mřížkou 1 – zvýraznění 11"/>
    <w:basedOn w:val="Normlntabulka"/>
    <w:uiPriority w:val="99"/>
    <w:pPr>
      <w:spacing w:after="0" w:line="240" w:lineRule="auto"/>
    </w:pPr>
    <w:tblPr>
      <w:tblStyleRowBandSize w:val="1"/>
      <w:tblStyleColBandSize w:val="1"/>
      <w:tblBorders>
        <w:top w:val="single" w:sz="4" w:space="0" w:color="F4A2A5" w:themeColor="accent1" w:themeTint="67"/>
        <w:left w:val="single" w:sz="4" w:space="0" w:color="F4A2A5" w:themeColor="accent1" w:themeTint="67"/>
        <w:bottom w:val="single" w:sz="4" w:space="0" w:color="F4A2A5" w:themeColor="accent1" w:themeTint="67"/>
        <w:right w:val="single" w:sz="4" w:space="0" w:color="F4A2A5" w:themeColor="accent1" w:themeTint="67"/>
        <w:insideH w:val="single" w:sz="4" w:space="0" w:color="F4A2A5" w:themeColor="accent1" w:themeTint="67"/>
        <w:insideV w:val="single" w:sz="4" w:space="0" w:color="F4A2A5" w:themeColor="accent1" w:themeTint="67"/>
      </w:tblBorders>
    </w:tblPr>
    <w:tblStylePr w:type="firstRow">
      <w:rPr>
        <w:b/>
        <w:color w:val="404040"/>
      </w:rPr>
      <w:tblPr/>
      <w:tcPr>
        <w:tcBorders>
          <w:bottom w:val="single" w:sz="12" w:space="0" w:color="EF797D"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4A2A5" w:themeColor="accent1" w:themeTint="67"/>
          <w:left w:val="single" w:sz="4" w:space="0" w:color="F4A2A5" w:themeColor="accent1" w:themeTint="67"/>
          <w:bottom w:val="single" w:sz="4" w:space="0" w:color="F4A2A5" w:themeColor="accent1" w:themeTint="67"/>
          <w:right w:val="single" w:sz="4" w:space="0" w:color="F4A2A5" w:themeColor="accent1" w:themeTint="67"/>
        </w:tcBorders>
      </w:tcPr>
    </w:tblStylePr>
  </w:style>
  <w:style w:type="table" w:customStyle="1" w:styleId="Svtltabulkasmkou1zvraznn21">
    <w:name w:val="Světlá tabulka s mřížkou 1 – zvýraznění 21"/>
    <w:basedOn w:val="Normlntabulka"/>
    <w:uiPriority w:val="99"/>
    <w:pPr>
      <w:spacing w:after="0" w:line="240" w:lineRule="auto"/>
    </w:pPr>
    <w:tblPr>
      <w:tblStyleRowBandSize w:val="1"/>
      <w:tblStyleColBandSize w:val="1"/>
      <w:tblBorders>
        <w:top w:val="single" w:sz="4" w:space="0" w:color="69B8FF" w:themeColor="accent2" w:themeTint="67"/>
        <w:left w:val="single" w:sz="4" w:space="0" w:color="69B8FF" w:themeColor="accent2" w:themeTint="67"/>
        <w:bottom w:val="single" w:sz="4" w:space="0" w:color="69B8FF" w:themeColor="accent2" w:themeTint="67"/>
        <w:right w:val="single" w:sz="4" w:space="0" w:color="69B8FF" w:themeColor="accent2" w:themeTint="67"/>
        <w:insideH w:val="single" w:sz="4" w:space="0" w:color="69B8FF" w:themeColor="accent2" w:themeTint="67"/>
        <w:insideV w:val="single" w:sz="4" w:space="0" w:color="69B8FF" w:themeColor="accent2" w:themeTint="67"/>
      </w:tblBorders>
    </w:tblPr>
    <w:tblStylePr w:type="firstRow">
      <w:rPr>
        <w:b/>
        <w:color w:val="404040"/>
      </w:rPr>
      <w:tblPr/>
      <w:tcPr>
        <w:tcBorders>
          <w:bottom w:val="single" w:sz="12" w:space="0" w:color="2799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69B8FF" w:themeColor="accent2" w:themeTint="67"/>
          <w:left w:val="single" w:sz="4" w:space="0" w:color="69B8FF" w:themeColor="accent2" w:themeTint="67"/>
          <w:bottom w:val="single" w:sz="4" w:space="0" w:color="69B8FF" w:themeColor="accent2" w:themeTint="67"/>
          <w:right w:val="single" w:sz="4" w:space="0" w:color="69B8FF" w:themeColor="accent2" w:themeTint="67"/>
        </w:tcBorders>
      </w:tcPr>
    </w:tblStylePr>
  </w:style>
  <w:style w:type="table" w:customStyle="1" w:styleId="Svtltabulkasmkou1zvraznn31">
    <w:name w:val="Světlá tabulka s mřížkou 1 – zvýraznění 31"/>
    <w:basedOn w:val="Normlntabulka"/>
    <w:uiPriority w:val="99"/>
    <w:pPr>
      <w:spacing w:after="0" w:line="240" w:lineRule="auto"/>
    </w:pPr>
    <w:tblPr>
      <w:tblStyleRowBandSize w:val="1"/>
      <w:tblStyleColBandSize w:val="1"/>
      <w:tblBorders>
        <w:top w:val="single" w:sz="4" w:space="0" w:color="87DAFF" w:themeColor="accent3" w:themeTint="67"/>
        <w:left w:val="single" w:sz="4" w:space="0" w:color="87DAFF" w:themeColor="accent3" w:themeTint="67"/>
        <w:bottom w:val="single" w:sz="4" w:space="0" w:color="87DAFF" w:themeColor="accent3" w:themeTint="67"/>
        <w:right w:val="single" w:sz="4" w:space="0" w:color="87DAFF" w:themeColor="accent3" w:themeTint="67"/>
        <w:insideH w:val="single" w:sz="4" w:space="0" w:color="87DAFF" w:themeColor="accent3" w:themeTint="67"/>
        <w:insideV w:val="single" w:sz="4" w:space="0" w:color="87DAFF" w:themeColor="accent3" w:themeTint="67"/>
      </w:tblBorders>
    </w:tblPr>
    <w:tblStylePr w:type="firstRow">
      <w:rPr>
        <w:b/>
        <w:color w:val="404040"/>
      </w:rPr>
      <w:tblPr/>
      <w:tcPr>
        <w:tcBorders>
          <w:bottom w:val="single" w:sz="12" w:space="0" w:color="52CAFF"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7DAFF" w:themeColor="accent3" w:themeTint="67"/>
          <w:left w:val="single" w:sz="4" w:space="0" w:color="87DAFF" w:themeColor="accent3" w:themeTint="67"/>
          <w:bottom w:val="single" w:sz="4" w:space="0" w:color="87DAFF" w:themeColor="accent3" w:themeTint="67"/>
          <w:right w:val="single" w:sz="4" w:space="0" w:color="87DAFF" w:themeColor="accent3" w:themeTint="67"/>
        </w:tcBorders>
      </w:tcPr>
    </w:tblStylePr>
  </w:style>
  <w:style w:type="table" w:customStyle="1" w:styleId="Svtltabulkasmkou1zvraznn41">
    <w:name w:val="Světlá tabulka s mřížkou 1 – zvýraznění 41"/>
    <w:basedOn w:val="Normlntabulka"/>
    <w:uiPriority w:val="99"/>
    <w:pPr>
      <w:spacing w:after="0" w:line="240" w:lineRule="auto"/>
    </w:pPr>
    <w:tblPr>
      <w:tblStyleRowBandSize w:val="1"/>
      <w:tblStyleColBandSize w:val="1"/>
      <w:tblBorders>
        <w:top w:val="single" w:sz="4" w:space="0" w:color="F38C92" w:themeColor="accent4" w:themeTint="67"/>
        <w:left w:val="single" w:sz="4" w:space="0" w:color="F38C92" w:themeColor="accent4" w:themeTint="67"/>
        <w:bottom w:val="single" w:sz="4" w:space="0" w:color="F38C92" w:themeColor="accent4" w:themeTint="67"/>
        <w:right w:val="single" w:sz="4" w:space="0" w:color="F38C92" w:themeColor="accent4" w:themeTint="67"/>
        <w:insideH w:val="single" w:sz="4" w:space="0" w:color="F38C92" w:themeColor="accent4" w:themeTint="67"/>
        <w:insideV w:val="single" w:sz="4" w:space="0" w:color="F38C92" w:themeColor="accent4" w:themeTint="67"/>
      </w:tblBorders>
    </w:tblPr>
    <w:tblStylePr w:type="firstRow">
      <w:rPr>
        <w:b/>
        <w:color w:val="404040"/>
      </w:rPr>
      <w:tblPr/>
      <w:tcPr>
        <w:tcBorders>
          <w:bottom w:val="single" w:sz="12" w:space="0" w:color="EE5961"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8C92" w:themeColor="accent4" w:themeTint="67"/>
          <w:left w:val="single" w:sz="4" w:space="0" w:color="F38C92" w:themeColor="accent4" w:themeTint="67"/>
          <w:bottom w:val="single" w:sz="4" w:space="0" w:color="F38C92" w:themeColor="accent4" w:themeTint="67"/>
          <w:right w:val="single" w:sz="4" w:space="0" w:color="F38C92" w:themeColor="accent4" w:themeTint="67"/>
        </w:tcBorders>
      </w:tcPr>
    </w:tblStylePr>
  </w:style>
  <w:style w:type="table" w:customStyle="1" w:styleId="Svtltabulkasmkou1zvraznn51">
    <w:name w:val="Světlá tabulka s mřížkou 1 – zvýraznění 51"/>
    <w:basedOn w:val="Normlntabulka"/>
    <w:uiPriority w:val="99"/>
    <w:pPr>
      <w:spacing w:after="0" w:line="240" w:lineRule="auto"/>
    </w:pPr>
    <w:tblPr>
      <w:tblStyleRowBandSize w:val="1"/>
      <w:tblStyleColBandSize w:val="1"/>
      <w:tblBorders>
        <w:top w:val="single" w:sz="4" w:space="0" w:color="E2F2FB" w:themeColor="accent5" w:themeTint="67"/>
        <w:left w:val="single" w:sz="4" w:space="0" w:color="E2F2FB" w:themeColor="accent5" w:themeTint="67"/>
        <w:bottom w:val="single" w:sz="4" w:space="0" w:color="E2F2FB" w:themeColor="accent5" w:themeTint="67"/>
        <w:right w:val="single" w:sz="4" w:space="0" w:color="E2F2FB" w:themeColor="accent5" w:themeTint="67"/>
        <w:insideH w:val="single" w:sz="4" w:space="0" w:color="E2F2FB" w:themeColor="accent5" w:themeTint="67"/>
        <w:insideV w:val="single" w:sz="4" w:space="0" w:color="E2F2FB" w:themeColor="accent5" w:themeTint="67"/>
      </w:tblBorders>
    </w:tblPr>
    <w:tblStylePr w:type="firstRow">
      <w:rPr>
        <w:b/>
        <w:color w:val="404040"/>
      </w:rPr>
      <w:tblPr/>
      <w:tcPr>
        <w:tcBorders>
          <w:bottom w:val="single" w:sz="12" w:space="0" w:color="D6ECFA"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2F2FB" w:themeColor="accent5" w:themeTint="67"/>
          <w:left w:val="single" w:sz="4" w:space="0" w:color="E2F2FB" w:themeColor="accent5" w:themeTint="67"/>
          <w:bottom w:val="single" w:sz="4" w:space="0" w:color="E2F2FB" w:themeColor="accent5" w:themeTint="67"/>
          <w:right w:val="single" w:sz="4" w:space="0" w:color="E2F2FB" w:themeColor="accent5" w:themeTint="67"/>
        </w:tcBorders>
      </w:tcPr>
    </w:tblStylePr>
  </w:style>
  <w:style w:type="table" w:customStyle="1" w:styleId="Svtltabulkasmkou1zvraznn61">
    <w:name w:val="Světlá tabulka s mřížkou 1 – zvýraznění 61"/>
    <w:basedOn w:val="Normlntabulka"/>
    <w:uiPriority w:val="99"/>
    <w:pPr>
      <w:spacing w:after="0" w:line="240" w:lineRule="auto"/>
    </w:pPr>
    <w:tblPr>
      <w:tblStyleRowBandSize w:val="1"/>
      <w:tblStyleColBandSize w:val="1"/>
      <w:tblBorders>
        <w:top w:val="single" w:sz="4" w:space="0" w:color="9EE1F7" w:themeColor="accent6" w:themeTint="67"/>
        <w:left w:val="single" w:sz="4" w:space="0" w:color="9EE1F7" w:themeColor="accent6" w:themeTint="67"/>
        <w:bottom w:val="single" w:sz="4" w:space="0" w:color="9EE1F7" w:themeColor="accent6" w:themeTint="67"/>
        <w:right w:val="single" w:sz="4" w:space="0" w:color="9EE1F7" w:themeColor="accent6" w:themeTint="67"/>
        <w:insideH w:val="single" w:sz="4" w:space="0" w:color="9EE1F7" w:themeColor="accent6" w:themeTint="67"/>
        <w:insideV w:val="single" w:sz="4" w:space="0" w:color="9EE1F7" w:themeColor="accent6" w:themeTint="67"/>
      </w:tblBorders>
    </w:tblPr>
    <w:tblStylePr w:type="firstRow">
      <w:rPr>
        <w:b/>
        <w:color w:val="404040"/>
      </w:rPr>
      <w:tblPr/>
      <w:tcPr>
        <w:tcBorders>
          <w:bottom w:val="single" w:sz="12" w:space="0" w:color="73D4F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EE1F7" w:themeColor="accent6" w:themeTint="67"/>
          <w:left w:val="single" w:sz="4" w:space="0" w:color="9EE1F7" w:themeColor="accent6" w:themeTint="67"/>
          <w:bottom w:val="single" w:sz="4" w:space="0" w:color="9EE1F7" w:themeColor="accent6" w:themeTint="67"/>
          <w:right w:val="single" w:sz="4" w:space="0" w:color="9EE1F7" w:themeColor="accent6" w:themeTint="67"/>
        </w:tcBorders>
      </w:tcPr>
    </w:tblStylePr>
  </w:style>
  <w:style w:type="table" w:styleId="Tabulkasmkou2">
    <w:name w:val="Grid Table 2"/>
    <w:basedOn w:val="Normlntabulka"/>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Tabulkasmkou2zvraznn11">
    <w:name w:val="Tabulka s mřížkou 2 – zvýraznění 11"/>
    <w:basedOn w:val="Normlntabulka"/>
    <w:uiPriority w:val="99"/>
    <w:pPr>
      <w:spacing w:after="0" w:line="240" w:lineRule="auto"/>
    </w:pPr>
    <w:tblPr>
      <w:tblStyleRowBandSize w:val="1"/>
      <w:tblStyleColBandSize w:val="1"/>
      <w:tblBorders>
        <w:bottom w:val="single" w:sz="4" w:space="0" w:color="E62D34" w:themeColor="accent1" w:themeTint="EA"/>
        <w:insideH w:val="single" w:sz="4" w:space="0" w:color="E62D34" w:themeColor="accent1" w:themeTint="EA"/>
        <w:insideV w:val="single" w:sz="4" w:space="0" w:color="E62D34" w:themeColor="accent1" w:themeTint="EA"/>
      </w:tblBorders>
    </w:tblPr>
    <w:tblStylePr w:type="firstRow">
      <w:rPr>
        <w:b/>
        <w:color w:val="404040"/>
      </w:rPr>
      <w:tblPr/>
      <w:tcPr>
        <w:tcBorders>
          <w:top w:val="none" w:sz="4" w:space="0" w:color="000000"/>
          <w:left w:val="none" w:sz="4" w:space="0" w:color="000000"/>
          <w:bottom w:val="single" w:sz="12" w:space="0" w:color="E62D34" w:themeColor="accent1" w:themeTint="EA"/>
          <w:right w:val="none" w:sz="4" w:space="0" w:color="000000"/>
        </w:tcBorders>
        <w:shd w:val="clear" w:color="FFFFFF" w:fill="FFFFFF"/>
      </w:tcPr>
    </w:tblStylePr>
    <w:tblStylePr w:type="lastRow">
      <w:rPr>
        <w:b/>
        <w:color w:val="404040"/>
      </w:rPr>
      <w:tblPr/>
      <w:tcPr>
        <w:tcBorders>
          <w:top w:val="single" w:sz="4" w:space="0" w:color="E62D34"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9D0D1" w:themeFill="accent1" w:themeFillTint="34"/>
      </w:tcPr>
    </w:tblStylePr>
    <w:tblStylePr w:type="band1Horz">
      <w:rPr>
        <w:rFonts w:ascii="Arial" w:hAnsi="Arial"/>
        <w:color w:val="404040"/>
        <w:sz w:val="22"/>
      </w:rPr>
      <w:tblPr/>
      <w:tcPr>
        <w:shd w:val="clear" w:color="FFFFFF" w:fill="F9D0D1" w:themeFill="accent1" w:themeFillTint="34"/>
      </w:tcPr>
    </w:tblStylePr>
  </w:style>
  <w:style w:type="table" w:customStyle="1" w:styleId="Tabulkasmkou2zvraznn21">
    <w:name w:val="Tabulka s mřížkou 2 – zvýraznění 21"/>
    <w:basedOn w:val="Normlntabulka"/>
    <w:uiPriority w:val="99"/>
    <w:pPr>
      <w:spacing w:after="0" w:line="240" w:lineRule="auto"/>
    </w:pPr>
    <w:tblPr>
      <w:tblStyleRowBandSize w:val="1"/>
      <w:tblStyleColBandSize w:val="1"/>
      <w:tblBorders>
        <w:bottom w:val="single" w:sz="4" w:space="0" w:color="2498FF" w:themeColor="accent2" w:themeTint="97"/>
        <w:insideH w:val="single" w:sz="4" w:space="0" w:color="2498FF" w:themeColor="accent2" w:themeTint="97"/>
        <w:insideV w:val="single" w:sz="4" w:space="0" w:color="2498FF" w:themeColor="accent2" w:themeTint="97"/>
      </w:tblBorders>
    </w:tblPr>
    <w:tblStylePr w:type="firstRow">
      <w:rPr>
        <w:b/>
        <w:color w:val="404040"/>
      </w:rPr>
      <w:tblPr/>
      <w:tcPr>
        <w:tcBorders>
          <w:top w:val="none" w:sz="4" w:space="0" w:color="000000"/>
          <w:left w:val="none" w:sz="4" w:space="0" w:color="000000"/>
          <w:bottom w:val="single" w:sz="12" w:space="0" w:color="2498FF" w:themeColor="accent2" w:themeTint="97"/>
          <w:right w:val="none" w:sz="4" w:space="0" w:color="000000"/>
        </w:tcBorders>
        <w:shd w:val="clear" w:color="FFFFFF" w:fill="FFFFFF"/>
      </w:tcPr>
    </w:tblStylePr>
    <w:tblStylePr w:type="lastRow">
      <w:rPr>
        <w:b/>
        <w:color w:val="404040"/>
      </w:rPr>
      <w:tblPr/>
      <w:tcPr>
        <w:tcBorders>
          <w:top w:val="single" w:sz="4" w:space="0" w:color="2498FF"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6DCFF" w:themeFill="accent2" w:themeFillTint="32"/>
      </w:tcPr>
    </w:tblStylePr>
    <w:tblStylePr w:type="band1Horz">
      <w:rPr>
        <w:rFonts w:ascii="Arial" w:hAnsi="Arial"/>
        <w:color w:val="404040"/>
        <w:sz w:val="22"/>
      </w:rPr>
      <w:tblPr/>
      <w:tcPr>
        <w:shd w:val="clear" w:color="FFFFFF" w:fill="B6DCFF" w:themeFill="accent2" w:themeFillTint="32"/>
      </w:tcPr>
    </w:tblStylePr>
  </w:style>
  <w:style w:type="table" w:customStyle="1" w:styleId="Tabulkasmkou2zvraznn31">
    <w:name w:val="Tabulka s mřížkou 2 – zvýraznění 31"/>
    <w:basedOn w:val="Normlntabulka"/>
    <w:uiPriority w:val="99"/>
    <w:pPr>
      <w:spacing w:after="0" w:line="240" w:lineRule="auto"/>
    </w:pPr>
    <w:tblPr>
      <w:tblStyleRowBandSize w:val="1"/>
      <w:tblStyleColBandSize w:val="1"/>
      <w:tblBorders>
        <w:bottom w:val="single" w:sz="4" w:space="0" w:color="0096D7" w:themeColor="accent3" w:themeTint="FE"/>
        <w:insideH w:val="single" w:sz="4" w:space="0" w:color="0096D7" w:themeColor="accent3" w:themeTint="FE"/>
        <w:insideV w:val="single" w:sz="4" w:space="0" w:color="0096D7" w:themeColor="accent3" w:themeTint="FE"/>
      </w:tblBorders>
    </w:tblPr>
    <w:tblStylePr w:type="firstRow">
      <w:rPr>
        <w:b/>
        <w:color w:val="404040"/>
      </w:rPr>
      <w:tblPr/>
      <w:tcPr>
        <w:tcBorders>
          <w:top w:val="none" w:sz="4" w:space="0" w:color="000000"/>
          <w:left w:val="none" w:sz="4" w:space="0" w:color="000000"/>
          <w:bottom w:val="single" w:sz="12" w:space="0" w:color="0096D7" w:themeColor="accent3" w:themeTint="FE"/>
          <w:right w:val="none" w:sz="4" w:space="0" w:color="000000"/>
        </w:tcBorders>
        <w:shd w:val="clear" w:color="FFFFFF" w:fill="FFFFFF"/>
      </w:tcPr>
    </w:tblStylePr>
    <w:tblStylePr w:type="lastRow">
      <w:rPr>
        <w:b/>
        <w:color w:val="404040"/>
      </w:rPr>
      <w:tblPr/>
      <w:tcPr>
        <w:tcBorders>
          <w:top w:val="single" w:sz="4" w:space="0" w:color="0096D7"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2ECFF" w:themeFill="accent3" w:themeFillTint="34"/>
      </w:tcPr>
    </w:tblStylePr>
    <w:tblStylePr w:type="band1Horz">
      <w:rPr>
        <w:rFonts w:ascii="Arial" w:hAnsi="Arial"/>
        <w:color w:val="404040"/>
        <w:sz w:val="22"/>
      </w:rPr>
      <w:tblPr/>
      <w:tcPr>
        <w:shd w:val="clear" w:color="FFFFFF" w:fill="C2ECFF" w:themeFill="accent3" w:themeFillTint="34"/>
      </w:tcPr>
    </w:tblStylePr>
  </w:style>
  <w:style w:type="table" w:customStyle="1" w:styleId="Tabulkasmkou2zvraznn41">
    <w:name w:val="Tabulka s mřížkou 2 – zvýraznění 41"/>
    <w:basedOn w:val="Normlntabulka"/>
    <w:uiPriority w:val="99"/>
    <w:pPr>
      <w:spacing w:after="0" w:line="240" w:lineRule="auto"/>
    </w:pPr>
    <w:tblPr>
      <w:tblStyleRowBandSize w:val="1"/>
      <w:tblStyleColBandSize w:val="1"/>
      <w:tblBorders>
        <w:bottom w:val="single" w:sz="4" w:space="0" w:color="EE545C" w:themeColor="accent4" w:themeTint="9A"/>
        <w:insideH w:val="single" w:sz="4" w:space="0" w:color="EE545C" w:themeColor="accent4" w:themeTint="9A"/>
        <w:insideV w:val="single" w:sz="4" w:space="0" w:color="EE545C" w:themeColor="accent4" w:themeTint="9A"/>
      </w:tblBorders>
    </w:tblPr>
    <w:tblStylePr w:type="firstRow">
      <w:rPr>
        <w:b/>
        <w:color w:val="404040"/>
      </w:rPr>
      <w:tblPr/>
      <w:tcPr>
        <w:tcBorders>
          <w:top w:val="none" w:sz="4" w:space="0" w:color="000000"/>
          <w:left w:val="none" w:sz="4" w:space="0" w:color="000000"/>
          <w:bottom w:val="single" w:sz="12" w:space="0" w:color="EE545C" w:themeColor="accent4" w:themeTint="9A"/>
          <w:right w:val="none" w:sz="4" w:space="0" w:color="000000"/>
        </w:tcBorders>
        <w:shd w:val="clear" w:color="FFFFFF" w:fill="FFFFFF"/>
      </w:tcPr>
    </w:tblStylePr>
    <w:tblStylePr w:type="lastRow">
      <w:rPr>
        <w:b/>
        <w:color w:val="404040"/>
      </w:rPr>
      <w:tblPr/>
      <w:tcPr>
        <w:tcBorders>
          <w:top w:val="single" w:sz="4" w:space="0" w:color="EE545C"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9C5C7" w:themeFill="accent4" w:themeFillTint="34"/>
      </w:tcPr>
    </w:tblStylePr>
    <w:tblStylePr w:type="band1Horz">
      <w:rPr>
        <w:rFonts w:ascii="Arial" w:hAnsi="Arial"/>
        <w:color w:val="404040"/>
        <w:sz w:val="22"/>
      </w:rPr>
      <w:tblPr/>
      <w:tcPr>
        <w:shd w:val="clear" w:color="FFFFFF" w:fill="F9C5C7" w:themeFill="accent4" w:themeFillTint="34"/>
      </w:tcPr>
    </w:tblStylePr>
  </w:style>
  <w:style w:type="table" w:customStyle="1" w:styleId="Tabulkasmkou2zvraznn51">
    <w:name w:val="Tabulka s mřížkou 2 – zvýraznění 51"/>
    <w:basedOn w:val="Normlntabulka"/>
    <w:uiPriority w:val="99"/>
    <w:pPr>
      <w:spacing w:after="0" w:line="240" w:lineRule="auto"/>
    </w:pPr>
    <w:tblPr>
      <w:tblStyleRowBandSize w:val="1"/>
      <w:tblStyleColBandSize w:val="1"/>
      <w:tblBorders>
        <w:bottom w:val="single" w:sz="4" w:space="0" w:color="B9E0F7" w:themeColor="accent5"/>
        <w:insideH w:val="single" w:sz="4" w:space="0" w:color="B9E0F7" w:themeColor="accent5"/>
        <w:insideV w:val="single" w:sz="4" w:space="0" w:color="B9E0F7" w:themeColor="accent5"/>
      </w:tblBorders>
    </w:tblPr>
    <w:tblStylePr w:type="firstRow">
      <w:rPr>
        <w:b/>
        <w:color w:val="404040"/>
      </w:rPr>
      <w:tblPr/>
      <w:tcPr>
        <w:tcBorders>
          <w:top w:val="none" w:sz="4" w:space="0" w:color="000000"/>
          <w:left w:val="none" w:sz="4" w:space="0" w:color="000000"/>
          <w:bottom w:val="single" w:sz="12" w:space="0" w:color="B9E0F7" w:themeColor="accent5"/>
          <w:right w:val="none" w:sz="4" w:space="0" w:color="000000"/>
        </w:tcBorders>
        <w:shd w:val="clear" w:color="FFFFFF" w:fill="FFFFFF"/>
      </w:tcPr>
    </w:tblStylePr>
    <w:tblStylePr w:type="lastRow">
      <w:rPr>
        <w:b/>
        <w:color w:val="404040"/>
      </w:rPr>
      <w:tblPr/>
      <w:tcPr>
        <w:tcBorders>
          <w:top w:val="single" w:sz="4" w:space="0" w:color="B9E0F7"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0F8FD" w:themeFill="accent5" w:themeFillTint="34"/>
      </w:tcPr>
    </w:tblStylePr>
    <w:tblStylePr w:type="band1Horz">
      <w:rPr>
        <w:rFonts w:ascii="Arial" w:hAnsi="Arial"/>
        <w:color w:val="404040"/>
        <w:sz w:val="22"/>
      </w:rPr>
      <w:tblPr/>
      <w:tcPr>
        <w:shd w:val="clear" w:color="FFFFFF" w:fill="F0F8FD" w:themeFill="accent5" w:themeFillTint="34"/>
      </w:tcPr>
    </w:tblStylePr>
  </w:style>
  <w:style w:type="table" w:customStyle="1" w:styleId="Tabulkasmkou2zvraznn61">
    <w:name w:val="Tabulka s mřížkou 2 – zvýraznění 61"/>
    <w:basedOn w:val="Normlntabulka"/>
    <w:uiPriority w:val="99"/>
    <w:pPr>
      <w:spacing w:after="0" w:line="240" w:lineRule="auto"/>
    </w:pPr>
    <w:tblPr>
      <w:tblStyleRowBandSize w:val="1"/>
      <w:tblStyleColBandSize w:val="1"/>
      <w:tblBorders>
        <w:bottom w:val="single" w:sz="4" w:space="0" w:color="13B5EA" w:themeColor="accent6"/>
        <w:insideH w:val="single" w:sz="4" w:space="0" w:color="13B5EA" w:themeColor="accent6"/>
        <w:insideV w:val="single" w:sz="4" w:space="0" w:color="13B5EA" w:themeColor="accent6"/>
      </w:tblBorders>
    </w:tblPr>
    <w:tblStylePr w:type="firstRow">
      <w:rPr>
        <w:b/>
        <w:color w:val="404040"/>
      </w:rPr>
      <w:tblPr/>
      <w:tcPr>
        <w:tcBorders>
          <w:top w:val="none" w:sz="4" w:space="0" w:color="000000"/>
          <w:left w:val="none" w:sz="4" w:space="0" w:color="000000"/>
          <w:bottom w:val="single" w:sz="12" w:space="0" w:color="13B5EA" w:themeColor="accent6"/>
          <w:right w:val="none" w:sz="4" w:space="0" w:color="000000"/>
        </w:tcBorders>
        <w:shd w:val="clear" w:color="FFFFFF" w:fill="FFFFFF"/>
      </w:tcPr>
    </w:tblStylePr>
    <w:tblStylePr w:type="lastRow">
      <w:rPr>
        <w:b/>
        <w:color w:val="404040"/>
      </w:rPr>
      <w:tblPr/>
      <w:tcPr>
        <w:tcBorders>
          <w:top w:val="single" w:sz="4" w:space="0" w:color="13B5EA"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EF0FB" w:themeFill="accent6" w:themeFillTint="34"/>
      </w:tcPr>
    </w:tblStylePr>
    <w:tblStylePr w:type="band1Horz">
      <w:rPr>
        <w:rFonts w:ascii="Arial" w:hAnsi="Arial"/>
        <w:color w:val="404040"/>
        <w:sz w:val="22"/>
      </w:rPr>
      <w:tblPr/>
      <w:tcPr>
        <w:shd w:val="clear" w:color="FFFFFF" w:fill="CEF0FB" w:themeFill="accent6" w:themeFillTint="34"/>
      </w:tcPr>
    </w:tblStylePr>
  </w:style>
  <w:style w:type="table" w:styleId="Tabulkasmkou3">
    <w:name w:val="Grid Table 3"/>
    <w:basedOn w:val="Normlntabulka"/>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Tabulkasmkou3zvraznn11">
    <w:name w:val="Tabulka s mřížkou 3 – zvýraznění 11"/>
    <w:basedOn w:val="Normlntabulka"/>
    <w:uiPriority w:val="99"/>
    <w:pPr>
      <w:spacing w:after="0" w:line="240" w:lineRule="auto"/>
    </w:pPr>
    <w:tblPr>
      <w:tblStyleRowBandSize w:val="1"/>
      <w:tblStyleColBandSize w:val="1"/>
      <w:tblBorders>
        <w:bottom w:val="single" w:sz="4" w:space="0" w:color="E62D34" w:themeColor="accent1" w:themeTint="EA"/>
        <w:insideH w:val="single" w:sz="4" w:space="0" w:color="E62D34" w:themeColor="accent1" w:themeTint="EA"/>
        <w:insideV w:val="single" w:sz="4" w:space="0" w:color="E62D34"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9D0D1" w:themeFill="accent1" w:themeFillTint="34"/>
      </w:tcPr>
    </w:tblStylePr>
    <w:tblStylePr w:type="band1Horz">
      <w:rPr>
        <w:rFonts w:ascii="Arial" w:hAnsi="Arial"/>
        <w:color w:val="404040"/>
        <w:sz w:val="22"/>
      </w:rPr>
      <w:tblPr/>
      <w:tcPr>
        <w:shd w:val="clear" w:color="FFFFFF" w:fill="F9D0D1" w:themeFill="accent1" w:themeFillTint="34"/>
      </w:tcPr>
    </w:tblStylePr>
  </w:style>
  <w:style w:type="table" w:customStyle="1" w:styleId="Tabulkasmkou3zvraznn21">
    <w:name w:val="Tabulka s mřížkou 3 – zvýraznění 21"/>
    <w:basedOn w:val="Normlntabulka"/>
    <w:uiPriority w:val="99"/>
    <w:pPr>
      <w:spacing w:after="0" w:line="240" w:lineRule="auto"/>
    </w:pPr>
    <w:tblPr>
      <w:tblStyleRowBandSize w:val="1"/>
      <w:tblStyleColBandSize w:val="1"/>
      <w:tblBorders>
        <w:bottom w:val="single" w:sz="4" w:space="0" w:color="2498FF" w:themeColor="accent2" w:themeTint="97"/>
        <w:insideH w:val="single" w:sz="4" w:space="0" w:color="2498FF" w:themeColor="accent2" w:themeTint="97"/>
        <w:insideV w:val="single" w:sz="4" w:space="0" w:color="2498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B6DCFF" w:themeFill="accent2" w:themeFillTint="32"/>
      </w:tcPr>
    </w:tblStylePr>
    <w:tblStylePr w:type="band1Horz">
      <w:rPr>
        <w:rFonts w:ascii="Arial" w:hAnsi="Arial"/>
        <w:color w:val="404040"/>
        <w:sz w:val="22"/>
      </w:rPr>
      <w:tblPr/>
      <w:tcPr>
        <w:shd w:val="clear" w:color="FFFFFF" w:fill="B6DCFF" w:themeFill="accent2" w:themeFillTint="32"/>
      </w:tcPr>
    </w:tblStylePr>
  </w:style>
  <w:style w:type="table" w:customStyle="1" w:styleId="Tabulkasmkou3zvraznn31">
    <w:name w:val="Tabulka s mřížkou 3 – zvýraznění 31"/>
    <w:basedOn w:val="Normlntabulka"/>
    <w:uiPriority w:val="99"/>
    <w:pPr>
      <w:spacing w:after="0" w:line="240" w:lineRule="auto"/>
    </w:pPr>
    <w:tblPr>
      <w:tblStyleRowBandSize w:val="1"/>
      <w:tblStyleColBandSize w:val="1"/>
      <w:tblBorders>
        <w:bottom w:val="single" w:sz="4" w:space="0" w:color="0096D7" w:themeColor="accent3" w:themeTint="FE"/>
        <w:insideH w:val="single" w:sz="4" w:space="0" w:color="0096D7" w:themeColor="accent3" w:themeTint="FE"/>
        <w:insideV w:val="single" w:sz="4" w:space="0" w:color="0096D7"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2ECFF" w:themeFill="accent3" w:themeFillTint="34"/>
      </w:tcPr>
    </w:tblStylePr>
    <w:tblStylePr w:type="band1Horz">
      <w:rPr>
        <w:rFonts w:ascii="Arial" w:hAnsi="Arial"/>
        <w:color w:val="404040"/>
        <w:sz w:val="22"/>
      </w:rPr>
      <w:tblPr/>
      <w:tcPr>
        <w:shd w:val="clear" w:color="FFFFFF" w:fill="C2ECFF" w:themeFill="accent3" w:themeFillTint="34"/>
      </w:tcPr>
    </w:tblStylePr>
  </w:style>
  <w:style w:type="table" w:customStyle="1" w:styleId="Tabulkasmkou3zvraznn41">
    <w:name w:val="Tabulka s mřížkou 3 – zvýraznění 41"/>
    <w:basedOn w:val="Normlntabulka"/>
    <w:uiPriority w:val="99"/>
    <w:pPr>
      <w:spacing w:after="0" w:line="240" w:lineRule="auto"/>
    </w:pPr>
    <w:tblPr>
      <w:tblStyleRowBandSize w:val="1"/>
      <w:tblStyleColBandSize w:val="1"/>
      <w:tblBorders>
        <w:bottom w:val="single" w:sz="4" w:space="0" w:color="EE545C" w:themeColor="accent4" w:themeTint="9A"/>
        <w:insideH w:val="single" w:sz="4" w:space="0" w:color="EE545C" w:themeColor="accent4" w:themeTint="9A"/>
        <w:insideV w:val="single" w:sz="4" w:space="0" w:color="EE545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9C5C7" w:themeFill="accent4" w:themeFillTint="34"/>
      </w:tcPr>
    </w:tblStylePr>
    <w:tblStylePr w:type="band1Horz">
      <w:rPr>
        <w:rFonts w:ascii="Arial" w:hAnsi="Arial"/>
        <w:color w:val="404040"/>
        <w:sz w:val="22"/>
      </w:rPr>
      <w:tblPr/>
      <w:tcPr>
        <w:shd w:val="clear" w:color="FFFFFF" w:fill="F9C5C7" w:themeFill="accent4" w:themeFillTint="34"/>
      </w:tcPr>
    </w:tblStylePr>
  </w:style>
  <w:style w:type="table" w:customStyle="1" w:styleId="Tabulkasmkou3zvraznn51">
    <w:name w:val="Tabulka s mřížkou 3 – zvýraznění 51"/>
    <w:basedOn w:val="Normlntabulka"/>
    <w:uiPriority w:val="99"/>
    <w:pPr>
      <w:spacing w:after="0" w:line="240" w:lineRule="auto"/>
    </w:pPr>
    <w:tblPr>
      <w:tblStyleRowBandSize w:val="1"/>
      <w:tblStyleColBandSize w:val="1"/>
      <w:tblBorders>
        <w:bottom w:val="single" w:sz="4" w:space="0" w:color="B9E0F7" w:themeColor="accent5"/>
        <w:insideH w:val="single" w:sz="4" w:space="0" w:color="B9E0F7" w:themeColor="accent5"/>
        <w:insideV w:val="single" w:sz="4" w:space="0" w:color="B9E0F7"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0F8FD" w:themeFill="accent5" w:themeFillTint="34"/>
      </w:tcPr>
    </w:tblStylePr>
    <w:tblStylePr w:type="band1Horz">
      <w:rPr>
        <w:rFonts w:ascii="Arial" w:hAnsi="Arial"/>
        <w:color w:val="404040"/>
        <w:sz w:val="22"/>
      </w:rPr>
      <w:tblPr/>
      <w:tcPr>
        <w:shd w:val="clear" w:color="FFFFFF" w:fill="F0F8FD" w:themeFill="accent5" w:themeFillTint="34"/>
      </w:tcPr>
    </w:tblStylePr>
  </w:style>
  <w:style w:type="table" w:customStyle="1" w:styleId="Tabulkasmkou3zvraznn61">
    <w:name w:val="Tabulka s mřížkou 3 – zvýraznění 61"/>
    <w:basedOn w:val="Normlntabulka"/>
    <w:uiPriority w:val="99"/>
    <w:pPr>
      <w:spacing w:after="0" w:line="240" w:lineRule="auto"/>
    </w:pPr>
    <w:tblPr>
      <w:tblStyleRowBandSize w:val="1"/>
      <w:tblStyleColBandSize w:val="1"/>
      <w:tblBorders>
        <w:bottom w:val="single" w:sz="4" w:space="0" w:color="13B5EA" w:themeColor="accent6"/>
        <w:insideH w:val="single" w:sz="4" w:space="0" w:color="13B5EA" w:themeColor="accent6"/>
        <w:insideV w:val="single" w:sz="4" w:space="0" w:color="13B5EA"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EF0FB" w:themeFill="accent6" w:themeFillTint="34"/>
      </w:tcPr>
    </w:tblStylePr>
    <w:tblStylePr w:type="band1Horz">
      <w:rPr>
        <w:rFonts w:ascii="Arial" w:hAnsi="Arial"/>
        <w:color w:val="404040"/>
        <w:sz w:val="22"/>
      </w:rPr>
      <w:tblPr/>
      <w:tcPr>
        <w:shd w:val="clear" w:color="FFFFFF" w:fill="CEF0FB" w:themeFill="accent6" w:themeFillTint="34"/>
      </w:tcPr>
    </w:tblStylePr>
  </w:style>
  <w:style w:type="table" w:styleId="Tabulkasmkou4">
    <w:name w:val="Grid Table 4"/>
    <w:basedOn w:val="Normlntabulka"/>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Tabulkasmkou4zvraznn11">
    <w:name w:val="Tabulka s mřížkou 4 – zvýraznění 11"/>
    <w:basedOn w:val="Normlntabulka"/>
    <w:uiPriority w:val="59"/>
    <w:pPr>
      <w:spacing w:after="0" w:line="240" w:lineRule="auto"/>
    </w:pPr>
    <w:tblPr>
      <w:tblStyleRowBandSize w:val="1"/>
      <w:tblStyleColBandSize w:val="1"/>
      <w:tblBorders>
        <w:top w:val="single" w:sz="4" w:space="0" w:color="EF7D82" w:themeColor="accent1" w:themeTint="90"/>
        <w:left w:val="single" w:sz="4" w:space="0" w:color="EF7D82" w:themeColor="accent1" w:themeTint="90"/>
        <w:bottom w:val="single" w:sz="4" w:space="0" w:color="EF7D82" w:themeColor="accent1" w:themeTint="90"/>
        <w:right w:val="single" w:sz="4" w:space="0" w:color="EF7D82" w:themeColor="accent1" w:themeTint="90"/>
        <w:insideH w:val="single" w:sz="4" w:space="0" w:color="EF7D82" w:themeColor="accent1" w:themeTint="90"/>
        <w:insideV w:val="single" w:sz="4" w:space="0" w:color="EF7D82" w:themeColor="accent1" w:themeTint="90"/>
      </w:tblBorders>
    </w:tblPr>
    <w:tblStylePr w:type="firstRow">
      <w:rPr>
        <w:rFonts w:ascii="Arial" w:hAnsi="Arial"/>
        <w:b/>
        <w:color w:val="FFFFFF"/>
        <w:sz w:val="22"/>
      </w:rPr>
      <w:tblPr/>
      <w:tcPr>
        <w:tcBorders>
          <w:top w:val="single" w:sz="4" w:space="0" w:color="E62D34" w:themeColor="accent1" w:themeTint="EA"/>
          <w:left w:val="single" w:sz="4" w:space="0" w:color="E62D34" w:themeColor="accent1" w:themeTint="EA"/>
          <w:bottom w:val="single" w:sz="4" w:space="0" w:color="E62D34" w:themeColor="accent1" w:themeTint="EA"/>
          <w:right w:val="single" w:sz="4" w:space="0" w:color="E62D34" w:themeColor="accent1" w:themeTint="EA"/>
        </w:tcBorders>
        <w:shd w:val="clear" w:color="FFFFFF" w:fill="E62D34" w:themeFill="accent1" w:themeFillTint="EA"/>
      </w:tcPr>
    </w:tblStylePr>
    <w:tblStylePr w:type="lastRow">
      <w:rPr>
        <w:b/>
        <w:color w:val="404040"/>
      </w:rPr>
      <w:tblPr/>
      <w:tcPr>
        <w:tcBorders>
          <w:top w:val="single" w:sz="4" w:space="0" w:color="E62D34"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9D2D3" w:themeFill="accent1" w:themeFillTint="32"/>
      </w:tcPr>
    </w:tblStylePr>
    <w:tblStylePr w:type="band1Horz">
      <w:rPr>
        <w:rFonts w:ascii="Arial" w:hAnsi="Arial"/>
        <w:color w:val="404040"/>
        <w:sz w:val="22"/>
      </w:rPr>
      <w:tblPr/>
      <w:tcPr>
        <w:shd w:val="clear" w:color="FFFFFF" w:fill="F9D2D3" w:themeFill="accent1" w:themeFillTint="32"/>
      </w:tcPr>
    </w:tblStylePr>
  </w:style>
  <w:style w:type="table" w:customStyle="1" w:styleId="Tabulkasmkou4zvraznn21">
    <w:name w:val="Tabulka s mřížkou 4 – zvýraznění 21"/>
    <w:basedOn w:val="Normlntabulka"/>
    <w:uiPriority w:val="59"/>
    <w:pPr>
      <w:spacing w:after="0" w:line="240" w:lineRule="auto"/>
    </w:pPr>
    <w:tblPr>
      <w:tblStyleRowBandSize w:val="1"/>
      <w:tblStyleColBandSize w:val="1"/>
      <w:tblBorders>
        <w:top w:val="single" w:sz="4" w:space="0" w:color="2E9CFF" w:themeColor="accent2" w:themeTint="90"/>
        <w:left w:val="single" w:sz="4" w:space="0" w:color="2E9CFF" w:themeColor="accent2" w:themeTint="90"/>
        <w:bottom w:val="single" w:sz="4" w:space="0" w:color="2E9CFF" w:themeColor="accent2" w:themeTint="90"/>
        <w:right w:val="single" w:sz="4" w:space="0" w:color="2E9CFF" w:themeColor="accent2" w:themeTint="90"/>
        <w:insideH w:val="single" w:sz="4" w:space="0" w:color="2E9CFF" w:themeColor="accent2" w:themeTint="90"/>
        <w:insideV w:val="single" w:sz="4" w:space="0" w:color="2E9CFF" w:themeColor="accent2" w:themeTint="90"/>
      </w:tblBorders>
    </w:tblPr>
    <w:tblStylePr w:type="firstRow">
      <w:rPr>
        <w:rFonts w:ascii="Arial" w:hAnsi="Arial"/>
        <w:b/>
        <w:color w:val="FFFFFF"/>
        <w:sz w:val="22"/>
      </w:rPr>
      <w:tblPr/>
      <w:tcPr>
        <w:tcBorders>
          <w:top w:val="single" w:sz="4" w:space="0" w:color="2498FF" w:themeColor="accent2" w:themeTint="97"/>
          <w:left w:val="single" w:sz="4" w:space="0" w:color="2498FF" w:themeColor="accent2" w:themeTint="97"/>
          <w:bottom w:val="single" w:sz="4" w:space="0" w:color="2498FF" w:themeColor="accent2" w:themeTint="97"/>
          <w:right w:val="single" w:sz="4" w:space="0" w:color="2498FF" w:themeColor="accent2" w:themeTint="97"/>
        </w:tcBorders>
        <w:shd w:val="clear" w:color="FFFFFF" w:fill="2498FF" w:themeFill="accent2" w:themeFillTint="97"/>
      </w:tcPr>
    </w:tblStylePr>
    <w:tblStylePr w:type="lastRow">
      <w:rPr>
        <w:b/>
        <w:color w:val="404040"/>
      </w:rPr>
      <w:tblPr/>
      <w:tcPr>
        <w:tcBorders>
          <w:top w:val="single" w:sz="4" w:space="0" w:color="2498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6DCFF" w:themeFill="accent2" w:themeFillTint="32"/>
      </w:tcPr>
    </w:tblStylePr>
    <w:tblStylePr w:type="band1Horz">
      <w:rPr>
        <w:rFonts w:ascii="Arial" w:hAnsi="Arial"/>
        <w:color w:val="404040"/>
        <w:sz w:val="22"/>
      </w:rPr>
      <w:tblPr/>
      <w:tcPr>
        <w:shd w:val="clear" w:color="FFFFFF" w:fill="B6DCFF" w:themeFill="accent2" w:themeFillTint="32"/>
      </w:tcPr>
    </w:tblStylePr>
  </w:style>
  <w:style w:type="table" w:customStyle="1" w:styleId="Tabulkasmkou4zvraznn31">
    <w:name w:val="Tabulka s mřížkou 4 – zvýraznění 31"/>
    <w:basedOn w:val="Normlntabulka"/>
    <w:uiPriority w:val="59"/>
    <w:pPr>
      <w:spacing w:after="0" w:line="240" w:lineRule="auto"/>
    </w:pPr>
    <w:tblPr>
      <w:tblStyleRowBandSize w:val="1"/>
      <w:tblStyleColBandSize w:val="1"/>
      <w:tblBorders>
        <w:top w:val="single" w:sz="4" w:space="0" w:color="57CCFF" w:themeColor="accent3" w:themeTint="90"/>
        <w:left w:val="single" w:sz="4" w:space="0" w:color="57CCFF" w:themeColor="accent3" w:themeTint="90"/>
        <w:bottom w:val="single" w:sz="4" w:space="0" w:color="57CCFF" w:themeColor="accent3" w:themeTint="90"/>
        <w:right w:val="single" w:sz="4" w:space="0" w:color="57CCFF" w:themeColor="accent3" w:themeTint="90"/>
        <w:insideH w:val="single" w:sz="4" w:space="0" w:color="57CCFF" w:themeColor="accent3" w:themeTint="90"/>
        <w:insideV w:val="single" w:sz="4" w:space="0" w:color="57CCFF" w:themeColor="accent3" w:themeTint="90"/>
      </w:tblBorders>
    </w:tblPr>
    <w:tblStylePr w:type="firstRow">
      <w:rPr>
        <w:rFonts w:ascii="Arial" w:hAnsi="Arial"/>
        <w:b/>
        <w:color w:val="FFFFFF"/>
        <w:sz w:val="22"/>
      </w:rPr>
      <w:tblPr/>
      <w:tcPr>
        <w:tcBorders>
          <w:top w:val="single" w:sz="4" w:space="0" w:color="0096D7" w:themeColor="accent3" w:themeTint="FE"/>
          <w:left w:val="single" w:sz="4" w:space="0" w:color="0096D7" w:themeColor="accent3" w:themeTint="FE"/>
          <w:bottom w:val="single" w:sz="4" w:space="0" w:color="0096D7" w:themeColor="accent3" w:themeTint="FE"/>
          <w:right w:val="single" w:sz="4" w:space="0" w:color="0096D7" w:themeColor="accent3" w:themeTint="FE"/>
        </w:tcBorders>
        <w:shd w:val="clear" w:color="FFFFFF" w:fill="0096D7" w:themeFill="accent3" w:themeFillTint="FE"/>
      </w:tcPr>
    </w:tblStylePr>
    <w:tblStylePr w:type="lastRow">
      <w:rPr>
        <w:b/>
        <w:color w:val="404040"/>
      </w:rPr>
      <w:tblPr/>
      <w:tcPr>
        <w:tcBorders>
          <w:top w:val="single" w:sz="4" w:space="0" w:color="0096D7"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2ECFF" w:themeFill="accent3" w:themeFillTint="34"/>
      </w:tcPr>
    </w:tblStylePr>
    <w:tblStylePr w:type="band1Horz">
      <w:rPr>
        <w:rFonts w:ascii="Arial" w:hAnsi="Arial"/>
        <w:color w:val="404040"/>
        <w:sz w:val="22"/>
      </w:rPr>
      <w:tblPr/>
      <w:tcPr>
        <w:shd w:val="clear" w:color="FFFFFF" w:fill="C2ECFF" w:themeFill="accent3" w:themeFillTint="34"/>
      </w:tcPr>
    </w:tblStylePr>
  </w:style>
  <w:style w:type="table" w:customStyle="1" w:styleId="Tabulkasmkou4zvraznn41">
    <w:name w:val="Tabulka s mřížkou 4 – zvýraznění 41"/>
    <w:basedOn w:val="Normlntabulka"/>
    <w:uiPriority w:val="59"/>
    <w:pPr>
      <w:spacing w:after="0" w:line="240" w:lineRule="auto"/>
    </w:pPr>
    <w:tblPr>
      <w:tblStyleRowBandSize w:val="1"/>
      <w:tblStyleColBandSize w:val="1"/>
      <w:tblBorders>
        <w:top w:val="single" w:sz="4" w:space="0" w:color="EF5F67" w:themeColor="accent4" w:themeTint="90"/>
        <w:left w:val="single" w:sz="4" w:space="0" w:color="EF5F67" w:themeColor="accent4" w:themeTint="90"/>
        <w:bottom w:val="single" w:sz="4" w:space="0" w:color="EF5F67" w:themeColor="accent4" w:themeTint="90"/>
        <w:right w:val="single" w:sz="4" w:space="0" w:color="EF5F67" w:themeColor="accent4" w:themeTint="90"/>
        <w:insideH w:val="single" w:sz="4" w:space="0" w:color="EF5F67" w:themeColor="accent4" w:themeTint="90"/>
        <w:insideV w:val="single" w:sz="4" w:space="0" w:color="EF5F67" w:themeColor="accent4" w:themeTint="90"/>
      </w:tblBorders>
    </w:tblPr>
    <w:tblStylePr w:type="firstRow">
      <w:rPr>
        <w:rFonts w:ascii="Arial" w:hAnsi="Arial"/>
        <w:b/>
        <w:color w:val="FFFFFF"/>
        <w:sz w:val="22"/>
      </w:rPr>
      <w:tblPr/>
      <w:tcPr>
        <w:tcBorders>
          <w:top w:val="single" w:sz="4" w:space="0" w:color="EE545C" w:themeColor="accent4" w:themeTint="9A"/>
          <w:left w:val="single" w:sz="4" w:space="0" w:color="EE545C" w:themeColor="accent4" w:themeTint="9A"/>
          <w:bottom w:val="single" w:sz="4" w:space="0" w:color="EE545C" w:themeColor="accent4" w:themeTint="9A"/>
          <w:right w:val="single" w:sz="4" w:space="0" w:color="EE545C" w:themeColor="accent4" w:themeTint="9A"/>
        </w:tcBorders>
        <w:shd w:val="clear" w:color="FFFFFF" w:fill="EE545C" w:themeFill="accent4" w:themeFillTint="9A"/>
      </w:tcPr>
    </w:tblStylePr>
    <w:tblStylePr w:type="lastRow">
      <w:rPr>
        <w:b/>
        <w:color w:val="404040"/>
      </w:rPr>
      <w:tblPr/>
      <w:tcPr>
        <w:tcBorders>
          <w:top w:val="single" w:sz="4" w:space="0" w:color="EE545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9C5C7" w:themeFill="accent4" w:themeFillTint="34"/>
      </w:tcPr>
    </w:tblStylePr>
    <w:tblStylePr w:type="band1Horz">
      <w:rPr>
        <w:rFonts w:ascii="Arial" w:hAnsi="Arial"/>
        <w:color w:val="404040"/>
        <w:sz w:val="22"/>
      </w:rPr>
      <w:tblPr/>
      <w:tcPr>
        <w:shd w:val="clear" w:color="FFFFFF" w:fill="F9C5C7" w:themeFill="accent4" w:themeFillTint="34"/>
      </w:tcPr>
    </w:tblStylePr>
  </w:style>
  <w:style w:type="table" w:customStyle="1" w:styleId="Tabulkasmkou4zvraznn51">
    <w:name w:val="Tabulka s mřížkou 4 – zvýraznění 51"/>
    <w:basedOn w:val="Normlntabulka"/>
    <w:uiPriority w:val="59"/>
    <w:pPr>
      <w:spacing w:after="0" w:line="240" w:lineRule="auto"/>
    </w:pPr>
    <w:tblPr>
      <w:tblStyleRowBandSize w:val="1"/>
      <w:tblStyleColBandSize w:val="1"/>
      <w:tblBorders>
        <w:top w:val="single" w:sz="4" w:space="0" w:color="D7EDFA" w:themeColor="accent5" w:themeTint="90"/>
        <w:left w:val="single" w:sz="4" w:space="0" w:color="D7EDFA" w:themeColor="accent5" w:themeTint="90"/>
        <w:bottom w:val="single" w:sz="4" w:space="0" w:color="D7EDFA" w:themeColor="accent5" w:themeTint="90"/>
        <w:right w:val="single" w:sz="4" w:space="0" w:color="D7EDFA" w:themeColor="accent5" w:themeTint="90"/>
        <w:insideH w:val="single" w:sz="4" w:space="0" w:color="D7EDFA" w:themeColor="accent5" w:themeTint="90"/>
        <w:insideV w:val="single" w:sz="4" w:space="0" w:color="D7EDFA" w:themeColor="accent5" w:themeTint="90"/>
      </w:tblBorders>
    </w:tblPr>
    <w:tblStylePr w:type="firstRow">
      <w:rPr>
        <w:rFonts w:ascii="Arial" w:hAnsi="Arial"/>
        <w:b/>
        <w:color w:val="FFFFFF"/>
        <w:sz w:val="22"/>
      </w:rPr>
      <w:tblPr/>
      <w:tcPr>
        <w:tcBorders>
          <w:top w:val="single" w:sz="4" w:space="0" w:color="B9E0F7" w:themeColor="accent5"/>
          <w:left w:val="single" w:sz="4" w:space="0" w:color="B9E0F7" w:themeColor="accent5"/>
          <w:bottom w:val="single" w:sz="4" w:space="0" w:color="B9E0F7" w:themeColor="accent5"/>
          <w:right w:val="single" w:sz="4" w:space="0" w:color="B9E0F7" w:themeColor="accent5"/>
        </w:tcBorders>
        <w:shd w:val="clear" w:color="FFFFFF" w:fill="B9E0F7" w:themeFill="accent5"/>
      </w:tcPr>
    </w:tblStylePr>
    <w:tblStylePr w:type="lastRow">
      <w:rPr>
        <w:b/>
        <w:color w:val="404040"/>
      </w:rPr>
      <w:tblPr/>
      <w:tcPr>
        <w:tcBorders>
          <w:top w:val="single" w:sz="4" w:space="0" w:color="B9E0F7"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0F8FD" w:themeFill="accent5" w:themeFillTint="34"/>
      </w:tcPr>
    </w:tblStylePr>
    <w:tblStylePr w:type="band1Horz">
      <w:rPr>
        <w:rFonts w:ascii="Arial" w:hAnsi="Arial"/>
        <w:color w:val="404040"/>
        <w:sz w:val="22"/>
      </w:rPr>
      <w:tblPr/>
      <w:tcPr>
        <w:shd w:val="clear" w:color="FFFFFF" w:fill="F0F8FD" w:themeFill="accent5" w:themeFillTint="34"/>
      </w:tcPr>
    </w:tblStylePr>
  </w:style>
  <w:style w:type="table" w:customStyle="1" w:styleId="Tabulkasmkou4zvraznn61">
    <w:name w:val="Tabulka s mřížkou 4 – zvýraznění 61"/>
    <w:basedOn w:val="Normlntabulka"/>
    <w:uiPriority w:val="59"/>
    <w:pPr>
      <w:spacing w:after="0" w:line="240" w:lineRule="auto"/>
    </w:pPr>
    <w:tblPr>
      <w:tblStyleRowBandSize w:val="1"/>
      <w:tblStyleColBandSize w:val="1"/>
      <w:tblBorders>
        <w:top w:val="single" w:sz="4" w:space="0" w:color="78D5F4" w:themeColor="accent6" w:themeTint="90"/>
        <w:left w:val="single" w:sz="4" w:space="0" w:color="78D5F4" w:themeColor="accent6" w:themeTint="90"/>
        <w:bottom w:val="single" w:sz="4" w:space="0" w:color="78D5F4" w:themeColor="accent6" w:themeTint="90"/>
        <w:right w:val="single" w:sz="4" w:space="0" w:color="78D5F4" w:themeColor="accent6" w:themeTint="90"/>
        <w:insideH w:val="single" w:sz="4" w:space="0" w:color="78D5F4" w:themeColor="accent6" w:themeTint="90"/>
        <w:insideV w:val="single" w:sz="4" w:space="0" w:color="78D5F4" w:themeColor="accent6" w:themeTint="90"/>
      </w:tblBorders>
    </w:tblPr>
    <w:tblStylePr w:type="firstRow">
      <w:rPr>
        <w:rFonts w:ascii="Arial" w:hAnsi="Arial"/>
        <w:b/>
        <w:color w:val="FFFFFF"/>
        <w:sz w:val="22"/>
      </w:rPr>
      <w:tblPr/>
      <w:tcPr>
        <w:tcBorders>
          <w:top w:val="single" w:sz="4" w:space="0" w:color="13B5EA" w:themeColor="accent6"/>
          <w:left w:val="single" w:sz="4" w:space="0" w:color="13B5EA" w:themeColor="accent6"/>
          <w:bottom w:val="single" w:sz="4" w:space="0" w:color="13B5EA" w:themeColor="accent6"/>
          <w:right w:val="single" w:sz="4" w:space="0" w:color="13B5EA" w:themeColor="accent6"/>
        </w:tcBorders>
        <w:shd w:val="clear" w:color="FFFFFF" w:fill="13B5EA" w:themeFill="accent6"/>
      </w:tcPr>
    </w:tblStylePr>
    <w:tblStylePr w:type="lastRow">
      <w:rPr>
        <w:b/>
        <w:color w:val="404040"/>
      </w:rPr>
      <w:tblPr/>
      <w:tcPr>
        <w:tcBorders>
          <w:top w:val="single" w:sz="4" w:space="0" w:color="13B5EA"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EF0FB" w:themeFill="accent6" w:themeFillTint="34"/>
      </w:tcPr>
    </w:tblStylePr>
    <w:tblStylePr w:type="band1Horz">
      <w:rPr>
        <w:rFonts w:ascii="Arial" w:hAnsi="Arial"/>
        <w:color w:val="404040"/>
        <w:sz w:val="22"/>
      </w:rPr>
      <w:tblPr/>
      <w:tcPr>
        <w:shd w:val="clear" w:color="FFFFFF" w:fill="CEF0FB" w:themeFill="accent6" w:themeFillTint="34"/>
      </w:tcPr>
    </w:tblStylePr>
  </w:style>
  <w:style w:type="table" w:styleId="Tmavtabulkasmkou5">
    <w:name w:val="Grid Table 5 Dark"/>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Tmavtabulkasmkou5zvraznn11">
    <w:name w:val="Tmavá tabulka s mřížkou 5 – zvýraznění 11"/>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9D0D1" w:themeFill="accent1" w:themeFillTint="34"/>
    </w:tblPr>
    <w:tblStylePr w:type="firstRow">
      <w:rPr>
        <w:rFonts w:ascii="Arial" w:hAnsi="Arial"/>
        <w:b/>
        <w:color w:val="FFFFFF"/>
        <w:sz w:val="22"/>
      </w:rPr>
      <w:tblPr/>
      <w:tcPr>
        <w:shd w:val="clear" w:color="FFFFFF" w:fill="E31B23" w:themeFill="accent1"/>
      </w:tcPr>
    </w:tblStylePr>
    <w:tblStylePr w:type="lastRow">
      <w:rPr>
        <w:rFonts w:ascii="Arial" w:hAnsi="Arial"/>
        <w:b/>
        <w:color w:val="FFFFFF"/>
        <w:sz w:val="22"/>
      </w:rPr>
      <w:tblPr/>
      <w:tcPr>
        <w:tcBorders>
          <w:top w:val="single" w:sz="4" w:space="0" w:color="FFFFFF" w:themeColor="light1"/>
        </w:tcBorders>
        <w:shd w:val="clear" w:color="FFFFFF" w:fill="E31B23" w:themeFill="accent1"/>
      </w:tcPr>
    </w:tblStylePr>
    <w:tblStylePr w:type="firstCol">
      <w:rPr>
        <w:rFonts w:ascii="Arial" w:hAnsi="Arial"/>
        <w:b/>
        <w:color w:val="FFFFFF"/>
        <w:sz w:val="22"/>
      </w:rPr>
      <w:tblPr/>
      <w:tcPr>
        <w:shd w:val="clear" w:color="FFFFFF" w:fill="E31B23" w:themeFill="accent1"/>
      </w:tcPr>
    </w:tblStylePr>
    <w:tblStylePr w:type="lastCol">
      <w:rPr>
        <w:rFonts w:ascii="Arial" w:hAnsi="Arial"/>
        <w:b/>
        <w:color w:val="FFFFFF"/>
        <w:sz w:val="22"/>
      </w:rPr>
      <w:tblPr/>
      <w:tcPr>
        <w:shd w:val="clear" w:color="FFFFFF" w:fill="E31B23" w:themeFill="accent1"/>
      </w:tcPr>
    </w:tblStylePr>
    <w:tblStylePr w:type="band1Vert">
      <w:tblPr/>
      <w:tcPr>
        <w:shd w:val="clear" w:color="FFFFFF" w:fill="F29599" w:themeFill="accent1" w:themeFillTint="75"/>
      </w:tcPr>
    </w:tblStylePr>
    <w:tblStylePr w:type="band1Horz">
      <w:tblPr/>
      <w:tcPr>
        <w:shd w:val="clear" w:color="FFFFFF" w:fill="F29599" w:themeFill="accent1" w:themeFillTint="75"/>
      </w:tcPr>
    </w:tblStylePr>
  </w:style>
  <w:style w:type="table" w:customStyle="1" w:styleId="Tmavtabulkasmkou5zvraznn21">
    <w:name w:val="Tmavá tabulka s mřížkou 5 – zvýraznění 21"/>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6DCFF" w:themeFill="accent2" w:themeFillTint="32"/>
    </w:tblPr>
    <w:tblStylePr w:type="firstRow">
      <w:rPr>
        <w:rFonts w:ascii="Arial" w:hAnsi="Arial"/>
        <w:b/>
        <w:color w:val="FFFFFF"/>
        <w:sz w:val="22"/>
      </w:rPr>
      <w:tblPr/>
      <w:tcPr>
        <w:shd w:val="clear" w:color="FFFFFF" w:fill="004B8D" w:themeFill="accent2"/>
      </w:tcPr>
    </w:tblStylePr>
    <w:tblStylePr w:type="lastRow">
      <w:rPr>
        <w:rFonts w:ascii="Arial" w:hAnsi="Arial"/>
        <w:b/>
        <w:color w:val="FFFFFF"/>
        <w:sz w:val="22"/>
      </w:rPr>
      <w:tblPr/>
      <w:tcPr>
        <w:tcBorders>
          <w:top w:val="single" w:sz="4" w:space="0" w:color="FFFFFF" w:themeColor="light1"/>
        </w:tcBorders>
        <w:shd w:val="clear" w:color="FFFFFF" w:fill="004B8D" w:themeFill="accent2"/>
      </w:tcPr>
    </w:tblStylePr>
    <w:tblStylePr w:type="firstCol">
      <w:rPr>
        <w:rFonts w:ascii="Arial" w:hAnsi="Arial"/>
        <w:b/>
        <w:color w:val="FFFFFF"/>
        <w:sz w:val="22"/>
      </w:rPr>
      <w:tblPr/>
      <w:tcPr>
        <w:shd w:val="clear" w:color="FFFFFF" w:fill="004B8D" w:themeFill="accent2"/>
      </w:tcPr>
    </w:tblStylePr>
    <w:tblStylePr w:type="lastCol">
      <w:rPr>
        <w:rFonts w:ascii="Arial" w:hAnsi="Arial"/>
        <w:b/>
        <w:color w:val="FFFFFF"/>
        <w:sz w:val="22"/>
      </w:rPr>
      <w:tblPr/>
      <w:tcPr>
        <w:shd w:val="clear" w:color="FFFFFF" w:fill="004B8D" w:themeFill="accent2"/>
      </w:tcPr>
    </w:tblStylePr>
    <w:tblStylePr w:type="band1Vert">
      <w:tblPr/>
      <w:tcPr>
        <w:shd w:val="clear" w:color="FFFFFF" w:fill="55AFFF" w:themeFill="accent2" w:themeFillTint="75"/>
      </w:tcPr>
    </w:tblStylePr>
    <w:tblStylePr w:type="band1Horz">
      <w:tblPr/>
      <w:tcPr>
        <w:shd w:val="clear" w:color="FFFFFF" w:fill="55AFFF" w:themeFill="accent2" w:themeFillTint="75"/>
      </w:tcPr>
    </w:tblStylePr>
  </w:style>
  <w:style w:type="table" w:customStyle="1" w:styleId="Tmavtabulkasmkou5zvraznn31">
    <w:name w:val="Tmavá tabulka s mřížkou 5 – zvýraznění 31"/>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2ECFF" w:themeFill="accent3" w:themeFillTint="34"/>
    </w:tblPr>
    <w:tblStylePr w:type="firstRow">
      <w:rPr>
        <w:rFonts w:ascii="Arial" w:hAnsi="Arial"/>
        <w:b/>
        <w:color w:val="FFFFFF"/>
        <w:sz w:val="22"/>
      </w:rPr>
      <w:tblPr/>
      <w:tcPr>
        <w:shd w:val="clear" w:color="FFFFFF" w:fill="0096D6" w:themeFill="accent3"/>
      </w:tcPr>
    </w:tblStylePr>
    <w:tblStylePr w:type="lastRow">
      <w:rPr>
        <w:rFonts w:ascii="Arial" w:hAnsi="Arial"/>
        <w:b/>
        <w:color w:val="FFFFFF"/>
        <w:sz w:val="22"/>
      </w:rPr>
      <w:tblPr/>
      <w:tcPr>
        <w:tcBorders>
          <w:top w:val="single" w:sz="4" w:space="0" w:color="FFFFFF" w:themeColor="light1"/>
        </w:tcBorders>
        <w:shd w:val="clear" w:color="FFFFFF" w:fill="0096D6" w:themeFill="accent3"/>
      </w:tcPr>
    </w:tblStylePr>
    <w:tblStylePr w:type="firstCol">
      <w:rPr>
        <w:rFonts w:ascii="Arial" w:hAnsi="Arial"/>
        <w:b/>
        <w:color w:val="FFFFFF"/>
        <w:sz w:val="22"/>
      </w:rPr>
      <w:tblPr/>
      <w:tcPr>
        <w:shd w:val="clear" w:color="FFFFFF" w:fill="0096D6" w:themeFill="accent3"/>
      </w:tcPr>
    </w:tblStylePr>
    <w:tblStylePr w:type="lastCol">
      <w:rPr>
        <w:rFonts w:ascii="Arial" w:hAnsi="Arial"/>
        <w:b/>
        <w:color w:val="FFFFFF"/>
        <w:sz w:val="22"/>
      </w:rPr>
      <w:tblPr/>
      <w:tcPr>
        <w:shd w:val="clear" w:color="FFFFFF" w:fill="0096D6" w:themeFill="accent3"/>
      </w:tcPr>
    </w:tblStylePr>
    <w:tblStylePr w:type="band1Vert">
      <w:tblPr/>
      <w:tcPr>
        <w:shd w:val="clear" w:color="FFFFFF" w:fill="77D5FF" w:themeFill="accent3" w:themeFillTint="75"/>
      </w:tcPr>
    </w:tblStylePr>
    <w:tblStylePr w:type="band1Horz">
      <w:tblPr/>
      <w:tcPr>
        <w:shd w:val="clear" w:color="FFFFFF" w:fill="77D5FF" w:themeFill="accent3" w:themeFillTint="75"/>
      </w:tcPr>
    </w:tblStylePr>
  </w:style>
  <w:style w:type="table" w:customStyle="1" w:styleId="Tmavtabulkasmkou5zvraznn41">
    <w:name w:val="Tmavá tabulka s mřížkou 5 – zvýraznění 41"/>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9C5C7" w:themeFill="accent4" w:themeFillTint="34"/>
    </w:tblPr>
    <w:tblStylePr w:type="firstRow">
      <w:rPr>
        <w:rFonts w:ascii="Arial" w:hAnsi="Arial"/>
        <w:b/>
        <w:color w:val="FFFFFF"/>
        <w:sz w:val="22"/>
      </w:rPr>
      <w:tblPr/>
      <w:tcPr>
        <w:shd w:val="clear" w:color="FFFFFF" w:fill="B5121B" w:themeFill="accent4"/>
      </w:tcPr>
    </w:tblStylePr>
    <w:tblStylePr w:type="lastRow">
      <w:rPr>
        <w:rFonts w:ascii="Arial" w:hAnsi="Arial"/>
        <w:b/>
        <w:color w:val="FFFFFF"/>
        <w:sz w:val="22"/>
      </w:rPr>
      <w:tblPr/>
      <w:tcPr>
        <w:tcBorders>
          <w:top w:val="single" w:sz="4" w:space="0" w:color="FFFFFF" w:themeColor="light1"/>
        </w:tcBorders>
        <w:shd w:val="clear" w:color="FFFFFF" w:fill="B5121B" w:themeFill="accent4"/>
      </w:tcPr>
    </w:tblStylePr>
    <w:tblStylePr w:type="firstCol">
      <w:rPr>
        <w:rFonts w:ascii="Arial" w:hAnsi="Arial"/>
        <w:b/>
        <w:color w:val="FFFFFF"/>
        <w:sz w:val="22"/>
      </w:rPr>
      <w:tblPr/>
      <w:tcPr>
        <w:shd w:val="clear" w:color="FFFFFF" w:fill="B5121B" w:themeFill="accent4"/>
      </w:tcPr>
    </w:tblStylePr>
    <w:tblStylePr w:type="lastCol">
      <w:rPr>
        <w:rFonts w:ascii="Arial" w:hAnsi="Arial"/>
        <w:b/>
        <w:color w:val="FFFFFF"/>
        <w:sz w:val="22"/>
      </w:rPr>
      <w:tblPr/>
      <w:tcPr>
        <w:shd w:val="clear" w:color="FFFFFF" w:fill="B5121B" w:themeFill="accent4"/>
      </w:tcPr>
    </w:tblStylePr>
    <w:tblStylePr w:type="band1Vert">
      <w:tblPr/>
      <w:tcPr>
        <w:shd w:val="clear" w:color="FFFFFF" w:fill="F27C83" w:themeFill="accent4" w:themeFillTint="75"/>
      </w:tcPr>
    </w:tblStylePr>
    <w:tblStylePr w:type="band1Horz">
      <w:tblPr/>
      <w:tcPr>
        <w:shd w:val="clear" w:color="FFFFFF" w:fill="F27C83" w:themeFill="accent4" w:themeFillTint="75"/>
      </w:tcPr>
    </w:tblStylePr>
  </w:style>
  <w:style w:type="table" w:customStyle="1" w:styleId="Tmavtabulkasmkou5zvraznn51">
    <w:name w:val="Tmavá tabulka s mřížkou 5 – zvýraznění 51"/>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0F8FD" w:themeFill="accent5" w:themeFillTint="34"/>
    </w:tblPr>
    <w:tblStylePr w:type="firstRow">
      <w:rPr>
        <w:rFonts w:ascii="Arial" w:hAnsi="Arial"/>
        <w:b/>
        <w:color w:val="FFFFFF"/>
        <w:sz w:val="22"/>
      </w:rPr>
      <w:tblPr/>
      <w:tcPr>
        <w:shd w:val="clear" w:color="FFFFFF" w:fill="B9E0F7" w:themeFill="accent5"/>
      </w:tcPr>
    </w:tblStylePr>
    <w:tblStylePr w:type="lastRow">
      <w:rPr>
        <w:rFonts w:ascii="Arial" w:hAnsi="Arial"/>
        <w:b/>
        <w:color w:val="FFFFFF"/>
        <w:sz w:val="22"/>
      </w:rPr>
      <w:tblPr/>
      <w:tcPr>
        <w:tcBorders>
          <w:top w:val="single" w:sz="4" w:space="0" w:color="FFFFFF" w:themeColor="light1"/>
        </w:tcBorders>
        <w:shd w:val="clear" w:color="FFFFFF" w:fill="B9E0F7" w:themeFill="accent5"/>
      </w:tcPr>
    </w:tblStylePr>
    <w:tblStylePr w:type="firstCol">
      <w:rPr>
        <w:rFonts w:ascii="Arial" w:hAnsi="Arial"/>
        <w:b/>
        <w:color w:val="FFFFFF"/>
        <w:sz w:val="22"/>
      </w:rPr>
      <w:tblPr/>
      <w:tcPr>
        <w:shd w:val="clear" w:color="FFFFFF" w:fill="B9E0F7" w:themeFill="accent5"/>
      </w:tcPr>
    </w:tblStylePr>
    <w:tblStylePr w:type="lastCol">
      <w:rPr>
        <w:rFonts w:ascii="Arial" w:hAnsi="Arial"/>
        <w:b/>
        <w:color w:val="FFFFFF"/>
        <w:sz w:val="22"/>
      </w:rPr>
      <w:tblPr/>
      <w:tcPr>
        <w:shd w:val="clear" w:color="FFFFFF" w:fill="B9E0F7" w:themeFill="accent5"/>
      </w:tcPr>
    </w:tblStylePr>
    <w:tblStylePr w:type="band1Vert">
      <w:tblPr/>
      <w:tcPr>
        <w:shd w:val="clear" w:color="FFFFFF" w:fill="DEF0FB" w:themeFill="accent5" w:themeFillTint="75"/>
      </w:tcPr>
    </w:tblStylePr>
    <w:tblStylePr w:type="band1Horz">
      <w:tblPr/>
      <w:tcPr>
        <w:shd w:val="clear" w:color="FFFFFF" w:fill="DEF0FB" w:themeFill="accent5" w:themeFillTint="75"/>
      </w:tcPr>
    </w:tblStylePr>
  </w:style>
  <w:style w:type="table" w:customStyle="1" w:styleId="Tmavtabulkasmkou5zvraznn61">
    <w:name w:val="Tmavá tabulka s mřížkou 5 – zvýraznění 61"/>
    <w:basedOn w:val="Normlntabulk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EF0FB" w:themeFill="accent6" w:themeFillTint="34"/>
    </w:tblPr>
    <w:tblStylePr w:type="firstRow">
      <w:rPr>
        <w:rFonts w:ascii="Arial" w:hAnsi="Arial"/>
        <w:b/>
        <w:color w:val="FFFFFF"/>
        <w:sz w:val="22"/>
      </w:rPr>
      <w:tblPr/>
      <w:tcPr>
        <w:shd w:val="clear" w:color="FFFFFF" w:fill="13B5EA" w:themeFill="accent6"/>
      </w:tcPr>
    </w:tblStylePr>
    <w:tblStylePr w:type="lastRow">
      <w:rPr>
        <w:rFonts w:ascii="Arial" w:hAnsi="Arial"/>
        <w:b/>
        <w:color w:val="FFFFFF"/>
        <w:sz w:val="22"/>
      </w:rPr>
      <w:tblPr/>
      <w:tcPr>
        <w:tcBorders>
          <w:top w:val="single" w:sz="4" w:space="0" w:color="FFFFFF" w:themeColor="light1"/>
        </w:tcBorders>
        <w:shd w:val="clear" w:color="FFFFFF" w:fill="13B5EA" w:themeFill="accent6"/>
      </w:tcPr>
    </w:tblStylePr>
    <w:tblStylePr w:type="firstCol">
      <w:rPr>
        <w:rFonts w:ascii="Arial" w:hAnsi="Arial"/>
        <w:b/>
        <w:color w:val="FFFFFF"/>
        <w:sz w:val="22"/>
      </w:rPr>
      <w:tblPr/>
      <w:tcPr>
        <w:shd w:val="clear" w:color="FFFFFF" w:fill="13B5EA" w:themeFill="accent6"/>
      </w:tcPr>
    </w:tblStylePr>
    <w:tblStylePr w:type="lastCol">
      <w:rPr>
        <w:rFonts w:ascii="Arial" w:hAnsi="Arial"/>
        <w:b/>
        <w:color w:val="FFFFFF"/>
        <w:sz w:val="22"/>
      </w:rPr>
      <w:tblPr/>
      <w:tcPr>
        <w:shd w:val="clear" w:color="FFFFFF" w:fill="13B5EA" w:themeFill="accent6"/>
      </w:tcPr>
    </w:tblStylePr>
    <w:tblStylePr w:type="band1Vert">
      <w:tblPr/>
      <w:tcPr>
        <w:shd w:val="clear" w:color="FFFFFF" w:fill="91DDF6" w:themeFill="accent6" w:themeFillTint="75"/>
      </w:tcPr>
    </w:tblStylePr>
    <w:tblStylePr w:type="band1Horz">
      <w:tblPr/>
      <w:tcPr>
        <w:shd w:val="clear" w:color="FFFFFF" w:fill="91DDF6" w:themeFill="accent6" w:themeFillTint="75"/>
      </w:tcPr>
    </w:tblStylePr>
  </w:style>
  <w:style w:type="table" w:styleId="Barevntabulkasmkou6">
    <w:name w:val="Grid Table 6 Colorful"/>
    <w:basedOn w:val="Normlntabulka"/>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Barevntabulkasmkou6zvraznn11">
    <w:name w:val="Barevná tabulka s mřížkou 6 – zvýraznění 11"/>
    <w:basedOn w:val="Normlntabulka"/>
    <w:uiPriority w:val="99"/>
    <w:pPr>
      <w:spacing w:after="0" w:line="240" w:lineRule="auto"/>
    </w:pPr>
    <w:tblPr>
      <w:tblStyleRowBandSize w:val="1"/>
      <w:tblStyleColBandSize w:val="1"/>
      <w:tblBorders>
        <w:top w:val="single" w:sz="4" w:space="0" w:color="F18C8F" w:themeColor="accent1" w:themeTint="80"/>
        <w:left w:val="single" w:sz="4" w:space="0" w:color="F18C8F" w:themeColor="accent1" w:themeTint="80"/>
        <w:bottom w:val="single" w:sz="4" w:space="0" w:color="F18C8F" w:themeColor="accent1" w:themeTint="80"/>
        <w:right w:val="single" w:sz="4" w:space="0" w:color="F18C8F" w:themeColor="accent1" w:themeTint="80"/>
        <w:insideH w:val="single" w:sz="4" w:space="0" w:color="F18C8F" w:themeColor="accent1" w:themeTint="80"/>
        <w:insideV w:val="single" w:sz="4" w:space="0" w:color="F18C8F" w:themeColor="accent1" w:themeTint="80"/>
      </w:tblBorders>
    </w:tblPr>
    <w:tblStylePr w:type="firstRow">
      <w:rPr>
        <w:b/>
        <w:color w:val="F18C8F" w:themeColor="accent1" w:themeTint="80" w:themeShade="95"/>
      </w:rPr>
      <w:tblPr/>
      <w:tcPr>
        <w:tcBorders>
          <w:bottom w:val="single" w:sz="12" w:space="0" w:color="F18C8F" w:themeColor="accent1" w:themeTint="80"/>
        </w:tcBorders>
      </w:tcPr>
    </w:tblStylePr>
    <w:tblStylePr w:type="lastRow">
      <w:rPr>
        <w:b/>
        <w:color w:val="F18C8F" w:themeColor="accent1" w:themeTint="80" w:themeShade="95"/>
      </w:rPr>
    </w:tblStylePr>
    <w:tblStylePr w:type="firstCol">
      <w:rPr>
        <w:b/>
        <w:color w:val="F18C8F" w:themeColor="accent1" w:themeTint="80" w:themeShade="95"/>
      </w:rPr>
    </w:tblStylePr>
    <w:tblStylePr w:type="lastCol">
      <w:rPr>
        <w:b/>
        <w:color w:val="F18C8F" w:themeColor="accent1" w:themeTint="80" w:themeShade="95"/>
      </w:rPr>
    </w:tblStylePr>
    <w:tblStylePr w:type="band1Vert">
      <w:tblPr/>
      <w:tcPr>
        <w:shd w:val="clear" w:color="FFFFFF" w:fill="F9D0D1" w:themeFill="accent1" w:themeFillTint="34"/>
      </w:tcPr>
    </w:tblStylePr>
    <w:tblStylePr w:type="band1Horz">
      <w:rPr>
        <w:rFonts w:ascii="Arial" w:hAnsi="Arial"/>
        <w:color w:val="F18C8F" w:themeColor="accent1" w:themeTint="80" w:themeShade="95"/>
        <w:sz w:val="22"/>
      </w:rPr>
      <w:tblPr/>
      <w:tcPr>
        <w:shd w:val="clear" w:color="FFFFFF" w:fill="F9D0D1" w:themeFill="accent1" w:themeFillTint="34"/>
      </w:tcPr>
    </w:tblStylePr>
    <w:tblStylePr w:type="band2Horz">
      <w:rPr>
        <w:rFonts w:ascii="Arial" w:hAnsi="Arial"/>
        <w:color w:val="F18C8F" w:themeColor="accent1" w:themeTint="80" w:themeShade="95"/>
        <w:sz w:val="22"/>
      </w:rPr>
    </w:tblStylePr>
  </w:style>
  <w:style w:type="table" w:customStyle="1" w:styleId="Barevntabulkasmkou6zvraznn21">
    <w:name w:val="Barevná tabulka s mřížkou 6 – zvýraznění 21"/>
    <w:basedOn w:val="Normlntabulka"/>
    <w:uiPriority w:val="99"/>
    <w:pPr>
      <w:spacing w:after="0" w:line="240" w:lineRule="auto"/>
    </w:pPr>
    <w:tblPr>
      <w:tblStyleRowBandSize w:val="1"/>
      <w:tblStyleColBandSize w:val="1"/>
      <w:tblBorders>
        <w:top w:val="single" w:sz="4" w:space="0" w:color="2498FF" w:themeColor="accent2" w:themeTint="97"/>
        <w:left w:val="single" w:sz="4" w:space="0" w:color="2498FF" w:themeColor="accent2" w:themeTint="97"/>
        <w:bottom w:val="single" w:sz="4" w:space="0" w:color="2498FF" w:themeColor="accent2" w:themeTint="97"/>
        <w:right w:val="single" w:sz="4" w:space="0" w:color="2498FF" w:themeColor="accent2" w:themeTint="97"/>
        <w:insideH w:val="single" w:sz="4" w:space="0" w:color="2498FF" w:themeColor="accent2" w:themeTint="97"/>
        <w:insideV w:val="single" w:sz="4" w:space="0" w:color="2498FF" w:themeColor="accent2" w:themeTint="97"/>
      </w:tblBorders>
    </w:tblPr>
    <w:tblStylePr w:type="firstRow">
      <w:rPr>
        <w:b/>
        <w:color w:val="2498FF" w:themeColor="accent2" w:themeTint="97" w:themeShade="95"/>
      </w:rPr>
      <w:tblPr/>
      <w:tcPr>
        <w:tcBorders>
          <w:bottom w:val="single" w:sz="12" w:space="0" w:color="2498FF" w:themeColor="accent2" w:themeTint="97"/>
        </w:tcBorders>
      </w:tcPr>
    </w:tblStylePr>
    <w:tblStylePr w:type="lastRow">
      <w:rPr>
        <w:b/>
        <w:color w:val="2498FF" w:themeColor="accent2" w:themeTint="97" w:themeShade="95"/>
      </w:rPr>
    </w:tblStylePr>
    <w:tblStylePr w:type="firstCol">
      <w:rPr>
        <w:b/>
        <w:color w:val="2498FF" w:themeColor="accent2" w:themeTint="97" w:themeShade="95"/>
      </w:rPr>
    </w:tblStylePr>
    <w:tblStylePr w:type="lastCol">
      <w:rPr>
        <w:b/>
        <w:color w:val="2498FF" w:themeColor="accent2" w:themeTint="97" w:themeShade="95"/>
      </w:rPr>
    </w:tblStylePr>
    <w:tblStylePr w:type="band1Vert">
      <w:tblPr/>
      <w:tcPr>
        <w:shd w:val="clear" w:color="FFFFFF" w:fill="B6DCFF" w:themeFill="accent2" w:themeFillTint="32"/>
      </w:tcPr>
    </w:tblStylePr>
    <w:tblStylePr w:type="band1Horz">
      <w:rPr>
        <w:rFonts w:ascii="Arial" w:hAnsi="Arial"/>
        <w:color w:val="2498FF" w:themeColor="accent2" w:themeTint="97" w:themeShade="95"/>
        <w:sz w:val="22"/>
      </w:rPr>
      <w:tblPr/>
      <w:tcPr>
        <w:shd w:val="clear" w:color="FFFFFF" w:fill="B6DCFF" w:themeFill="accent2" w:themeFillTint="32"/>
      </w:tcPr>
    </w:tblStylePr>
    <w:tblStylePr w:type="band2Horz">
      <w:rPr>
        <w:rFonts w:ascii="Arial" w:hAnsi="Arial"/>
        <w:color w:val="2498FF" w:themeColor="accent2" w:themeTint="97" w:themeShade="95"/>
        <w:sz w:val="22"/>
      </w:rPr>
    </w:tblStylePr>
  </w:style>
  <w:style w:type="table" w:customStyle="1" w:styleId="Barevntabulkasmkou6zvraznn31">
    <w:name w:val="Barevná tabulka s mřížkou 6 – zvýraznění 31"/>
    <w:basedOn w:val="Normlntabulka"/>
    <w:uiPriority w:val="99"/>
    <w:pPr>
      <w:spacing w:after="0" w:line="240" w:lineRule="auto"/>
    </w:pPr>
    <w:tblPr>
      <w:tblStyleRowBandSize w:val="1"/>
      <w:tblStyleColBandSize w:val="1"/>
      <w:tblBorders>
        <w:top w:val="single" w:sz="4" w:space="0" w:color="0096D7" w:themeColor="accent3" w:themeTint="FE"/>
        <w:left w:val="single" w:sz="4" w:space="0" w:color="0096D7" w:themeColor="accent3" w:themeTint="FE"/>
        <w:bottom w:val="single" w:sz="4" w:space="0" w:color="0096D7" w:themeColor="accent3" w:themeTint="FE"/>
        <w:right w:val="single" w:sz="4" w:space="0" w:color="0096D7" w:themeColor="accent3" w:themeTint="FE"/>
        <w:insideH w:val="single" w:sz="4" w:space="0" w:color="0096D7" w:themeColor="accent3" w:themeTint="FE"/>
        <w:insideV w:val="single" w:sz="4" w:space="0" w:color="0096D7" w:themeColor="accent3" w:themeTint="FE"/>
      </w:tblBorders>
    </w:tblPr>
    <w:tblStylePr w:type="firstRow">
      <w:rPr>
        <w:b/>
        <w:color w:val="0096D7" w:themeColor="accent3" w:themeTint="FE" w:themeShade="95"/>
      </w:rPr>
      <w:tblPr/>
      <w:tcPr>
        <w:tcBorders>
          <w:bottom w:val="single" w:sz="12" w:space="0" w:color="0096D7" w:themeColor="accent3" w:themeTint="FE"/>
        </w:tcBorders>
      </w:tcPr>
    </w:tblStylePr>
    <w:tblStylePr w:type="lastRow">
      <w:rPr>
        <w:b/>
        <w:color w:val="0096D7" w:themeColor="accent3" w:themeTint="FE" w:themeShade="95"/>
      </w:rPr>
    </w:tblStylePr>
    <w:tblStylePr w:type="firstCol">
      <w:rPr>
        <w:b/>
        <w:color w:val="0096D7" w:themeColor="accent3" w:themeTint="FE" w:themeShade="95"/>
      </w:rPr>
    </w:tblStylePr>
    <w:tblStylePr w:type="lastCol">
      <w:rPr>
        <w:b/>
        <w:color w:val="0096D7" w:themeColor="accent3" w:themeTint="FE" w:themeShade="95"/>
      </w:rPr>
    </w:tblStylePr>
    <w:tblStylePr w:type="band1Vert">
      <w:tblPr/>
      <w:tcPr>
        <w:shd w:val="clear" w:color="FFFFFF" w:fill="C2ECFF" w:themeFill="accent3" w:themeFillTint="34"/>
      </w:tcPr>
    </w:tblStylePr>
    <w:tblStylePr w:type="band1Horz">
      <w:rPr>
        <w:rFonts w:ascii="Arial" w:hAnsi="Arial"/>
        <w:color w:val="0096D7" w:themeColor="accent3" w:themeTint="FE" w:themeShade="95"/>
        <w:sz w:val="22"/>
      </w:rPr>
      <w:tblPr/>
      <w:tcPr>
        <w:shd w:val="clear" w:color="FFFFFF" w:fill="C2ECFF" w:themeFill="accent3" w:themeFillTint="34"/>
      </w:tcPr>
    </w:tblStylePr>
    <w:tblStylePr w:type="band2Horz">
      <w:rPr>
        <w:rFonts w:ascii="Arial" w:hAnsi="Arial"/>
        <w:color w:val="0096D7" w:themeColor="accent3" w:themeTint="FE" w:themeShade="95"/>
        <w:sz w:val="22"/>
      </w:rPr>
    </w:tblStylePr>
  </w:style>
  <w:style w:type="table" w:customStyle="1" w:styleId="Barevntabulkasmkou6zvraznn41">
    <w:name w:val="Barevná tabulka s mřížkou 6 – zvýraznění 41"/>
    <w:basedOn w:val="Normlntabulka"/>
    <w:uiPriority w:val="99"/>
    <w:pPr>
      <w:spacing w:after="0" w:line="240" w:lineRule="auto"/>
    </w:pPr>
    <w:tblPr>
      <w:tblStyleRowBandSize w:val="1"/>
      <w:tblStyleColBandSize w:val="1"/>
      <w:tblBorders>
        <w:top w:val="single" w:sz="4" w:space="0" w:color="EE545C" w:themeColor="accent4" w:themeTint="9A"/>
        <w:left w:val="single" w:sz="4" w:space="0" w:color="EE545C" w:themeColor="accent4" w:themeTint="9A"/>
        <w:bottom w:val="single" w:sz="4" w:space="0" w:color="EE545C" w:themeColor="accent4" w:themeTint="9A"/>
        <w:right w:val="single" w:sz="4" w:space="0" w:color="EE545C" w:themeColor="accent4" w:themeTint="9A"/>
        <w:insideH w:val="single" w:sz="4" w:space="0" w:color="EE545C" w:themeColor="accent4" w:themeTint="9A"/>
        <w:insideV w:val="single" w:sz="4" w:space="0" w:color="EE545C" w:themeColor="accent4" w:themeTint="9A"/>
      </w:tblBorders>
    </w:tblPr>
    <w:tblStylePr w:type="firstRow">
      <w:rPr>
        <w:b/>
        <w:color w:val="EE545C" w:themeColor="accent4" w:themeTint="9A" w:themeShade="95"/>
      </w:rPr>
      <w:tblPr/>
      <w:tcPr>
        <w:tcBorders>
          <w:bottom w:val="single" w:sz="12" w:space="0" w:color="EE545C" w:themeColor="accent4" w:themeTint="9A"/>
        </w:tcBorders>
      </w:tcPr>
    </w:tblStylePr>
    <w:tblStylePr w:type="lastRow">
      <w:rPr>
        <w:b/>
        <w:color w:val="EE545C" w:themeColor="accent4" w:themeTint="9A" w:themeShade="95"/>
      </w:rPr>
    </w:tblStylePr>
    <w:tblStylePr w:type="firstCol">
      <w:rPr>
        <w:b/>
        <w:color w:val="EE545C" w:themeColor="accent4" w:themeTint="9A" w:themeShade="95"/>
      </w:rPr>
    </w:tblStylePr>
    <w:tblStylePr w:type="lastCol">
      <w:rPr>
        <w:b/>
        <w:color w:val="EE545C" w:themeColor="accent4" w:themeTint="9A" w:themeShade="95"/>
      </w:rPr>
    </w:tblStylePr>
    <w:tblStylePr w:type="band1Vert">
      <w:tblPr/>
      <w:tcPr>
        <w:shd w:val="clear" w:color="FFFFFF" w:fill="F9C5C7" w:themeFill="accent4" w:themeFillTint="34"/>
      </w:tcPr>
    </w:tblStylePr>
    <w:tblStylePr w:type="band1Horz">
      <w:rPr>
        <w:rFonts w:ascii="Arial" w:hAnsi="Arial"/>
        <w:color w:val="EE545C" w:themeColor="accent4" w:themeTint="9A" w:themeShade="95"/>
        <w:sz w:val="22"/>
      </w:rPr>
      <w:tblPr/>
      <w:tcPr>
        <w:shd w:val="clear" w:color="FFFFFF" w:fill="F9C5C7" w:themeFill="accent4" w:themeFillTint="34"/>
      </w:tcPr>
    </w:tblStylePr>
    <w:tblStylePr w:type="band2Horz">
      <w:rPr>
        <w:rFonts w:ascii="Arial" w:hAnsi="Arial"/>
        <w:color w:val="EE545C" w:themeColor="accent4" w:themeTint="9A" w:themeShade="95"/>
        <w:sz w:val="22"/>
      </w:rPr>
    </w:tblStylePr>
  </w:style>
  <w:style w:type="table" w:customStyle="1" w:styleId="Barevntabulkasmkou6zvraznn51">
    <w:name w:val="Barevná tabulka s mřížkou 6 – zvýraznění 51"/>
    <w:basedOn w:val="Normlntabulka"/>
    <w:uiPriority w:val="99"/>
    <w:pPr>
      <w:spacing w:after="0" w:line="240" w:lineRule="auto"/>
    </w:pPr>
    <w:tblPr>
      <w:tblStyleRowBandSize w:val="1"/>
      <w:tblStyleColBandSize w:val="1"/>
      <w:tblBorders>
        <w:top w:val="single" w:sz="4" w:space="0" w:color="B9E0F7" w:themeColor="accent5"/>
        <w:left w:val="single" w:sz="4" w:space="0" w:color="B9E0F7" w:themeColor="accent5"/>
        <w:bottom w:val="single" w:sz="4" w:space="0" w:color="B9E0F7" w:themeColor="accent5"/>
        <w:right w:val="single" w:sz="4" w:space="0" w:color="B9E0F7" w:themeColor="accent5"/>
        <w:insideH w:val="single" w:sz="4" w:space="0" w:color="B9E0F7" w:themeColor="accent5"/>
        <w:insideV w:val="single" w:sz="4" w:space="0" w:color="B9E0F7" w:themeColor="accent5"/>
      </w:tblBorders>
    </w:tblPr>
    <w:tblStylePr w:type="firstRow">
      <w:rPr>
        <w:b/>
        <w:color w:val="1A97E2" w:themeColor="accent5" w:themeShade="95"/>
      </w:rPr>
      <w:tblPr/>
      <w:tcPr>
        <w:tcBorders>
          <w:bottom w:val="single" w:sz="12" w:space="0" w:color="B9E0F7" w:themeColor="accent5"/>
        </w:tcBorders>
      </w:tcPr>
    </w:tblStylePr>
    <w:tblStylePr w:type="lastRow">
      <w:rPr>
        <w:b/>
        <w:color w:val="1A97E2" w:themeColor="accent5" w:themeShade="95"/>
      </w:rPr>
    </w:tblStylePr>
    <w:tblStylePr w:type="firstCol">
      <w:rPr>
        <w:b/>
        <w:color w:val="1A97E2" w:themeColor="accent5" w:themeShade="95"/>
      </w:rPr>
    </w:tblStylePr>
    <w:tblStylePr w:type="lastCol">
      <w:rPr>
        <w:b/>
        <w:color w:val="1A97E2" w:themeColor="accent5" w:themeShade="95"/>
      </w:rPr>
    </w:tblStylePr>
    <w:tblStylePr w:type="band1Vert">
      <w:tblPr/>
      <w:tcPr>
        <w:shd w:val="clear" w:color="FFFFFF" w:fill="F0F8FD" w:themeFill="accent5" w:themeFillTint="34"/>
      </w:tcPr>
    </w:tblStylePr>
    <w:tblStylePr w:type="band1Horz">
      <w:rPr>
        <w:rFonts w:ascii="Arial" w:hAnsi="Arial"/>
        <w:color w:val="1A97E2" w:themeColor="accent5" w:themeShade="95"/>
        <w:sz w:val="22"/>
      </w:rPr>
      <w:tblPr/>
      <w:tcPr>
        <w:shd w:val="clear" w:color="FFFFFF" w:fill="F0F8FD" w:themeFill="accent5" w:themeFillTint="34"/>
      </w:tcPr>
    </w:tblStylePr>
    <w:tblStylePr w:type="band2Horz">
      <w:rPr>
        <w:rFonts w:ascii="Arial" w:hAnsi="Arial"/>
        <w:color w:val="1A97E2" w:themeColor="accent5" w:themeShade="95"/>
        <w:sz w:val="22"/>
      </w:rPr>
    </w:tblStylePr>
  </w:style>
  <w:style w:type="table" w:customStyle="1" w:styleId="Barevntabulkasmkou6zvraznn61">
    <w:name w:val="Barevná tabulka s mřížkou 6 – zvýraznění 61"/>
    <w:basedOn w:val="Normlntabulka"/>
    <w:uiPriority w:val="99"/>
    <w:pPr>
      <w:spacing w:after="0" w:line="240" w:lineRule="auto"/>
    </w:pPr>
    <w:tblPr>
      <w:tblStyleRowBandSize w:val="1"/>
      <w:tblStyleColBandSize w:val="1"/>
      <w:tblBorders>
        <w:top w:val="single" w:sz="4" w:space="0" w:color="13B5EA" w:themeColor="accent6"/>
        <w:left w:val="single" w:sz="4" w:space="0" w:color="13B5EA" w:themeColor="accent6"/>
        <w:bottom w:val="single" w:sz="4" w:space="0" w:color="13B5EA" w:themeColor="accent6"/>
        <w:right w:val="single" w:sz="4" w:space="0" w:color="13B5EA" w:themeColor="accent6"/>
        <w:insideH w:val="single" w:sz="4" w:space="0" w:color="13B5EA" w:themeColor="accent6"/>
        <w:insideV w:val="single" w:sz="4" w:space="0" w:color="13B5EA" w:themeColor="accent6"/>
      </w:tblBorders>
    </w:tblPr>
    <w:tblStylePr w:type="firstRow">
      <w:rPr>
        <w:b/>
        <w:color w:val="1A97E2" w:themeColor="accent5" w:themeShade="95"/>
      </w:rPr>
      <w:tblPr/>
      <w:tcPr>
        <w:tcBorders>
          <w:bottom w:val="single" w:sz="12" w:space="0" w:color="13B5EA" w:themeColor="accent6"/>
        </w:tcBorders>
      </w:tcPr>
    </w:tblStylePr>
    <w:tblStylePr w:type="lastRow">
      <w:rPr>
        <w:b/>
        <w:color w:val="1A97E2" w:themeColor="accent5" w:themeShade="95"/>
      </w:rPr>
    </w:tblStylePr>
    <w:tblStylePr w:type="firstCol">
      <w:rPr>
        <w:b/>
        <w:color w:val="1A97E2" w:themeColor="accent5" w:themeShade="95"/>
      </w:rPr>
    </w:tblStylePr>
    <w:tblStylePr w:type="lastCol">
      <w:rPr>
        <w:b/>
        <w:color w:val="1A97E2" w:themeColor="accent5" w:themeShade="95"/>
      </w:rPr>
    </w:tblStylePr>
    <w:tblStylePr w:type="band1Vert">
      <w:tblPr/>
      <w:tcPr>
        <w:shd w:val="clear" w:color="FFFFFF" w:fill="CEF0FB" w:themeFill="accent6" w:themeFillTint="34"/>
      </w:tcPr>
    </w:tblStylePr>
    <w:tblStylePr w:type="band1Horz">
      <w:rPr>
        <w:rFonts w:ascii="Arial" w:hAnsi="Arial"/>
        <w:color w:val="1A97E2" w:themeColor="accent5" w:themeShade="95"/>
        <w:sz w:val="22"/>
      </w:rPr>
      <w:tblPr/>
      <w:tcPr>
        <w:shd w:val="clear" w:color="FFFFFF" w:fill="CEF0FB" w:themeFill="accent6" w:themeFillTint="34"/>
      </w:tcPr>
    </w:tblStylePr>
    <w:tblStylePr w:type="band2Horz">
      <w:rPr>
        <w:rFonts w:ascii="Arial" w:hAnsi="Arial"/>
        <w:color w:val="1A97E2" w:themeColor="accent5" w:themeShade="95"/>
        <w:sz w:val="22"/>
      </w:rPr>
    </w:tblStylePr>
  </w:style>
  <w:style w:type="table" w:styleId="Barevntabulkasmkou7">
    <w:name w:val="Grid Table 7 Colorful"/>
    <w:basedOn w:val="Normlntabulka"/>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Barevntabulkasmkou7zvraznn11">
    <w:name w:val="Barevná tabulka s mřížkou 7 – zvýraznění 11"/>
    <w:basedOn w:val="Normlntabulka"/>
    <w:uiPriority w:val="99"/>
    <w:pPr>
      <w:spacing w:after="0" w:line="240" w:lineRule="auto"/>
    </w:pPr>
    <w:tblPr>
      <w:tblStyleRowBandSize w:val="1"/>
      <w:tblStyleColBandSize w:val="1"/>
      <w:tblBorders>
        <w:bottom w:val="single" w:sz="4" w:space="0" w:color="F18C8F" w:themeColor="accent1" w:themeTint="80"/>
        <w:right w:val="single" w:sz="4" w:space="0" w:color="F18C8F" w:themeColor="accent1" w:themeTint="80"/>
        <w:insideH w:val="single" w:sz="4" w:space="0" w:color="F18C8F" w:themeColor="accent1" w:themeTint="80"/>
        <w:insideV w:val="single" w:sz="4" w:space="0" w:color="F18C8F" w:themeColor="accent1" w:themeTint="80"/>
      </w:tblBorders>
    </w:tblPr>
    <w:tblStylePr w:type="firstRow">
      <w:rPr>
        <w:rFonts w:ascii="Arial" w:hAnsi="Arial"/>
        <w:b/>
        <w:color w:val="F18C8F" w:themeColor="accent1" w:themeTint="80" w:themeShade="95"/>
        <w:sz w:val="22"/>
      </w:rPr>
      <w:tblPr/>
      <w:tcPr>
        <w:tcBorders>
          <w:top w:val="none" w:sz="0" w:space="0" w:color="auto"/>
          <w:left w:val="none" w:sz="0" w:space="0" w:color="auto"/>
          <w:bottom w:val="single" w:sz="4" w:space="0" w:color="F18C8F" w:themeColor="accent1" w:themeTint="80"/>
          <w:right w:val="none" w:sz="0" w:space="0" w:color="auto"/>
        </w:tcBorders>
        <w:shd w:val="clear" w:color="FFFFFF" w:fill="FFFFFF" w:themeFill="light1"/>
      </w:tcPr>
    </w:tblStylePr>
    <w:tblStylePr w:type="lastRow">
      <w:rPr>
        <w:rFonts w:ascii="Arial" w:hAnsi="Arial"/>
        <w:b/>
        <w:color w:val="F18C8F" w:themeColor="accent1" w:themeTint="80" w:themeShade="95"/>
        <w:sz w:val="22"/>
      </w:rPr>
      <w:tblPr/>
      <w:tcPr>
        <w:tcBorders>
          <w:top w:val="single" w:sz="4" w:space="0" w:color="F18C8F"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18C8F" w:themeColor="accent1" w:themeTint="80" w:themeShade="95"/>
        <w:sz w:val="22"/>
      </w:rPr>
      <w:tblPr/>
      <w:tcPr>
        <w:tcBorders>
          <w:top w:val="none" w:sz="0" w:space="0" w:color="auto"/>
          <w:left w:val="none" w:sz="0" w:space="0" w:color="auto"/>
          <w:bottom w:val="none" w:sz="0" w:space="0" w:color="auto"/>
          <w:right w:val="single" w:sz="4" w:space="0" w:color="F18C8F" w:themeColor="accent1" w:themeTint="80"/>
        </w:tcBorders>
        <w:shd w:val="clear" w:color="FFFFFF" w:fill="FFFFFF"/>
      </w:tcPr>
    </w:tblStylePr>
    <w:tblStylePr w:type="lastCol">
      <w:rPr>
        <w:rFonts w:ascii="Arial" w:hAnsi="Arial"/>
        <w:i/>
        <w:color w:val="F18C8F" w:themeColor="accent1" w:themeTint="80" w:themeShade="95"/>
        <w:sz w:val="22"/>
      </w:rPr>
      <w:tblPr/>
      <w:tcPr>
        <w:tcBorders>
          <w:top w:val="none" w:sz="0" w:space="0" w:color="auto"/>
          <w:left w:val="single" w:sz="4" w:space="0" w:color="F18C8F" w:themeColor="accent1" w:themeTint="80"/>
          <w:bottom w:val="none" w:sz="0" w:space="0" w:color="auto"/>
          <w:right w:val="none" w:sz="0" w:space="0" w:color="auto"/>
        </w:tcBorders>
        <w:shd w:val="clear" w:color="FFFFFF" w:fill="FFFFFF"/>
      </w:tcPr>
    </w:tblStylePr>
    <w:tblStylePr w:type="band1Vert">
      <w:tblPr/>
      <w:tcPr>
        <w:shd w:val="clear" w:color="FFFFFF" w:fill="F9D0D1" w:themeFill="accent1" w:themeFillTint="34"/>
      </w:tcPr>
    </w:tblStylePr>
    <w:tblStylePr w:type="band1Horz">
      <w:rPr>
        <w:rFonts w:ascii="Arial" w:hAnsi="Arial"/>
        <w:color w:val="F18C8F" w:themeColor="accent1" w:themeTint="80" w:themeShade="95"/>
        <w:sz w:val="22"/>
      </w:rPr>
      <w:tblPr/>
      <w:tcPr>
        <w:shd w:val="clear" w:color="FFFFFF" w:fill="F9D0D1" w:themeFill="accent1" w:themeFillTint="34"/>
      </w:tcPr>
    </w:tblStylePr>
    <w:tblStylePr w:type="band2Horz">
      <w:rPr>
        <w:rFonts w:ascii="Arial" w:hAnsi="Arial"/>
        <w:color w:val="F18C8F" w:themeColor="accent1" w:themeTint="80" w:themeShade="95"/>
        <w:sz w:val="22"/>
      </w:rPr>
    </w:tblStylePr>
  </w:style>
  <w:style w:type="table" w:customStyle="1" w:styleId="Barevntabulkasmkou7zvraznn21">
    <w:name w:val="Barevná tabulka s mřížkou 7 – zvýraznění 21"/>
    <w:basedOn w:val="Normlntabulka"/>
    <w:uiPriority w:val="99"/>
    <w:pPr>
      <w:spacing w:after="0" w:line="240" w:lineRule="auto"/>
    </w:pPr>
    <w:tblPr>
      <w:tblStyleRowBandSize w:val="1"/>
      <w:tblStyleColBandSize w:val="1"/>
      <w:tblBorders>
        <w:bottom w:val="single" w:sz="4" w:space="0" w:color="2498FF" w:themeColor="accent2" w:themeTint="97"/>
        <w:right w:val="single" w:sz="4" w:space="0" w:color="2498FF" w:themeColor="accent2" w:themeTint="97"/>
        <w:insideH w:val="single" w:sz="4" w:space="0" w:color="2498FF" w:themeColor="accent2" w:themeTint="97"/>
        <w:insideV w:val="single" w:sz="4" w:space="0" w:color="2498FF" w:themeColor="accent2" w:themeTint="97"/>
      </w:tblBorders>
    </w:tblPr>
    <w:tblStylePr w:type="firstRow">
      <w:rPr>
        <w:rFonts w:ascii="Arial" w:hAnsi="Arial"/>
        <w:b/>
        <w:color w:val="2498FF" w:themeColor="accent2" w:themeTint="97" w:themeShade="95"/>
        <w:sz w:val="22"/>
      </w:rPr>
      <w:tblPr/>
      <w:tcPr>
        <w:tcBorders>
          <w:top w:val="none" w:sz="0" w:space="0" w:color="auto"/>
          <w:left w:val="none" w:sz="0" w:space="0" w:color="auto"/>
          <w:bottom w:val="single" w:sz="4" w:space="0" w:color="2498FF" w:themeColor="accent2" w:themeTint="97"/>
          <w:right w:val="none" w:sz="0" w:space="0" w:color="auto"/>
        </w:tcBorders>
        <w:shd w:val="clear" w:color="FFFFFF" w:fill="FFFFFF" w:themeFill="light1"/>
      </w:tcPr>
    </w:tblStylePr>
    <w:tblStylePr w:type="lastRow">
      <w:rPr>
        <w:rFonts w:ascii="Arial" w:hAnsi="Arial"/>
        <w:b/>
        <w:color w:val="2498FF" w:themeColor="accent2" w:themeTint="97" w:themeShade="95"/>
        <w:sz w:val="22"/>
      </w:rPr>
      <w:tblPr/>
      <w:tcPr>
        <w:tcBorders>
          <w:top w:val="single" w:sz="4" w:space="0" w:color="2498FF"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498FF" w:themeColor="accent2" w:themeTint="97" w:themeShade="95"/>
        <w:sz w:val="22"/>
      </w:rPr>
      <w:tblPr/>
      <w:tcPr>
        <w:tcBorders>
          <w:top w:val="none" w:sz="0" w:space="0" w:color="auto"/>
          <w:left w:val="none" w:sz="0" w:space="0" w:color="auto"/>
          <w:bottom w:val="none" w:sz="0" w:space="0" w:color="auto"/>
          <w:right w:val="single" w:sz="4" w:space="0" w:color="2498FF" w:themeColor="accent2" w:themeTint="97"/>
        </w:tcBorders>
        <w:shd w:val="clear" w:color="FFFFFF" w:fill="FFFFFF"/>
      </w:tcPr>
    </w:tblStylePr>
    <w:tblStylePr w:type="lastCol">
      <w:rPr>
        <w:rFonts w:ascii="Arial" w:hAnsi="Arial"/>
        <w:i/>
        <w:color w:val="2498FF" w:themeColor="accent2" w:themeTint="97" w:themeShade="95"/>
        <w:sz w:val="22"/>
      </w:rPr>
      <w:tblPr/>
      <w:tcPr>
        <w:tcBorders>
          <w:top w:val="none" w:sz="0" w:space="0" w:color="auto"/>
          <w:left w:val="single" w:sz="4" w:space="0" w:color="2498FF" w:themeColor="accent2" w:themeTint="97"/>
          <w:bottom w:val="none" w:sz="0" w:space="0" w:color="auto"/>
          <w:right w:val="none" w:sz="0" w:space="0" w:color="auto"/>
        </w:tcBorders>
        <w:shd w:val="clear" w:color="FFFFFF" w:fill="FFFFFF"/>
      </w:tcPr>
    </w:tblStylePr>
    <w:tblStylePr w:type="band1Vert">
      <w:tblPr/>
      <w:tcPr>
        <w:shd w:val="clear" w:color="FFFFFF" w:fill="B6DCFF" w:themeFill="accent2" w:themeFillTint="32"/>
      </w:tcPr>
    </w:tblStylePr>
    <w:tblStylePr w:type="band1Horz">
      <w:rPr>
        <w:rFonts w:ascii="Arial" w:hAnsi="Arial"/>
        <w:color w:val="2498FF" w:themeColor="accent2" w:themeTint="97" w:themeShade="95"/>
        <w:sz w:val="22"/>
      </w:rPr>
      <w:tblPr/>
      <w:tcPr>
        <w:shd w:val="clear" w:color="FFFFFF" w:fill="B6DCFF" w:themeFill="accent2" w:themeFillTint="32"/>
      </w:tcPr>
    </w:tblStylePr>
    <w:tblStylePr w:type="band2Horz">
      <w:rPr>
        <w:rFonts w:ascii="Arial" w:hAnsi="Arial"/>
        <w:color w:val="2498FF" w:themeColor="accent2" w:themeTint="97" w:themeShade="95"/>
        <w:sz w:val="22"/>
      </w:rPr>
    </w:tblStylePr>
  </w:style>
  <w:style w:type="table" w:customStyle="1" w:styleId="Barevntabulkasmkou7zvraznn31">
    <w:name w:val="Barevná tabulka s mřížkou 7 – zvýraznění 31"/>
    <w:basedOn w:val="Normlntabulka"/>
    <w:uiPriority w:val="99"/>
    <w:pPr>
      <w:spacing w:after="0" w:line="240" w:lineRule="auto"/>
    </w:pPr>
    <w:tblPr>
      <w:tblStyleRowBandSize w:val="1"/>
      <w:tblStyleColBandSize w:val="1"/>
      <w:tblBorders>
        <w:bottom w:val="single" w:sz="4" w:space="0" w:color="0096D7" w:themeColor="accent3" w:themeTint="FE"/>
        <w:right w:val="single" w:sz="4" w:space="0" w:color="0096D7" w:themeColor="accent3" w:themeTint="FE"/>
        <w:insideH w:val="single" w:sz="4" w:space="0" w:color="0096D7" w:themeColor="accent3" w:themeTint="FE"/>
        <w:insideV w:val="single" w:sz="4" w:space="0" w:color="0096D7" w:themeColor="accent3" w:themeTint="FE"/>
      </w:tblBorders>
    </w:tblPr>
    <w:tblStylePr w:type="firstRow">
      <w:rPr>
        <w:rFonts w:ascii="Arial" w:hAnsi="Arial"/>
        <w:b/>
        <w:color w:val="0096D7" w:themeColor="accent3" w:themeTint="FE" w:themeShade="95"/>
        <w:sz w:val="22"/>
      </w:rPr>
      <w:tblPr/>
      <w:tcPr>
        <w:tcBorders>
          <w:top w:val="none" w:sz="0" w:space="0" w:color="auto"/>
          <w:left w:val="none" w:sz="0" w:space="0" w:color="auto"/>
          <w:bottom w:val="single" w:sz="4" w:space="0" w:color="0096D7" w:themeColor="accent3" w:themeTint="FE"/>
          <w:right w:val="none" w:sz="0" w:space="0" w:color="auto"/>
        </w:tcBorders>
        <w:shd w:val="clear" w:color="FFFFFF" w:fill="FFFFFF" w:themeFill="light1"/>
      </w:tcPr>
    </w:tblStylePr>
    <w:tblStylePr w:type="lastRow">
      <w:rPr>
        <w:rFonts w:ascii="Arial" w:hAnsi="Arial"/>
        <w:b/>
        <w:color w:val="0096D7" w:themeColor="accent3" w:themeTint="FE" w:themeShade="95"/>
        <w:sz w:val="22"/>
      </w:rPr>
      <w:tblPr/>
      <w:tcPr>
        <w:tcBorders>
          <w:top w:val="single" w:sz="4" w:space="0" w:color="0096D7"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096D7" w:themeColor="accent3" w:themeTint="FE" w:themeShade="95"/>
        <w:sz w:val="22"/>
      </w:rPr>
      <w:tblPr/>
      <w:tcPr>
        <w:tcBorders>
          <w:top w:val="none" w:sz="0" w:space="0" w:color="auto"/>
          <w:left w:val="none" w:sz="0" w:space="0" w:color="auto"/>
          <w:bottom w:val="none" w:sz="0" w:space="0" w:color="auto"/>
          <w:right w:val="single" w:sz="4" w:space="0" w:color="0096D7" w:themeColor="accent3" w:themeTint="FE"/>
        </w:tcBorders>
        <w:shd w:val="clear" w:color="FFFFFF" w:fill="FFFFFF"/>
      </w:tcPr>
    </w:tblStylePr>
    <w:tblStylePr w:type="lastCol">
      <w:rPr>
        <w:rFonts w:ascii="Arial" w:hAnsi="Arial"/>
        <w:i/>
        <w:color w:val="0096D7" w:themeColor="accent3" w:themeTint="FE" w:themeShade="95"/>
        <w:sz w:val="22"/>
      </w:rPr>
      <w:tblPr/>
      <w:tcPr>
        <w:tcBorders>
          <w:top w:val="none" w:sz="0" w:space="0" w:color="auto"/>
          <w:left w:val="single" w:sz="4" w:space="0" w:color="0096D7" w:themeColor="accent3" w:themeTint="FE"/>
          <w:bottom w:val="none" w:sz="0" w:space="0" w:color="auto"/>
          <w:right w:val="none" w:sz="0" w:space="0" w:color="auto"/>
        </w:tcBorders>
        <w:shd w:val="clear" w:color="FFFFFF" w:fill="FFFFFF"/>
      </w:tcPr>
    </w:tblStylePr>
    <w:tblStylePr w:type="band1Vert">
      <w:tblPr/>
      <w:tcPr>
        <w:shd w:val="clear" w:color="FFFFFF" w:fill="C2ECFF" w:themeFill="accent3" w:themeFillTint="34"/>
      </w:tcPr>
    </w:tblStylePr>
    <w:tblStylePr w:type="band1Horz">
      <w:rPr>
        <w:rFonts w:ascii="Arial" w:hAnsi="Arial"/>
        <w:color w:val="0096D7" w:themeColor="accent3" w:themeTint="FE" w:themeShade="95"/>
        <w:sz w:val="22"/>
      </w:rPr>
      <w:tblPr/>
      <w:tcPr>
        <w:shd w:val="clear" w:color="FFFFFF" w:fill="C2ECFF" w:themeFill="accent3" w:themeFillTint="34"/>
      </w:tcPr>
    </w:tblStylePr>
    <w:tblStylePr w:type="band2Horz">
      <w:rPr>
        <w:rFonts w:ascii="Arial" w:hAnsi="Arial"/>
        <w:color w:val="0096D7" w:themeColor="accent3" w:themeTint="FE" w:themeShade="95"/>
        <w:sz w:val="22"/>
      </w:rPr>
    </w:tblStylePr>
  </w:style>
  <w:style w:type="table" w:customStyle="1" w:styleId="Barevntabulkasmkou7zvraznn41">
    <w:name w:val="Barevná tabulka s mřížkou 7 – zvýraznění 41"/>
    <w:basedOn w:val="Normlntabulka"/>
    <w:uiPriority w:val="99"/>
    <w:pPr>
      <w:spacing w:after="0" w:line="240" w:lineRule="auto"/>
    </w:pPr>
    <w:tblPr>
      <w:tblStyleRowBandSize w:val="1"/>
      <w:tblStyleColBandSize w:val="1"/>
      <w:tblBorders>
        <w:bottom w:val="single" w:sz="4" w:space="0" w:color="EE545C" w:themeColor="accent4" w:themeTint="9A"/>
        <w:right w:val="single" w:sz="4" w:space="0" w:color="EE545C" w:themeColor="accent4" w:themeTint="9A"/>
        <w:insideH w:val="single" w:sz="4" w:space="0" w:color="EE545C" w:themeColor="accent4" w:themeTint="9A"/>
        <w:insideV w:val="single" w:sz="4" w:space="0" w:color="EE545C" w:themeColor="accent4" w:themeTint="9A"/>
      </w:tblBorders>
    </w:tblPr>
    <w:tblStylePr w:type="firstRow">
      <w:rPr>
        <w:rFonts w:ascii="Arial" w:hAnsi="Arial"/>
        <w:b/>
        <w:color w:val="EE545C" w:themeColor="accent4" w:themeTint="9A" w:themeShade="95"/>
        <w:sz w:val="22"/>
      </w:rPr>
      <w:tblPr/>
      <w:tcPr>
        <w:tcBorders>
          <w:top w:val="none" w:sz="0" w:space="0" w:color="auto"/>
          <w:left w:val="none" w:sz="0" w:space="0" w:color="auto"/>
          <w:bottom w:val="single" w:sz="4" w:space="0" w:color="EE545C" w:themeColor="accent4" w:themeTint="9A"/>
          <w:right w:val="none" w:sz="0" w:space="0" w:color="auto"/>
        </w:tcBorders>
        <w:shd w:val="clear" w:color="FFFFFF" w:fill="FFFFFF" w:themeFill="light1"/>
      </w:tcPr>
    </w:tblStylePr>
    <w:tblStylePr w:type="lastRow">
      <w:rPr>
        <w:rFonts w:ascii="Arial" w:hAnsi="Arial"/>
        <w:b/>
        <w:color w:val="EE545C" w:themeColor="accent4" w:themeTint="9A" w:themeShade="95"/>
        <w:sz w:val="22"/>
      </w:rPr>
      <w:tblPr/>
      <w:tcPr>
        <w:tcBorders>
          <w:top w:val="single" w:sz="4" w:space="0" w:color="EE545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E545C" w:themeColor="accent4" w:themeTint="9A" w:themeShade="95"/>
        <w:sz w:val="22"/>
      </w:rPr>
      <w:tblPr/>
      <w:tcPr>
        <w:tcBorders>
          <w:top w:val="none" w:sz="0" w:space="0" w:color="auto"/>
          <w:left w:val="none" w:sz="0" w:space="0" w:color="auto"/>
          <w:bottom w:val="none" w:sz="0" w:space="0" w:color="auto"/>
          <w:right w:val="single" w:sz="4" w:space="0" w:color="EE545C" w:themeColor="accent4" w:themeTint="9A"/>
        </w:tcBorders>
        <w:shd w:val="clear" w:color="FFFFFF" w:fill="FFFFFF"/>
      </w:tcPr>
    </w:tblStylePr>
    <w:tblStylePr w:type="lastCol">
      <w:rPr>
        <w:rFonts w:ascii="Arial" w:hAnsi="Arial"/>
        <w:i/>
        <w:color w:val="EE545C" w:themeColor="accent4" w:themeTint="9A" w:themeShade="95"/>
        <w:sz w:val="22"/>
      </w:rPr>
      <w:tblPr/>
      <w:tcPr>
        <w:tcBorders>
          <w:top w:val="none" w:sz="0" w:space="0" w:color="auto"/>
          <w:left w:val="single" w:sz="4" w:space="0" w:color="EE545C" w:themeColor="accent4" w:themeTint="9A"/>
          <w:bottom w:val="none" w:sz="0" w:space="0" w:color="auto"/>
          <w:right w:val="none" w:sz="0" w:space="0" w:color="auto"/>
        </w:tcBorders>
        <w:shd w:val="clear" w:color="FFFFFF" w:fill="FFFFFF"/>
      </w:tcPr>
    </w:tblStylePr>
    <w:tblStylePr w:type="band1Vert">
      <w:tblPr/>
      <w:tcPr>
        <w:shd w:val="clear" w:color="FFFFFF" w:fill="F9C5C7" w:themeFill="accent4" w:themeFillTint="34"/>
      </w:tcPr>
    </w:tblStylePr>
    <w:tblStylePr w:type="band1Horz">
      <w:rPr>
        <w:rFonts w:ascii="Arial" w:hAnsi="Arial"/>
        <w:color w:val="EE545C" w:themeColor="accent4" w:themeTint="9A" w:themeShade="95"/>
        <w:sz w:val="22"/>
      </w:rPr>
      <w:tblPr/>
      <w:tcPr>
        <w:shd w:val="clear" w:color="FFFFFF" w:fill="F9C5C7" w:themeFill="accent4" w:themeFillTint="34"/>
      </w:tcPr>
    </w:tblStylePr>
    <w:tblStylePr w:type="band2Horz">
      <w:rPr>
        <w:rFonts w:ascii="Arial" w:hAnsi="Arial"/>
        <w:color w:val="EE545C" w:themeColor="accent4" w:themeTint="9A" w:themeShade="95"/>
        <w:sz w:val="22"/>
      </w:rPr>
    </w:tblStylePr>
  </w:style>
  <w:style w:type="table" w:customStyle="1" w:styleId="Barevntabulkasmkou7zvraznn51">
    <w:name w:val="Barevná tabulka s mřížkou 7 – zvýraznění 51"/>
    <w:basedOn w:val="Normlntabulka"/>
    <w:uiPriority w:val="99"/>
    <w:pPr>
      <w:spacing w:after="0" w:line="240" w:lineRule="auto"/>
    </w:pPr>
    <w:tblPr>
      <w:tblStyleRowBandSize w:val="1"/>
      <w:tblStyleColBandSize w:val="1"/>
      <w:tblBorders>
        <w:bottom w:val="single" w:sz="4" w:space="0" w:color="D7EDFA" w:themeColor="accent5" w:themeTint="90"/>
        <w:right w:val="single" w:sz="4" w:space="0" w:color="D7EDFA" w:themeColor="accent5" w:themeTint="90"/>
        <w:insideH w:val="single" w:sz="4" w:space="0" w:color="D7EDFA" w:themeColor="accent5" w:themeTint="90"/>
        <w:insideV w:val="single" w:sz="4" w:space="0" w:color="D7EDFA" w:themeColor="accent5" w:themeTint="90"/>
      </w:tblBorders>
    </w:tblPr>
    <w:tblStylePr w:type="firstRow">
      <w:rPr>
        <w:rFonts w:ascii="Arial" w:hAnsi="Arial"/>
        <w:b/>
        <w:color w:val="1A97E2" w:themeColor="accent5" w:themeShade="95"/>
        <w:sz w:val="22"/>
      </w:rPr>
      <w:tblPr/>
      <w:tcPr>
        <w:tcBorders>
          <w:top w:val="none" w:sz="0" w:space="0" w:color="auto"/>
          <w:left w:val="none" w:sz="0" w:space="0" w:color="auto"/>
          <w:bottom w:val="single" w:sz="4" w:space="0" w:color="D7EDFA" w:themeColor="accent5" w:themeTint="90"/>
          <w:right w:val="none" w:sz="0" w:space="0" w:color="auto"/>
        </w:tcBorders>
        <w:shd w:val="clear" w:color="FFFFFF" w:fill="FFFFFF" w:themeFill="light1"/>
      </w:tcPr>
    </w:tblStylePr>
    <w:tblStylePr w:type="lastRow">
      <w:rPr>
        <w:rFonts w:ascii="Arial" w:hAnsi="Arial"/>
        <w:b/>
        <w:color w:val="1A97E2" w:themeColor="accent5" w:themeShade="95"/>
        <w:sz w:val="22"/>
      </w:rPr>
      <w:tblPr/>
      <w:tcPr>
        <w:tcBorders>
          <w:top w:val="single" w:sz="4" w:space="0" w:color="D7EDFA"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1A97E2" w:themeColor="accent5" w:themeShade="95"/>
        <w:sz w:val="22"/>
      </w:rPr>
      <w:tblPr/>
      <w:tcPr>
        <w:tcBorders>
          <w:top w:val="none" w:sz="0" w:space="0" w:color="auto"/>
          <w:left w:val="none" w:sz="0" w:space="0" w:color="auto"/>
          <w:bottom w:val="none" w:sz="0" w:space="0" w:color="auto"/>
          <w:right w:val="single" w:sz="4" w:space="0" w:color="D7EDFA" w:themeColor="accent5" w:themeTint="90"/>
        </w:tcBorders>
        <w:shd w:val="clear" w:color="FFFFFF" w:fill="FFFFFF"/>
      </w:tcPr>
    </w:tblStylePr>
    <w:tblStylePr w:type="lastCol">
      <w:rPr>
        <w:rFonts w:ascii="Arial" w:hAnsi="Arial"/>
        <w:i/>
        <w:color w:val="1A97E2" w:themeColor="accent5" w:themeShade="95"/>
        <w:sz w:val="22"/>
      </w:rPr>
      <w:tblPr/>
      <w:tcPr>
        <w:tcBorders>
          <w:top w:val="none" w:sz="0" w:space="0" w:color="auto"/>
          <w:left w:val="single" w:sz="4" w:space="0" w:color="D7EDFA" w:themeColor="accent5" w:themeTint="90"/>
          <w:bottom w:val="none" w:sz="0" w:space="0" w:color="auto"/>
          <w:right w:val="none" w:sz="0" w:space="0" w:color="auto"/>
        </w:tcBorders>
        <w:shd w:val="clear" w:color="FFFFFF" w:fill="FFFFFF"/>
      </w:tcPr>
    </w:tblStylePr>
    <w:tblStylePr w:type="band1Vert">
      <w:tblPr/>
      <w:tcPr>
        <w:shd w:val="clear" w:color="FFFFFF" w:fill="F0F8FD" w:themeFill="accent5" w:themeFillTint="34"/>
      </w:tcPr>
    </w:tblStylePr>
    <w:tblStylePr w:type="band1Horz">
      <w:rPr>
        <w:rFonts w:ascii="Arial" w:hAnsi="Arial"/>
        <w:color w:val="1A97E2" w:themeColor="accent5" w:themeShade="95"/>
        <w:sz w:val="22"/>
      </w:rPr>
      <w:tblPr/>
      <w:tcPr>
        <w:shd w:val="clear" w:color="FFFFFF" w:fill="F0F8FD" w:themeFill="accent5" w:themeFillTint="34"/>
      </w:tcPr>
    </w:tblStylePr>
    <w:tblStylePr w:type="band2Horz">
      <w:rPr>
        <w:rFonts w:ascii="Arial" w:hAnsi="Arial"/>
        <w:color w:val="1A97E2" w:themeColor="accent5" w:themeShade="95"/>
        <w:sz w:val="22"/>
      </w:rPr>
    </w:tblStylePr>
  </w:style>
  <w:style w:type="table" w:customStyle="1" w:styleId="Barevntabulkasmkou7zvraznn61">
    <w:name w:val="Barevná tabulka s mřížkou 7 – zvýraznění 61"/>
    <w:basedOn w:val="Normlntabulka"/>
    <w:uiPriority w:val="99"/>
    <w:pPr>
      <w:spacing w:after="0" w:line="240" w:lineRule="auto"/>
    </w:pPr>
    <w:tblPr>
      <w:tblStyleRowBandSize w:val="1"/>
      <w:tblStyleColBandSize w:val="1"/>
      <w:tblBorders>
        <w:bottom w:val="single" w:sz="4" w:space="0" w:color="78D5F4" w:themeColor="accent6" w:themeTint="90"/>
        <w:right w:val="single" w:sz="4" w:space="0" w:color="78D5F4" w:themeColor="accent6" w:themeTint="90"/>
        <w:insideH w:val="single" w:sz="4" w:space="0" w:color="78D5F4" w:themeColor="accent6" w:themeTint="90"/>
        <w:insideV w:val="single" w:sz="4" w:space="0" w:color="78D5F4" w:themeColor="accent6" w:themeTint="90"/>
      </w:tblBorders>
    </w:tblPr>
    <w:tblStylePr w:type="firstRow">
      <w:rPr>
        <w:rFonts w:ascii="Arial" w:hAnsi="Arial"/>
        <w:b/>
        <w:color w:val="0B6988" w:themeColor="accent6" w:themeShade="95"/>
        <w:sz w:val="22"/>
      </w:rPr>
      <w:tblPr/>
      <w:tcPr>
        <w:tcBorders>
          <w:top w:val="none" w:sz="0" w:space="0" w:color="auto"/>
          <w:left w:val="none" w:sz="0" w:space="0" w:color="auto"/>
          <w:bottom w:val="single" w:sz="4" w:space="0" w:color="78D5F4" w:themeColor="accent6" w:themeTint="90"/>
          <w:right w:val="none" w:sz="0" w:space="0" w:color="auto"/>
        </w:tcBorders>
        <w:shd w:val="clear" w:color="FFFFFF" w:fill="FFFFFF" w:themeFill="light1"/>
      </w:tcPr>
    </w:tblStylePr>
    <w:tblStylePr w:type="lastRow">
      <w:rPr>
        <w:rFonts w:ascii="Arial" w:hAnsi="Arial"/>
        <w:b/>
        <w:color w:val="0B6988" w:themeColor="accent6" w:themeShade="95"/>
        <w:sz w:val="22"/>
      </w:rPr>
      <w:tblPr/>
      <w:tcPr>
        <w:tcBorders>
          <w:top w:val="single" w:sz="4" w:space="0" w:color="78D5F4"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B6988" w:themeColor="accent6" w:themeShade="95"/>
        <w:sz w:val="22"/>
      </w:rPr>
      <w:tblPr/>
      <w:tcPr>
        <w:tcBorders>
          <w:top w:val="none" w:sz="0" w:space="0" w:color="auto"/>
          <w:left w:val="none" w:sz="0" w:space="0" w:color="auto"/>
          <w:bottom w:val="none" w:sz="0" w:space="0" w:color="auto"/>
          <w:right w:val="single" w:sz="4" w:space="0" w:color="78D5F4" w:themeColor="accent6" w:themeTint="90"/>
        </w:tcBorders>
        <w:shd w:val="clear" w:color="FFFFFF" w:fill="FFFFFF"/>
      </w:tcPr>
    </w:tblStylePr>
    <w:tblStylePr w:type="lastCol">
      <w:rPr>
        <w:rFonts w:ascii="Arial" w:hAnsi="Arial"/>
        <w:i/>
        <w:color w:val="0B6988" w:themeColor="accent6" w:themeShade="95"/>
        <w:sz w:val="22"/>
      </w:rPr>
      <w:tblPr/>
      <w:tcPr>
        <w:tcBorders>
          <w:top w:val="none" w:sz="0" w:space="0" w:color="auto"/>
          <w:left w:val="single" w:sz="4" w:space="0" w:color="78D5F4" w:themeColor="accent6" w:themeTint="90"/>
          <w:bottom w:val="none" w:sz="0" w:space="0" w:color="auto"/>
          <w:right w:val="none" w:sz="0" w:space="0" w:color="auto"/>
        </w:tcBorders>
        <w:shd w:val="clear" w:color="FFFFFF" w:fill="FFFFFF"/>
      </w:tcPr>
    </w:tblStylePr>
    <w:tblStylePr w:type="band1Vert">
      <w:tblPr/>
      <w:tcPr>
        <w:shd w:val="clear" w:color="FFFFFF" w:fill="CEF0FB" w:themeFill="accent6" w:themeFillTint="34"/>
      </w:tcPr>
    </w:tblStylePr>
    <w:tblStylePr w:type="band1Horz">
      <w:rPr>
        <w:rFonts w:ascii="Arial" w:hAnsi="Arial"/>
        <w:color w:val="0B6988" w:themeColor="accent6" w:themeShade="95"/>
        <w:sz w:val="22"/>
      </w:rPr>
      <w:tblPr/>
      <w:tcPr>
        <w:shd w:val="clear" w:color="FFFFFF" w:fill="CEF0FB" w:themeFill="accent6" w:themeFillTint="34"/>
      </w:tcPr>
    </w:tblStylePr>
    <w:tblStylePr w:type="band2Horz">
      <w:rPr>
        <w:rFonts w:ascii="Arial" w:hAnsi="Arial"/>
        <w:color w:val="0B6988" w:themeColor="accent6" w:themeShade="95"/>
        <w:sz w:val="22"/>
      </w:rPr>
    </w:tblStylePr>
  </w:style>
  <w:style w:type="table" w:styleId="Svtltabulkaseznamu1">
    <w:name w:val="List Table 1 Light"/>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Svtltabulkaseznamu1zvraznn11">
    <w:name w:val="Světlá tabulka seznamu 1 – zvýraznění 11"/>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1B23" w:themeColor="accent1"/>
          <w:right w:val="none" w:sz="4" w:space="0" w:color="000000"/>
        </w:tcBorders>
      </w:tcPr>
    </w:tblStylePr>
    <w:tblStylePr w:type="lastRow">
      <w:rPr>
        <w:b/>
        <w:color w:val="404040"/>
      </w:rPr>
      <w:tblPr/>
      <w:tcPr>
        <w:tcBorders>
          <w:top w:val="single" w:sz="4" w:space="0" w:color="E31B23"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8C5C7" w:themeFill="accent1" w:themeFillTint="40"/>
      </w:tcPr>
    </w:tblStylePr>
    <w:tblStylePr w:type="band1Horz">
      <w:tblPr/>
      <w:tcPr>
        <w:shd w:val="clear" w:color="FFFFFF" w:fill="F8C5C7" w:themeFill="accent1" w:themeFillTint="40"/>
      </w:tcPr>
    </w:tblStylePr>
  </w:style>
  <w:style w:type="table" w:customStyle="1" w:styleId="Svtltabulkaseznamu1zvraznn21">
    <w:name w:val="Světlá tabulka seznamu 1 – zvýraznění 21"/>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4B8D" w:themeColor="accent2"/>
          <w:right w:val="none" w:sz="4" w:space="0" w:color="000000"/>
        </w:tcBorders>
      </w:tcPr>
    </w:tblStylePr>
    <w:tblStylePr w:type="lastRow">
      <w:rPr>
        <w:b/>
        <w:color w:val="404040"/>
      </w:rPr>
      <w:tblPr/>
      <w:tcPr>
        <w:tcBorders>
          <w:top w:val="single" w:sz="4" w:space="0" w:color="004B8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A2D3FF" w:themeFill="accent2" w:themeFillTint="40"/>
      </w:tcPr>
    </w:tblStylePr>
    <w:tblStylePr w:type="band1Horz">
      <w:tblPr/>
      <w:tcPr>
        <w:shd w:val="clear" w:color="FFFFFF" w:fill="A2D3FF" w:themeFill="accent2" w:themeFillTint="40"/>
      </w:tcPr>
    </w:tblStylePr>
  </w:style>
  <w:style w:type="table" w:customStyle="1" w:styleId="Svtltabulkaseznamu1zvraznn31">
    <w:name w:val="Světlá tabulka seznamu 1 – zvýraznění 31"/>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96D6" w:themeColor="accent3"/>
          <w:right w:val="none" w:sz="4" w:space="0" w:color="000000"/>
        </w:tcBorders>
      </w:tcPr>
    </w:tblStylePr>
    <w:tblStylePr w:type="lastRow">
      <w:rPr>
        <w:b/>
        <w:color w:val="404040"/>
      </w:rPr>
      <w:tblPr/>
      <w:tcPr>
        <w:tcBorders>
          <w:top w:val="single" w:sz="4" w:space="0" w:color="0096D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4E8FF" w:themeFill="accent3" w:themeFillTint="40"/>
      </w:tcPr>
    </w:tblStylePr>
    <w:tblStylePr w:type="band1Horz">
      <w:tblPr/>
      <w:tcPr>
        <w:shd w:val="clear" w:color="FFFFFF" w:fill="B4E8FF" w:themeFill="accent3" w:themeFillTint="40"/>
      </w:tcPr>
    </w:tblStylePr>
  </w:style>
  <w:style w:type="table" w:customStyle="1" w:styleId="Svtltabulkaseznamu1zvraznn41">
    <w:name w:val="Světlá tabulka seznamu 1 – zvýraznění 41"/>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B5121B" w:themeColor="accent4"/>
          <w:right w:val="none" w:sz="4" w:space="0" w:color="000000"/>
        </w:tcBorders>
      </w:tcPr>
    </w:tblStylePr>
    <w:tblStylePr w:type="lastRow">
      <w:rPr>
        <w:b/>
        <w:color w:val="404040"/>
      </w:rPr>
      <w:tblPr/>
      <w:tcPr>
        <w:tcBorders>
          <w:top w:val="single" w:sz="4" w:space="0" w:color="B5121B"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8B7BB" w:themeFill="accent4" w:themeFillTint="40"/>
      </w:tcPr>
    </w:tblStylePr>
    <w:tblStylePr w:type="band1Horz">
      <w:tblPr/>
      <w:tcPr>
        <w:shd w:val="clear" w:color="FFFFFF" w:fill="F8B7BB" w:themeFill="accent4" w:themeFillTint="40"/>
      </w:tcPr>
    </w:tblStylePr>
  </w:style>
  <w:style w:type="table" w:customStyle="1" w:styleId="Svtltabulkaseznamu1zvraznn51">
    <w:name w:val="Světlá tabulka seznamu 1 – zvýraznění 51"/>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B9E0F7" w:themeColor="accent5"/>
          <w:right w:val="none" w:sz="4" w:space="0" w:color="000000"/>
        </w:tcBorders>
      </w:tcPr>
    </w:tblStylePr>
    <w:tblStylePr w:type="lastRow">
      <w:rPr>
        <w:b/>
        <w:color w:val="404040"/>
      </w:rPr>
      <w:tblPr/>
      <w:tcPr>
        <w:tcBorders>
          <w:top w:val="single" w:sz="4" w:space="0" w:color="B9E0F7"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DF7FD" w:themeFill="accent5" w:themeFillTint="40"/>
      </w:tcPr>
    </w:tblStylePr>
    <w:tblStylePr w:type="band1Horz">
      <w:tblPr/>
      <w:tcPr>
        <w:shd w:val="clear" w:color="FFFFFF" w:fill="EDF7FD" w:themeFill="accent5" w:themeFillTint="40"/>
      </w:tcPr>
    </w:tblStylePr>
  </w:style>
  <w:style w:type="table" w:customStyle="1" w:styleId="Svtltabulkaseznamu1zvraznn61">
    <w:name w:val="Světlá tabulka seznamu 1 – zvýraznění 61"/>
    <w:basedOn w:val="Normlntabulk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3B5EA" w:themeColor="accent6"/>
          <w:right w:val="none" w:sz="4" w:space="0" w:color="000000"/>
        </w:tcBorders>
      </w:tcPr>
    </w:tblStylePr>
    <w:tblStylePr w:type="lastRow">
      <w:rPr>
        <w:b/>
        <w:color w:val="404040"/>
      </w:rPr>
      <w:tblPr/>
      <w:tcPr>
        <w:tcBorders>
          <w:top w:val="single" w:sz="4" w:space="0" w:color="13B5EA"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3ECFA" w:themeFill="accent6" w:themeFillTint="40"/>
      </w:tcPr>
    </w:tblStylePr>
    <w:tblStylePr w:type="band1Horz">
      <w:tblPr/>
      <w:tcPr>
        <w:shd w:val="clear" w:color="FFFFFF" w:fill="C3ECFA" w:themeFill="accent6" w:themeFillTint="40"/>
      </w:tcPr>
    </w:tblStylePr>
  </w:style>
  <w:style w:type="table" w:styleId="Tabulkaseznamu2">
    <w:name w:val="List Table 2"/>
    <w:basedOn w:val="Normlntabulka"/>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Tabulkaseznamu2zvraznn11">
    <w:name w:val="Tabulka seznamu 2 – zvýraznění 11"/>
    <w:basedOn w:val="Normlntabulka"/>
    <w:uiPriority w:val="99"/>
    <w:pPr>
      <w:spacing w:after="0" w:line="240" w:lineRule="auto"/>
    </w:pPr>
    <w:tblPr>
      <w:tblStyleRowBandSize w:val="1"/>
      <w:tblStyleColBandSize w:val="1"/>
      <w:tblBorders>
        <w:top w:val="single" w:sz="4" w:space="0" w:color="EF7D82" w:themeColor="accent1" w:themeTint="90"/>
        <w:bottom w:val="single" w:sz="4" w:space="0" w:color="EF7D82" w:themeColor="accent1" w:themeTint="90"/>
        <w:insideH w:val="single" w:sz="4" w:space="0" w:color="EF7D82" w:themeColor="accent1" w:themeTint="90"/>
      </w:tblBorders>
    </w:tblPr>
    <w:tblStylePr w:type="firstRow">
      <w:rPr>
        <w:rFonts w:ascii="Arial" w:hAnsi="Arial"/>
        <w:b/>
        <w:color w:val="404040"/>
        <w:sz w:val="22"/>
      </w:rPr>
      <w:tblPr/>
      <w:tcPr>
        <w:tcBorders>
          <w:top w:val="single" w:sz="4" w:space="0" w:color="EF7D82" w:themeColor="accent1" w:themeTint="90"/>
          <w:left w:val="none" w:sz="4" w:space="0" w:color="000000"/>
          <w:bottom w:val="single" w:sz="4" w:space="0" w:color="EF7D82" w:themeColor="accent1" w:themeTint="90"/>
          <w:right w:val="none" w:sz="4" w:space="0" w:color="000000"/>
        </w:tcBorders>
      </w:tcPr>
    </w:tblStylePr>
    <w:tblStylePr w:type="lastRow">
      <w:rPr>
        <w:rFonts w:ascii="Arial" w:hAnsi="Arial"/>
        <w:b/>
        <w:color w:val="404040"/>
        <w:sz w:val="22"/>
      </w:rPr>
      <w:tblPr/>
      <w:tcPr>
        <w:tcBorders>
          <w:top w:val="single" w:sz="4" w:space="0" w:color="EF7D82" w:themeColor="accent1" w:themeTint="90"/>
          <w:left w:val="none" w:sz="4" w:space="0" w:color="000000"/>
          <w:bottom w:val="single" w:sz="4" w:space="0" w:color="EF7D8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8C5C7" w:themeFill="accent1" w:themeFillTint="40"/>
      </w:tcPr>
    </w:tblStylePr>
    <w:tblStylePr w:type="band1Horz">
      <w:rPr>
        <w:rFonts w:ascii="Arial" w:hAnsi="Arial"/>
        <w:color w:val="404040"/>
        <w:sz w:val="22"/>
      </w:rPr>
      <w:tblPr/>
      <w:tcPr>
        <w:shd w:val="clear" w:color="FFFFFF" w:fill="F8C5C7" w:themeFill="accent1" w:themeFillTint="40"/>
      </w:tcPr>
    </w:tblStylePr>
  </w:style>
  <w:style w:type="table" w:customStyle="1" w:styleId="Tabulkaseznamu2zvraznn21">
    <w:name w:val="Tabulka seznamu 2 – zvýraznění 21"/>
    <w:basedOn w:val="Normlntabulka"/>
    <w:uiPriority w:val="99"/>
    <w:pPr>
      <w:spacing w:after="0" w:line="240" w:lineRule="auto"/>
    </w:pPr>
    <w:tblPr>
      <w:tblStyleRowBandSize w:val="1"/>
      <w:tblStyleColBandSize w:val="1"/>
      <w:tblBorders>
        <w:top w:val="single" w:sz="4" w:space="0" w:color="2E9CFF" w:themeColor="accent2" w:themeTint="90"/>
        <w:bottom w:val="single" w:sz="4" w:space="0" w:color="2E9CFF" w:themeColor="accent2" w:themeTint="90"/>
        <w:insideH w:val="single" w:sz="4" w:space="0" w:color="2E9CFF" w:themeColor="accent2" w:themeTint="90"/>
      </w:tblBorders>
    </w:tblPr>
    <w:tblStylePr w:type="firstRow">
      <w:rPr>
        <w:rFonts w:ascii="Arial" w:hAnsi="Arial"/>
        <w:b/>
        <w:color w:val="404040"/>
        <w:sz w:val="22"/>
      </w:rPr>
      <w:tblPr/>
      <w:tcPr>
        <w:tcBorders>
          <w:top w:val="single" w:sz="4" w:space="0" w:color="2E9CFF" w:themeColor="accent2" w:themeTint="90"/>
          <w:left w:val="none" w:sz="4" w:space="0" w:color="000000"/>
          <w:bottom w:val="single" w:sz="4" w:space="0" w:color="2E9CFF" w:themeColor="accent2" w:themeTint="90"/>
          <w:right w:val="none" w:sz="4" w:space="0" w:color="000000"/>
        </w:tcBorders>
      </w:tcPr>
    </w:tblStylePr>
    <w:tblStylePr w:type="lastRow">
      <w:rPr>
        <w:rFonts w:ascii="Arial" w:hAnsi="Arial"/>
        <w:b/>
        <w:color w:val="404040"/>
        <w:sz w:val="22"/>
      </w:rPr>
      <w:tblPr/>
      <w:tcPr>
        <w:tcBorders>
          <w:top w:val="single" w:sz="4" w:space="0" w:color="2E9CFF" w:themeColor="accent2" w:themeTint="90"/>
          <w:left w:val="none" w:sz="4" w:space="0" w:color="000000"/>
          <w:bottom w:val="single" w:sz="4" w:space="0" w:color="2E9C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A2D3FF" w:themeFill="accent2" w:themeFillTint="40"/>
      </w:tcPr>
    </w:tblStylePr>
    <w:tblStylePr w:type="band1Horz">
      <w:rPr>
        <w:rFonts w:ascii="Arial" w:hAnsi="Arial"/>
        <w:color w:val="404040"/>
        <w:sz w:val="22"/>
      </w:rPr>
      <w:tblPr/>
      <w:tcPr>
        <w:shd w:val="clear" w:color="FFFFFF" w:fill="A2D3FF" w:themeFill="accent2" w:themeFillTint="40"/>
      </w:tcPr>
    </w:tblStylePr>
  </w:style>
  <w:style w:type="table" w:customStyle="1" w:styleId="Tabulkaseznamu2zvraznn31">
    <w:name w:val="Tabulka seznamu 2 – zvýraznění 31"/>
    <w:basedOn w:val="Normlntabulka"/>
    <w:uiPriority w:val="99"/>
    <w:pPr>
      <w:spacing w:after="0" w:line="240" w:lineRule="auto"/>
    </w:pPr>
    <w:tblPr>
      <w:tblStyleRowBandSize w:val="1"/>
      <w:tblStyleColBandSize w:val="1"/>
      <w:tblBorders>
        <w:top w:val="single" w:sz="4" w:space="0" w:color="57CCFF" w:themeColor="accent3" w:themeTint="90"/>
        <w:bottom w:val="single" w:sz="4" w:space="0" w:color="57CCFF" w:themeColor="accent3" w:themeTint="90"/>
        <w:insideH w:val="single" w:sz="4" w:space="0" w:color="57CCFF" w:themeColor="accent3" w:themeTint="90"/>
      </w:tblBorders>
    </w:tblPr>
    <w:tblStylePr w:type="firstRow">
      <w:rPr>
        <w:rFonts w:ascii="Arial" w:hAnsi="Arial"/>
        <w:b/>
        <w:color w:val="404040"/>
        <w:sz w:val="22"/>
      </w:rPr>
      <w:tblPr/>
      <w:tcPr>
        <w:tcBorders>
          <w:top w:val="single" w:sz="4" w:space="0" w:color="57CCFF" w:themeColor="accent3" w:themeTint="90"/>
          <w:left w:val="none" w:sz="4" w:space="0" w:color="000000"/>
          <w:bottom w:val="single" w:sz="4" w:space="0" w:color="57CCFF" w:themeColor="accent3" w:themeTint="90"/>
          <w:right w:val="none" w:sz="4" w:space="0" w:color="000000"/>
        </w:tcBorders>
      </w:tcPr>
    </w:tblStylePr>
    <w:tblStylePr w:type="lastRow">
      <w:rPr>
        <w:rFonts w:ascii="Arial" w:hAnsi="Arial"/>
        <w:b/>
        <w:color w:val="404040"/>
        <w:sz w:val="22"/>
      </w:rPr>
      <w:tblPr/>
      <w:tcPr>
        <w:tcBorders>
          <w:top w:val="single" w:sz="4" w:space="0" w:color="57CCFF" w:themeColor="accent3" w:themeTint="90"/>
          <w:left w:val="none" w:sz="4" w:space="0" w:color="000000"/>
          <w:bottom w:val="single" w:sz="4" w:space="0" w:color="57CCFF"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4E8FF" w:themeFill="accent3" w:themeFillTint="40"/>
      </w:tcPr>
    </w:tblStylePr>
    <w:tblStylePr w:type="band1Horz">
      <w:rPr>
        <w:rFonts w:ascii="Arial" w:hAnsi="Arial"/>
        <w:color w:val="404040"/>
        <w:sz w:val="22"/>
      </w:rPr>
      <w:tblPr/>
      <w:tcPr>
        <w:shd w:val="clear" w:color="FFFFFF" w:fill="B4E8FF" w:themeFill="accent3" w:themeFillTint="40"/>
      </w:tcPr>
    </w:tblStylePr>
  </w:style>
  <w:style w:type="table" w:customStyle="1" w:styleId="Tabulkaseznamu2zvraznn41">
    <w:name w:val="Tabulka seznamu 2 – zvýraznění 41"/>
    <w:basedOn w:val="Normlntabulka"/>
    <w:uiPriority w:val="99"/>
    <w:pPr>
      <w:spacing w:after="0" w:line="240" w:lineRule="auto"/>
    </w:pPr>
    <w:tblPr>
      <w:tblStyleRowBandSize w:val="1"/>
      <w:tblStyleColBandSize w:val="1"/>
      <w:tblBorders>
        <w:top w:val="single" w:sz="4" w:space="0" w:color="EF5F67" w:themeColor="accent4" w:themeTint="90"/>
        <w:bottom w:val="single" w:sz="4" w:space="0" w:color="EF5F67" w:themeColor="accent4" w:themeTint="90"/>
        <w:insideH w:val="single" w:sz="4" w:space="0" w:color="EF5F67" w:themeColor="accent4" w:themeTint="90"/>
      </w:tblBorders>
    </w:tblPr>
    <w:tblStylePr w:type="firstRow">
      <w:rPr>
        <w:rFonts w:ascii="Arial" w:hAnsi="Arial"/>
        <w:b/>
        <w:color w:val="404040"/>
        <w:sz w:val="22"/>
      </w:rPr>
      <w:tblPr/>
      <w:tcPr>
        <w:tcBorders>
          <w:top w:val="single" w:sz="4" w:space="0" w:color="EF5F67" w:themeColor="accent4" w:themeTint="90"/>
          <w:left w:val="none" w:sz="4" w:space="0" w:color="000000"/>
          <w:bottom w:val="single" w:sz="4" w:space="0" w:color="EF5F67" w:themeColor="accent4" w:themeTint="90"/>
          <w:right w:val="none" w:sz="4" w:space="0" w:color="000000"/>
        </w:tcBorders>
      </w:tcPr>
    </w:tblStylePr>
    <w:tblStylePr w:type="lastRow">
      <w:rPr>
        <w:rFonts w:ascii="Arial" w:hAnsi="Arial"/>
        <w:b/>
        <w:color w:val="404040"/>
        <w:sz w:val="22"/>
      </w:rPr>
      <w:tblPr/>
      <w:tcPr>
        <w:tcBorders>
          <w:top w:val="single" w:sz="4" w:space="0" w:color="EF5F67" w:themeColor="accent4" w:themeTint="90"/>
          <w:left w:val="none" w:sz="4" w:space="0" w:color="000000"/>
          <w:bottom w:val="single" w:sz="4" w:space="0" w:color="EF5F67"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8B7BB" w:themeFill="accent4" w:themeFillTint="40"/>
      </w:tcPr>
    </w:tblStylePr>
    <w:tblStylePr w:type="band1Horz">
      <w:rPr>
        <w:rFonts w:ascii="Arial" w:hAnsi="Arial"/>
        <w:color w:val="404040"/>
        <w:sz w:val="22"/>
      </w:rPr>
      <w:tblPr/>
      <w:tcPr>
        <w:shd w:val="clear" w:color="FFFFFF" w:fill="F8B7BB" w:themeFill="accent4" w:themeFillTint="40"/>
      </w:tcPr>
    </w:tblStylePr>
  </w:style>
  <w:style w:type="table" w:customStyle="1" w:styleId="Tabulkaseznamu2zvraznn51">
    <w:name w:val="Tabulka seznamu 2 – zvýraznění 51"/>
    <w:basedOn w:val="Normlntabulka"/>
    <w:uiPriority w:val="99"/>
    <w:pPr>
      <w:spacing w:after="0" w:line="240" w:lineRule="auto"/>
    </w:pPr>
    <w:tblPr>
      <w:tblStyleRowBandSize w:val="1"/>
      <w:tblStyleColBandSize w:val="1"/>
      <w:tblBorders>
        <w:top w:val="single" w:sz="4" w:space="0" w:color="D7EDFA" w:themeColor="accent5" w:themeTint="90"/>
        <w:bottom w:val="single" w:sz="4" w:space="0" w:color="D7EDFA" w:themeColor="accent5" w:themeTint="90"/>
        <w:insideH w:val="single" w:sz="4" w:space="0" w:color="D7EDFA" w:themeColor="accent5" w:themeTint="90"/>
      </w:tblBorders>
    </w:tblPr>
    <w:tblStylePr w:type="firstRow">
      <w:rPr>
        <w:rFonts w:ascii="Arial" w:hAnsi="Arial"/>
        <w:b/>
        <w:color w:val="404040"/>
        <w:sz w:val="22"/>
      </w:rPr>
      <w:tblPr/>
      <w:tcPr>
        <w:tcBorders>
          <w:top w:val="single" w:sz="4" w:space="0" w:color="D7EDFA" w:themeColor="accent5" w:themeTint="90"/>
          <w:left w:val="none" w:sz="4" w:space="0" w:color="000000"/>
          <w:bottom w:val="single" w:sz="4" w:space="0" w:color="D7EDFA" w:themeColor="accent5" w:themeTint="90"/>
          <w:right w:val="none" w:sz="4" w:space="0" w:color="000000"/>
        </w:tcBorders>
      </w:tcPr>
    </w:tblStylePr>
    <w:tblStylePr w:type="lastRow">
      <w:rPr>
        <w:rFonts w:ascii="Arial" w:hAnsi="Arial"/>
        <w:b/>
        <w:color w:val="404040"/>
        <w:sz w:val="22"/>
      </w:rPr>
      <w:tblPr/>
      <w:tcPr>
        <w:tcBorders>
          <w:top w:val="single" w:sz="4" w:space="0" w:color="D7EDFA" w:themeColor="accent5" w:themeTint="90"/>
          <w:left w:val="none" w:sz="4" w:space="0" w:color="000000"/>
          <w:bottom w:val="single" w:sz="4" w:space="0" w:color="D7EDFA"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DF7FD" w:themeFill="accent5" w:themeFillTint="40"/>
      </w:tcPr>
    </w:tblStylePr>
    <w:tblStylePr w:type="band1Horz">
      <w:rPr>
        <w:rFonts w:ascii="Arial" w:hAnsi="Arial"/>
        <w:color w:val="404040"/>
        <w:sz w:val="22"/>
      </w:rPr>
      <w:tblPr/>
      <w:tcPr>
        <w:shd w:val="clear" w:color="FFFFFF" w:fill="EDF7FD" w:themeFill="accent5" w:themeFillTint="40"/>
      </w:tcPr>
    </w:tblStylePr>
  </w:style>
  <w:style w:type="table" w:customStyle="1" w:styleId="Tabulkaseznamu2zvraznn61">
    <w:name w:val="Tabulka seznamu 2 – zvýraznění 61"/>
    <w:basedOn w:val="Normlntabulka"/>
    <w:uiPriority w:val="99"/>
    <w:pPr>
      <w:spacing w:after="0" w:line="240" w:lineRule="auto"/>
    </w:pPr>
    <w:tblPr>
      <w:tblStyleRowBandSize w:val="1"/>
      <w:tblStyleColBandSize w:val="1"/>
      <w:tblBorders>
        <w:top w:val="single" w:sz="4" w:space="0" w:color="78D5F4" w:themeColor="accent6" w:themeTint="90"/>
        <w:bottom w:val="single" w:sz="4" w:space="0" w:color="78D5F4" w:themeColor="accent6" w:themeTint="90"/>
        <w:insideH w:val="single" w:sz="4" w:space="0" w:color="78D5F4" w:themeColor="accent6" w:themeTint="90"/>
      </w:tblBorders>
    </w:tblPr>
    <w:tblStylePr w:type="firstRow">
      <w:rPr>
        <w:rFonts w:ascii="Arial" w:hAnsi="Arial"/>
        <w:b/>
        <w:color w:val="404040"/>
        <w:sz w:val="22"/>
      </w:rPr>
      <w:tblPr/>
      <w:tcPr>
        <w:tcBorders>
          <w:top w:val="single" w:sz="4" w:space="0" w:color="78D5F4" w:themeColor="accent6" w:themeTint="90"/>
          <w:left w:val="none" w:sz="4" w:space="0" w:color="000000"/>
          <w:bottom w:val="single" w:sz="4" w:space="0" w:color="78D5F4" w:themeColor="accent6" w:themeTint="90"/>
          <w:right w:val="none" w:sz="4" w:space="0" w:color="000000"/>
        </w:tcBorders>
      </w:tcPr>
    </w:tblStylePr>
    <w:tblStylePr w:type="lastRow">
      <w:rPr>
        <w:rFonts w:ascii="Arial" w:hAnsi="Arial"/>
        <w:b/>
        <w:color w:val="404040"/>
        <w:sz w:val="22"/>
      </w:rPr>
      <w:tblPr/>
      <w:tcPr>
        <w:tcBorders>
          <w:top w:val="single" w:sz="4" w:space="0" w:color="78D5F4" w:themeColor="accent6" w:themeTint="90"/>
          <w:left w:val="none" w:sz="4" w:space="0" w:color="000000"/>
          <w:bottom w:val="single" w:sz="4" w:space="0" w:color="78D5F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3ECFA" w:themeFill="accent6" w:themeFillTint="40"/>
      </w:tcPr>
    </w:tblStylePr>
    <w:tblStylePr w:type="band1Horz">
      <w:rPr>
        <w:rFonts w:ascii="Arial" w:hAnsi="Arial"/>
        <w:color w:val="404040"/>
        <w:sz w:val="22"/>
      </w:rPr>
      <w:tblPr/>
      <w:tcPr>
        <w:shd w:val="clear" w:color="FFFFFF" w:fill="C3ECFA" w:themeFill="accent6" w:themeFillTint="40"/>
      </w:tcPr>
    </w:tblStylePr>
  </w:style>
  <w:style w:type="table" w:styleId="Tabulkaseznamu3">
    <w:name w:val="List Table 3"/>
    <w:basedOn w:val="Normlntabulka"/>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Tabulkaseznamu3zvraznn11">
    <w:name w:val="Tabulka seznamu 3 – zvýraznění 11"/>
    <w:basedOn w:val="Normlntabulka"/>
    <w:uiPriority w:val="99"/>
    <w:pPr>
      <w:spacing w:after="0" w:line="240" w:lineRule="auto"/>
    </w:pPr>
    <w:tblPr>
      <w:tblStyleRowBandSize w:val="1"/>
      <w:tblStyleColBandSize w:val="1"/>
      <w:tblBorders>
        <w:top w:val="single" w:sz="4" w:space="0" w:color="E31B23" w:themeColor="accent1"/>
        <w:left w:val="single" w:sz="4" w:space="0" w:color="E31B23" w:themeColor="accent1"/>
        <w:bottom w:val="single" w:sz="4" w:space="0" w:color="E31B23" w:themeColor="accent1"/>
        <w:right w:val="single" w:sz="4" w:space="0" w:color="E31B23" w:themeColor="accent1"/>
      </w:tblBorders>
    </w:tblPr>
    <w:tblStylePr w:type="firstRow">
      <w:rPr>
        <w:rFonts w:ascii="Arial" w:hAnsi="Arial"/>
        <w:b/>
        <w:color w:val="FFFFFF"/>
        <w:sz w:val="22"/>
      </w:rPr>
      <w:tblPr/>
      <w:tcPr>
        <w:shd w:val="clear" w:color="FFFFFF" w:fill="E31B23"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31B23" w:themeColor="accent1"/>
          <w:right w:val="single" w:sz="4" w:space="0" w:color="E31B23" w:themeColor="accent1"/>
        </w:tcBorders>
      </w:tcPr>
    </w:tblStylePr>
    <w:tblStylePr w:type="band1Horz">
      <w:rPr>
        <w:rFonts w:ascii="Arial" w:hAnsi="Arial"/>
        <w:color w:val="404040"/>
        <w:sz w:val="22"/>
      </w:rPr>
      <w:tblPr/>
      <w:tcPr>
        <w:tcBorders>
          <w:top w:val="single" w:sz="4" w:space="0" w:color="E31B23" w:themeColor="accent1"/>
          <w:bottom w:val="single" w:sz="4" w:space="0" w:color="E31B23" w:themeColor="accent1"/>
        </w:tcBorders>
      </w:tcPr>
    </w:tblStylePr>
  </w:style>
  <w:style w:type="table" w:customStyle="1" w:styleId="Tabulkaseznamu3zvraznn21">
    <w:name w:val="Tabulka seznamu 3 – zvýraznění 21"/>
    <w:basedOn w:val="Normlntabulka"/>
    <w:uiPriority w:val="99"/>
    <w:pPr>
      <w:spacing w:after="0" w:line="240" w:lineRule="auto"/>
    </w:pPr>
    <w:tblPr>
      <w:tblStyleRowBandSize w:val="1"/>
      <w:tblStyleColBandSize w:val="1"/>
      <w:tblBorders>
        <w:top w:val="single" w:sz="4" w:space="0" w:color="2498FF" w:themeColor="accent2" w:themeTint="97"/>
        <w:left w:val="single" w:sz="4" w:space="0" w:color="2498FF" w:themeColor="accent2" w:themeTint="97"/>
        <w:bottom w:val="single" w:sz="4" w:space="0" w:color="2498FF" w:themeColor="accent2" w:themeTint="97"/>
        <w:right w:val="single" w:sz="4" w:space="0" w:color="2498FF" w:themeColor="accent2" w:themeTint="97"/>
      </w:tblBorders>
    </w:tblPr>
    <w:tblStylePr w:type="firstRow">
      <w:rPr>
        <w:rFonts w:ascii="Arial" w:hAnsi="Arial"/>
        <w:b/>
        <w:color w:val="FFFFFF"/>
        <w:sz w:val="22"/>
      </w:rPr>
      <w:tblPr/>
      <w:tcPr>
        <w:shd w:val="clear" w:color="FFFFFF" w:fill="2498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2498FF" w:themeColor="accent2" w:themeTint="97"/>
          <w:right w:val="single" w:sz="4" w:space="0" w:color="2498FF" w:themeColor="accent2" w:themeTint="97"/>
        </w:tcBorders>
      </w:tcPr>
    </w:tblStylePr>
    <w:tblStylePr w:type="band1Horz">
      <w:rPr>
        <w:rFonts w:ascii="Arial" w:hAnsi="Arial"/>
        <w:color w:val="404040"/>
        <w:sz w:val="22"/>
      </w:rPr>
      <w:tblPr/>
      <w:tcPr>
        <w:tcBorders>
          <w:top w:val="single" w:sz="4" w:space="0" w:color="2498FF" w:themeColor="accent2" w:themeTint="97"/>
          <w:bottom w:val="single" w:sz="4" w:space="0" w:color="2498FF" w:themeColor="accent2" w:themeTint="97"/>
        </w:tcBorders>
      </w:tcPr>
    </w:tblStylePr>
  </w:style>
  <w:style w:type="table" w:customStyle="1" w:styleId="Tabulkaseznamu3zvraznn31">
    <w:name w:val="Tabulka seznamu 3 – zvýraznění 31"/>
    <w:basedOn w:val="Normlntabulka"/>
    <w:uiPriority w:val="99"/>
    <w:pPr>
      <w:spacing w:after="0" w:line="240" w:lineRule="auto"/>
    </w:pPr>
    <w:tblPr>
      <w:tblStyleRowBandSize w:val="1"/>
      <w:tblStyleColBandSize w:val="1"/>
      <w:tblBorders>
        <w:top w:val="single" w:sz="4" w:space="0" w:color="4EC9FF" w:themeColor="accent3" w:themeTint="98"/>
        <w:left w:val="single" w:sz="4" w:space="0" w:color="4EC9FF" w:themeColor="accent3" w:themeTint="98"/>
        <w:bottom w:val="single" w:sz="4" w:space="0" w:color="4EC9FF" w:themeColor="accent3" w:themeTint="98"/>
        <w:right w:val="single" w:sz="4" w:space="0" w:color="4EC9FF" w:themeColor="accent3" w:themeTint="98"/>
      </w:tblBorders>
    </w:tblPr>
    <w:tblStylePr w:type="firstRow">
      <w:rPr>
        <w:rFonts w:ascii="Arial" w:hAnsi="Arial"/>
        <w:b/>
        <w:color w:val="FFFFFF"/>
        <w:sz w:val="22"/>
      </w:rPr>
      <w:tblPr/>
      <w:tcPr>
        <w:shd w:val="clear" w:color="FFFFFF" w:fill="4EC9FF"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EC9FF" w:themeColor="accent3" w:themeTint="98"/>
          <w:right w:val="single" w:sz="4" w:space="0" w:color="4EC9FF" w:themeColor="accent3" w:themeTint="98"/>
        </w:tcBorders>
      </w:tcPr>
    </w:tblStylePr>
    <w:tblStylePr w:type="band1Horz">
      <w:rPr>
        <w:rFonts w:ascii="Arial" w:hAnsi="Arial"/>
        <w:color w:val="404040"/>
        <w:sz w:val="22"/>
      </w:rPr>
      <w:tblPr/>
      <w:tcPr>
        <w:tcBorders>
          <w:top w:val="single" w:sz="4" w:space="0" w:color="4EC9FF" w:themeColor="accent3" w:themeTint="98"/>
          <w:bottom w:val="single" w:sz="4" w:space="0" w:color="4EC9FF" w:themeColor="accent3" w:themeTint="98"/>
        </w:tcBorders>
      </w:tcPr>
    </w:tblStylePr>
  </w:style>
  <w:style w:type="table" w:customStyle="1" w:styleId="Tabulkaseznamu3zvraznn41">
    <w:name w:val="Tabulka seznamu 3 – zvýraznění 41"/>
    <w:basedOn w:val="Normlntabulka"/>
    <w:uiPriority w:val="99"/>
    <w:pPr>
      <w:spacing w:after="0" w:line="240" w:lineRule="auto"/>
    </w:pPr>
    <w:tblPr>
      <w:tblStyleRowBandSize w:val="1"/>
      <w:tblStyleColBandSize w:val="1"/>
      <w:tblBorders>
        <w:top w:val="single" w:sz="4" w:space="0" w:color="EE545C" w:themeColor="accent4" w:themeTint="9A"/>
        <w:left w:val="single" w:sz="4" w:space="0" w:color="EE545C" w:themeColor="accent4" w:themeTint="9A"/>
        <w:bottom w:val="single" w:sz="4" w:space="0" w:color="EE545C" w:themeColor="accent4" w:themeTint="9A"/>
        <w:right w:val="single" w:sz="4" w:space="0" w:color="EE545C" w:themeColor="accent4" w:themeTint="9A"/>
      </w:tblBorders>
    </w:tblPr>
    <w:tblStylePr w:type="firstRow">
      <w:rPr>
        <w:rFonts w:ascii="Arial" w:hAnsi="Arial"/>
        <w:b/>
        <w:color w:val="FFFFFF"/>
        <w:sz w:val="22"/>
      </w:rPr>
      <w:tblPr/>
      <w:tcPr>
        <w:shd w:val="clear" w:color="FFFFFF" w:fill="EE545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545C" w:themeColor="accent4" w:themeTint="9A"/>
          <w:right w:val="single" w:sz="4" w:space="0" w:color="EE545C" w:themeColor="accent4" w:themeTint="9A"/>
        </w:tcBorders>
      </w:tcPr>
    </w:tblStylePr>
    <w:tblStylePr w:type="band1Horz">
      <w:rPr>
        <w:rFonts w:ascii="Arial" w:hAnsi="Arial"/>
        <w:color w:val="404040"/>
        <w:sz w:val="22"/>
      </w:rPr>
      <w:tblPr/>
      <w:tcPr>
        <w:tcBorders>
          <w:top w:val="single" w:sz="4" w:space="0" w:color="EE545C" w:themeColor="accent4" w:themeTint="9A"/>
          <w:bottom w:val="single" w:sz="4" w:space="0" w:color="EE545C" w:themeColor="accent4" w:themeTint="9A"/>
        </w:tcBorders>
      </w:tcPr>
    </w:tblStylePr>
  </w:style>
  <w:style w:type="table" w:customStyle="1" w:styleId="Tabulkaseznamu3zvraznn51">
    <w:name w:val="Tabulka seznamu 3 – zvýraznění 51"/>
    <w:basedOn w:val="Normlntabulka"/>
    <w:uiPriority w:val="99"/>
    <w:pPr>
      <w:spacing w:after="0" w:line="240" w:lineRule="auto"/>
    </w:pPr>
    <w:tblPr>
      <w:tblStyleRowBandSize w:val="1"/>
      <w:tblStyleColBandSize w:val="1"/>
      <w:tblBorders>
        <w:top w:val="single" w:sz="4" w:space="0" w:color="D4ECFA" w:themeColor="accent5" w:themeTint="9A"/>
        <w:left w:val="single" w:sz="4" w:space="0" w:color="D4ECFA" w:themeColor="accent5" w:themeTint="9A"/>
        <w:bottom w:val="single" w:sz="4" w:space="0" w:color="D4ECFA" w:themeColor="accent5" w:themeTint="9A"/>
        <w:right w:val="single" w:sz="4" w:space="0" w:color="D4ECFA" w:themeColor="accent5" w:themeTint="9A"/>
      </w:tblBorders>
    </w:tblPr>
    <w:tblStylePr w:type="firstRow">
      <w:rPr>
        <w:rFonts w:ascii="Arial" w:hAnsi="Arial"/>
        <w:b/>
        <w:color w:val="FFFFFF"/>
        <w:sz w:val="22"/>
      </w:rPr>
      <w:tblPr/>
      <w:tcPr>
        <w:shd w:val="clear" w:color="FFFFFF" w:fill="D4ECFA"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4ECFA" w:themeColor="accent5" w:themeTint="9A"/>
          <w:right w:val="single" w:sz="4" w:space="0" w:color="D4ECFA" w:themeColor="accent5" w:themeTint="9A"/>
        </w:tcBorders>
      </w:tcPr>
    </w:tblStylePr>
    <w:tblStylePr w:type="band1Horz">
      <w:rPr>
        <w:rFonts w:ascii="Arial" w:hAnsi="Arial"/>
        <w:color w:val="404040"/>
        <w:sz w:val="22"/>
      </w:rPr>
      <w:tblPr/>
      <w:tcPr>
        <w:tcBorders>
          <w:top w:val="single" w:sz="4" w:space="0" w:color="D4ECFA" w:themeColor="accent5" w:themeTint="9A"/>
          <w:bottom w:val="single" w:sz="4" w:space="0" w:color="D4ECFA" w:themeColor="accent5" w:themeTint="9A"/>
        </w:tcBorders>
      </w:tcPr>
    </w:tblStylePr>
  </w:style>
  <w:style w:type="table" w:customStyle="1" w:styleId="Tabulkaseznamu3zvraznn61">
    <w:name w:val="Tabulka seznamu 3 – zvýraznění 61"/>
    <w:basedOn w:val="Normlntabulka"/>
    <w:uiPriority w:val="99"/>
    <w:pPr>
      <w:spacing w:after="0" w:line="240" w:lineRule="auto"/>
    </w:pPr>
    <w:tblPr>
      <w:tblStyleRowBandSize w:val="1"/>
      <w:tblStyleColBandSize w:val="1"/>
      <w:tblBorders>
        <w:top w:val="single" w:sz="4" w:space="0" w:color="71D3F3" w:themeColor="accent6" w:themeTint="98"/>
        <w:left w:val="single" w:sz="4" w:space="0" w:color="71D3F3" w:themeColor="accent6" w:themeTint="98"/>
        <w:bottom w:val="single" w:sz="4" w:space="0" w:color="71D3F3" w:themeColor="accent6" w:themeTint="98"/>
        <w:right w:val="single" w:sz="4" w:space="0" w:color="71D3F3" w:themeColor="accent6" w:themeTint="98"/>
      </w:tblBorders>
    </w:tblPr>
    <w:tblStylePr w:type="firstRow">
      <w:rPr>
        <w:rFonts w:ascii="Arial" w:hAnsi="Arial"/>
        <w:b/>
        <w:color w:val="FFFFFF"/>
        <w:sz w:val="22"/>
      </w:rPr>
      <w:tblPr/>
      <w:tcPr>
        <w:shd w:val="clear" w:color="FFFFFF" w:fill="71D3F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71D3F3" w:themeColor="accent6" w:themeTint="98"/>
          <w:right w:val="single" w:sz="4" w:space="0" w:color="71D3F3" w:themeColor="accent6" w:themeTint="98"/>
        </w:tcBorders>
      </w:tcPr>
    </w:tblStylePr>
    <w:tblStylePr w:type="band1Horz">
      <w:rPr>
        <w:rFonts w:ascii="Arial" w:hAnsi="Arial"/>
        <w:color w:val="404040"/>
        <w:sz w:val="22"/>
      </w:rPr>
      <w:tblPr/>
      <w:tcPr>
        <w:tcBorders>
          <w:top w:val="single" w:sz="4" w:space="0" w:color="71D3F3" w:themeColor="accent6" w:themeTint="98"/>
          <w:bottom w:val="single" w:sz="4" w:space="0" w:color="71D3F3" w:themeColor="accent6" w:themeTint="98"/>
        </w:tcBorders>
      </w:tcPr>
    </w:tblStylePr>
  </w:style>
  <w:style w:type="table" w:styleId="Tabulkaseznamu4">
    <w:name w:val="List Table 4"/>
    <w:basedOn w:val="Normlntabulka"/>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Tabulkaseznamu4zvraznn11">
    <w:name w:val="Tabulka seznamu 4 – zvýraznění 11"/>
    <w:basedOn w:val="Normlntabulka"/>
    <w:uiPriority w:val="99"/>
    <w:pPr>
      <w:spacing w:after="0" w:line="240" w:lineRule="auto"/>
    </w:pPr>
    <w:tblPr>
      <w:tblStyleRowBandSize w:val="1"/>
      <w:tblStyleColBandSize w:val="1"/>
      <w:tblBorders>
        <w:top w:val="single" w:sz="4" w:space="0" w:color="EF7D82" w:themeColor="accent1" w:themeTint="90"/>
        <w:left w:val="single" w:sz="4" w:space="0" w:color="EF7D82" w:themeColor="accent1" w:themeTint="90"/>
        <w:bottom w:val="single" w:sz="4" w:space="0" w:color="EF7D82" w:themeColor="accent1" w:themeTint="90"/>
        <w:right w:val="single" w:sz="4" w:space="0" w:color="EF7D82" w:themeColor="accent1" w:themeTint="90"/>
        <w:insideH w:val="single" w:sz="4" w:space="0" w:color="EF7D82" w:themeColor="accent1" w:themeTint="90"/>
      </w:tblBorders>
    </w:tblPr>
    <w:tblStylePr w:type="firstRow">
      <w:rPr>
        <w:rFonts w:ascii="Arial" w:hAnsi="Arial"/>
        <w:b/>
        <w:color w:val="FFFFFF"/>
        <w:sz w:val="22"/>
      </w:rPr>
      <w:tblPr/>
      <w:tcPr>
        <w:shd w:val="clear" w:color="FFFFFF" w:fill="E31B23"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C5C7" w:themeFill="accent1" w:themeFillTint="40"/>
      </w:tcPr>
    </w:tblStylePr>
    <w:tblStylePr w:type="band1Horz">
      <w:rPr>
        <w:rFonts w:ascii="Arial" w:hAnsi="Arial"/>
        <w:color w:val="404040"/>
        <w:sz w:val="22"/>
      </w:rPr>
      <w:tblPr/>
      <w:tcPr>
        <w:shd w:val="clear" w:color="FFFFFF" w:fill="F8C5C7" w:themeFill="accent1" w:themeFillTint="40"/>
      </w:tcPr>
    </w:tblStylePr>
  </w:style>
  <w:style w:type="table" w:customStyle="1" w:styleId="Tabulkaseznamu4zvraznn21">
    <w:name w:val="Tabulka seznamu 4 – zvýraznění 21"/>
    <w:basedOn w:val="Normlntabulka"/>
    <w:uiPriority w:val="99"/>
    <w:pPr>
      <w:spacing w:after="0" w:line="240" w:lineRule="auto"/>
    </w:pPr>
    <w:tblPr>
      <w:tblStyleRowBandSize w:val="1"/>
      <w:tblStyleColBandSize w:val="1"/>
      <w:tblBorders>
        <w:top w:val="single" w:sz="4" w:space="0" w:color="2E9CFF" w:themeColor="accent2" w:themeTint="90"/>
        <w:left w:val="single" w:sz="4" w:space="0" w:color="2E9CFF" w:themeColor="accent2" w:themeTint="90"/>
        <w:bottom w:val="single" w:sz="4" w:space="0" w:color="2E9CFF" w:themeColor="accent2" w:themeTint="90"/>
        <w:right w:val="single" w:sz="4" w:space="0" w:color="2E9CFF" w:themeColor="accent2" w:themeTint="90"/>
        <w:insideH w:val="single" w:sz="4" w:space="0" w:color="2E9CFF" w:themeColor="accent2" w:themeTint="90"/>
      </w:tblBorders>
    </w:tblPr>
    <w:tblStylePr w:type="firstRow">
      <w:rPr>
        <w:rFonts w:ascii="Arial" w:hAnsi="Arial"/>
        <w:b/>
        <w:color w:val="FFFFFF"/>
        <w:sz w:val="22"/>
      </w:rPr>
      <w:tblPr/>
      <w:tcPr>
        <w:shd w:val="clear" w:color="FFFFFF" w:fill="004B8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A2D3FF" w:themeFill="accent2" w:themeFillTint="40"/>
      </w:tcPr>
    </w:tblStylePr>
    <w:tblStylePr w:type="band1Horz">
      <w:rPr>
        <w:rFonts w:ascii="Arial" w:hAnsi="Arial"/>
        <w:color w:val="404040"/>
        <w:sz w:val="22"/>
      </w:rPr>
      <w:tblPr/>
      <w:tcPr>
        <w:shd w:val="clear" w:color="FFFFFF" w:fill="A2D3FF" w:themeFill="accent2" w:themeFillTint="40"/>
      </w:tcPr>
    </w:tblStylePr>
  </w:style>
  <w:style w:type="table" w:customStyle="1" w:styleId="Tabulkaseznamu4zvraznn31">
    <w:name w:val="Tabulka seznamu 4 – zvýraznění 31"/>
    <w:basedOn w:val="Normlntabulka"/>
    <w:uiPriority w:val="99"/>
    <w:pPr>
      <w:spacing w:after="0" w:line="240" w:lineRule="auto"/>
    </w:pPr>
    <w:tblPr>
      <w:tblStyleRowBandSize w:val="1"/>
      <w:tblStyleColBandSize w:val="1"/>
      <w:tblBorders>
        <w:top w:val="single" w:sz="4" w:space="0" w:color="57CCFF" w:themeColor="accent3" w:themeTint="90"/>
        <w:left w:val="single" w:sz="4" w:space="0" w:color="57CCFF" w:themeColor="accent3" w:themeTint="90"/>
        <w:bottom w:val="single" w:sz="4" w:space="0" w:color="57CCFF" w:themeColor="accent3" w:themeTint="90"/>
        <w:right w:val="single" w:sz="4" w:space="0" w:color="57CCFF" w:themeColor="accent3" w:themeTint="90"/>
        <w:insideH w:val="single" w:sz="4" w:space="0" w:color="57CCFF" w:themeColor="accent3" w:themeTint="90"/>
      </w:tblBorders>
    </w:tblPr>
    <w:tblStylePr w:type="firstRow">
      <w:rPr>
        <w:rFonts w:ascii="Arial" w:hAnsi="Arial"/>
        <w:b/>
        <w:color w:val="FFFFFF"/>
        <w:sz w:val="22"/>
      </w:rPr>
      <w:tblPr/>
      <w:tcPr>
        <w:shd w:val="clear" w:color="FFFFFF" w:fill="0096D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4E8FF" w:themeFill="accent3" w:themeFillTint="40"/>
      </w:tcPr>
    </w:tblStylePr>
    <w:tblStylePr w:type="band1Horz">
      <w:rPr>
        <w:rFonts w:ascii="Arial" w:hAnsi="Arial"/>
        <w:color w:val="404040"/>
        <w:sz w:val="22"/>
      </w:rPr>
      <w:tblPr/>
      <w:tcPr>
        <w:shd w:val="clear" w:color="FFFFFF" w:fill="B4E8FF" w:themeFill="accent3" w:themeFillTint="40"/>
      </w:tcPr>
    </w:tblStylePr>
  </w:style>
  <w:style w:type="table" w:customStyle="1" w:styleId="Tabulkaseznamu4zvraznn41">
    <w:name w:val="Tabulka seznamu 4 – zvýraznění 41"/>
    <w:basedOn w:val="Normlntabulka"/>
    <w:uiPriority w:val="99"/>
    <w:pPr>
      <w:spacing w:after="0" w:line="240" w:lineRule="auto"/>
    </w:pPr>
    <w:tblPr>
      <w:tblStyleRowBandSize w:val="1"/>
      <w:tblStyleColBandSize w:val="1"/>
      <w:tblBorders>
        <w:top w:val="single" w:sz="4" w:space="0" w:color="EF5F67" w:themeColor="accent4" w:themeTint="90"/>
        <w:left w:val="single" w:sz="4" w:space="0" w:color="EF5F67" w:themeColor="accent4" w:themeTint="90"/>
        <w:bottom w:val="single" w:sz="4" w:space="0" w:color="EF5F67" w:themeColor="accent4" w:themeTint="90"/>
        <w:right w:val="single" w:sz="4" w:space="0" w:color="EF5F67" w:themeColor="accent4" w:themeTint="90"/>
        <w:insideH w:val="single" w:sz="4" w:space="0" w:color="EF5F67" w:themeColor="accent4" w:themeTint="90"/>
      </w:tblBorders>
    </w:tblPr>
    <w:tblStylePr w:type="firstRow">
      <w:rPr>
        <w:rFonts w:ascii="Arial" w:hAnsi="Arial"/>
        <w:b/>
        <w:color w:val="FFFFFF"/>
        <w:sz w:val="22"/>
      </w:rPr>
      <w:tblPr/>
      <w:tcPr>
        <w:shd w:val="clear" w:color="FFFFFF" w:fill="B5121B"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B7BB" w:themeFill="accent4" w:themeFillTint="40"/>
      </w:tcPr>
    </w:tblStylePr>
    <w:tblStylePr w:type="band1Horz">
      <w:rPr>
        <w:rFonts w:ascii="Arial" w:hAnsi="Arial"/>
        <w:color w:val="404040"/>
        <w:sz w:val="22"/>
      </w:rPr>
      <w:tblPr/>
      <w:tcPr>
        <w:shd w:val="clear" w:color="FFFFFF" w:fill="F8B7BB" w:themeFill="accent4" w:themeFillTint="40"/>
      </w:tcPr>
    </w:tblStylePr>
  </w:style>
  <w:style w:type="table" w:customStyle="1" w:styleId="Tabulkaseznamu4zvraznn51">
    <w:name w:val="Tabulka seznamu 4 – zvýraznění 51"/>
    <w:basedOn w:val="Normlntabulka"/>
    <w:uiPriority w:val="99"/>
    <w:pPr>
      <w:spacing w:after="0" w:line="240" w:lineRule="auto"/>
    </w:pPr>
    <w:tblPr>
      <w:tblStyleRowBandSize w:val="1"/>
      <w:tblStyleColBandSize w:val="1"/>
      <w:tblBorders>
        <w:top w:val="single" w:sz="4" w:space="0" w:color="D7EDFA" w:themeColor="accent5" w:themeTint="90"/>
        <w:left w:val="single" w:sz="4" w:space="0" w:color="D7EDFA" w:themeColor="accent5" w:themeTint="90"/>
        <w:bottom w:val="single" w:sz="4" w:space="0" w:color="D7EDFA" w:themeColor="accent5" w:themeTint="90"/>
        <w:right w:val="single" w:sz="4" w:space="0" w:color="D7EDFA" w:themeColor="accent5" w:themeTint="90"/>
        <w:insideH w:val="single" w:sz="4" w:space="0" w:color="D7EDFA" w:themeColor="accent5" w:themeTint="90"/>
      </w:tblBorders>
    </w:tblPr>
    <w:tblStylePr w:type="firstRow">
      <w:rPr>
        <w:rFonts w:ascii="Arial" w:hAnsi="Arial"/>
        <w:b/>
        <w:color w:val="FFFFFF"/>
        <w:sz w:val="22"/>
      </w:rPr>
      <w:tblPr/>
      <w:tcPr>
        <w:shd w:val="clear" w:color="FFFFFF" w:fill="B9E0F7"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DF7FD" w:themeFill="accent5" w:themeFillTint="40"/>
      </w:tcPr>
    </w:tblStylePr>
    <w:tblStylePr w:type="band1Horz">
      <w:rPr>
        <w:rFonts w:ascii="Arial" w:hAnsi="Arial"/>
        <w:color w:val="404040"/>
        <w:sz w:val="22"/>
      </w:rPr>
      <w:tblPr/>
      <w:tcPr>
        <w:shd w:val="clear" w:color="FFFFFF" w:fill="EDF7FD" w:themeFill="accent5" w:themeFillTint="40"/>
      </w:tcPr>
    </w:tblStylePr>
  </w:style>
  <w:style w:type="table" w:customStyle="1" w:styleId="Tabulkaseznamu4zvraznn61">
    <w:name w:val="Tabulka seznamu 4 – zvýraznění 61"/>
    <w:basedOn w:val="Normlntabulka"/>
    <w:uiPriority w:val="99"/>
    <w:pPr>
      <w:spacing w:after="0" w:line="240" w:lineRule="auto"/>
    </w:pPr>
    <w:tblPr>
      <w:tblStyleRowBandSize w:val="1"/>
      <w:tblStyleColBandSize w:val="1"/>
      <w:tblBorders>
        <w:top w:val="single" w:sz="4" w:space="0" w:color="78D5F4" w:themeColor="accent6" w:themeTint="90"/>
        <w:left w:val="single" w:sz="4" w:space="0" w:color="78D5F4" w:themeColor="accent6" w:themeTint="90"/>
        <w:bottom w:val="single" w:sz="4" w:space="0" w:color="78D5F4" w:themeColor="accent6" w:themeTint="90"/>
        <w:right w:val="single" w:sz="4" w:space="0" w:color="78D5F4" w:themeColor="accent6" w:themeTint="90"/>
        <w:insideH w:val="single" w:sz="4" w:space="0" w:color="78D5F4" w:themeColor="accent6" w:themeTint="90"/>
      </w:tblBorders>
    </w:tblPr>
    <w:tblStylePr w:type="firstRow">
      <w:rPr>
        <w:rFonts w:ascii="Arial" w:hAnsi="Arial"/>
        <w:b/>
        <w:color w:val="FFFFFF"/>
        <w:sz w:val="22"/>
      </w:rPr>
      <w:tblPr/>
      <w:tcPr>
        <w:shd w:val="clear" w:color="FFFFFF" w:fill="13B5EA"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3ECFA" w:themeFill="accent6" w:themeFillTint="40"/>
      </w:tcPr>
    </w:tblStylePr>
    <w:tblStylePr w:type="band1Horz">
      <w:rPr>
        <w:rFonts w:ascii="Arial" w:hAnsi="Arial"/>
        <w:color w:val="404040"/>
        <w:sz w:val="22"/>
      </w:rPr>
      <w:tblPr/>
      <w:tcPr>
        <w:shd w:val="clear" w:color="FFFFFF" w:fill="C3ECFA" w:themeFill="accent6" w:themeFillTint="40"/>
      </w:tcPr>
    </w:tblStylePr>
  </w:style>
  <w:style w:type="table" w:styleId="Tmavtabulkaseznamu5">
    <w:name w:val="List Table 5 Dark"/>
    <w:basedOn w:val="Normlntabulka"/>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Tmavtabulkaseznamu5zvraznn11">
    <w:name w:val="Tmavá tabulka seznamu 5 – zvýraznění 11"/>
    <w:basedOn w:val="Normlntabulka"/>
    <w:uiPriority w:val="99"/>
    <w:pPr>
      <w:spacing w:after="0" w:line="240" w:lineRule="auto"/>
    </w:pPr>
    <w:tblPr>
      <w:tblStyleRowBandSize w:val="1"/>
      <w:tblStyleColBandSize w:val="1"/>
      <w:tblBorders>
        <w:top w:val="single" w:sz="32" w:space="0" w:color="E31B23" w:themeColor="accent1"/>
        <w:left w:val="single" w:sz="32" w:space="0" w:color="E31B23" w:themeColor="accent1"/>
        <w:bottom w:val="single" w:sz="32" w:space="0" w:color="E31B23" w:themeColor="accent1"/>
        <w:right w:val="single" w:sz="32" w:space="0" w:color="E31B23" w:themeColor="accent1"/>
      </w:tblBorders>
      <w:shd w:val="clear" w:color="FFFFFF" w:fill="E31B23" w:themeFill="accent1"/>
    </w:tblPr>
    <w:tblStylePr w:type="firstRow">
      <w:rPr>
        <w:rFonts w:ascii="Arial" w:hAnsi="Arial"/>
        <w:b/>
        <w:color w:val="FFFFFF" w:themeColor="light1"/>
        <w:sz w:val="22"/>
      </w:rPr>
      <w:tblPr/>
      <w:tcPr>
        <w:tcBorders>
          <w:top w:val="single" w:sz="32" w:space="0" w:color="E31B23" w:themeColor="accent1"/>
          <w:bottom w:val="single" w:sz="12" w:space="0" w:color="FFFFFF" w:themeColor="light1"/>
        </w:tcBorders>
        <w:shd w:val="clear" w:color="FFFFFF" w:fill="E31B23"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31B23" w:themeColor="accent1"/>
          <w:right w:val="single" w:sz="4" w:space="0" w:color="FFFFFF" w:themeColor="light1"/>
        </w:tcBorders>
      </w:tcPr>
    </w:tblStylePr>
    <w:tblStylePr w:type="lastCol">
      <w:tblPr/>
      <w:tcPr>
        <w:tcBorders>
          <w:left w:val="single" w:sz="4" w:space="0" w:color="FFFFFF" w:themeColor="light1"/>
          <w:right w:val="single" w:sz="32" w:space="0" w:color="E31B23" w:themeColor="accent1"/>
        </w:tcBorders>
      </w:tcPr>
    </w:tblStylePr>
    <w:tblStylePr w:type="band1Vert">
      <w:tblPr/>
      <w:tcPr>
        <w:tcBorders>
          <w:left w:val="single" w:sz="4" w:space="0" w:color="FFFFFF" w:themeColor="light1"/>
          <w:right w:val="single" w:sz="4" w:space="0" w:color="FFFFFF" w:themeColor="light1"/>
        </w:tcBorders>
        <w:shd w:val="clear" w:color="FFFFFF" w:fill="E31B23"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31B23" w:themeFill="accent1"/>
      </w:tcPr>
    </w:tblStylePr>
    <w:tblStylePr w:type="band2Horz">
      <w:tblPr/>
      <w:tcPr>
        <w:tcBorders>
          <w:top w:val="single" w:sz="4" w:space="0" w:color="FFFFFF" w:themeColor="light1"/>
          <w:bottom w:val="single" w:sz="4" w:space="0" w:color="FFFFFF" w:themeColor="light1"/>
        </w:tcBorders>
        <w:shd w:val="clear" w:color="FFFFFF" w:fill="E31B23" w:themeFill="accent1"/>
      </w:tcPr>
    </w:tblStylePr>
  </w:style>
  <w:style w:type="table" w:customStyle="1" w:styleId="Tmavtabulkaseznamu5zvraznn21">
    <w:name w:val="Tmavá tabulka seznamu 5 – zvýraznění 21"/>
    <w:basedOn w:val="Normlntabulka"/>
    <w:uiPriority w:val="99"/>
    <w:pPr>
      <w:spacing w:after="0" w:line="240" w:lineRule="auto"/>
    </w:pPr>
    <w:tblPr>
      <w:tblStyleRowBandSize w:val="1"/>
      <w:tblStyleColBandSize w:val="1"/>
      <w:tblBorders>
        <w:top w:val="single" w:sz="32" w:space="0" w:color="2498FF" w:themeColor="accent2" w:themeTint="97"/>
        <w:left w:val="single" w:sz="32" w:space="0" w:color="2498FF" w:themeColor="accent2" w:themeTint="97"/>
        <w:bottom w:val="single" w:sz="32" w:space="0" w:color="2498FF" w:themeColor="accent2" w:themeTint="97"/>
        <w:right w:val="single" w:sz="32" w:space="0" w:color="2498FF" w:themeColor="accent2" w:themeTint="97"/>
      </w:tblBorders>
      <w:shd w:val="clear" w:color="FFFFFF" w:fill="2498FF" w:themeFill="accent2" w:themeFillTint="97"/>
    </w:tblPr>
    <w:tblStylePr w:type="firstRow">
      <w:rPr>
        <w:rFonts w:ascii="Arial" w:hAnsi="Arial"/>
        <w:b/>
        <w:color w:val="FFFFFF" w:themeColor="light1"/>
        <w:sz w:val="22"/>
      </w:rPr>
      <w:tblPr/>
      <w:tcPr>
        <w:tcBorders>
          <w:top w:val="single" w:sz="32" w:space="0" w:color="2498FF" w:themeColor="accent2" w:themeTint="97"/>
          <w:bottom w:val="single" w:sz="12" w:space="0" w:color="FFFFFF" w:themeColor="light1"/>
        </w:tcBorders>
        <w:shd w:val="clear" w:color="FFFFFF" w:fill="2498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2498FF" w:themeColor="accent2" w:themeTint="97"/>
          <w:right w:val="single" w:sz="4" w:space="0" w:color="FFFFFF" w:themeColor="light1"/>
        </w:tcBorders>
      </w:tcPr>
    </w:tblStylePr>
    <w:tblStylePr w:type="lastCol">
      <w:tblPr/>
      <w:tcPr>
        <w:tcBorders>
          <w:left w:val="single" w:sz="4" w:space="0" w:color="FFFFFF" w:themeColor="light1"/>
          <w:right w:val="single" w:sz="32" w:space="0" w:color="2498FF"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2498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2498FF" w:themeFill="accent2" w:themeFillTint="97"/>
      </w:tcPr>
    </w:tblStylePr>
    <w:tblStylePr w:type="band2Horz">
      <w:tblPr/>
      <w:tcPr>
        <w:tcBorders>
          <w:top w:val="single" w:sz="4" w:space="0" w:color="FFFFFF" w:themeColor="light1"/>
          <w:bottom w:val="single" w:sz="4" w:space="0" w:color="FFFFFF" w:themeColor="light1"/>
        </w:tcBorders>
        <w:shd w:val="clear" w:color="FFFFFF" w:fill="2498FF" w:themeFill="accent2" w:themeFillTint="97"/>
      </w:tcPr>
    </w:tblStylePr>
  </w:style>
  <w:style w:type="table" w:customStyle="1" w:styleId="Tmavtabulkaseznamu5zvraznn31">
    <w:name w:val="Tmavá tabulka seznamu 5 – zvýraznění 31"/>
    <w:basedOn w:val="Normlntabulka"/>
    <w:uiPriority w:val="99"/>
    <w:pPr>
      <w:spacing w:after="0" w:line="240" w:lineRule="auto"/>
    </w:pPr>
    <w:tblPr>
      <w:tblStyleRowBandSize w:val="1"/>
      <w:tblStyleColBandSize w:val="1"/>
      <w:tblBorders>
        <w:top w:val="single" w:sz="32" w:space="0" w:color="4EC9FF" w:themeColor="accent3" w:themeTint="98"/>
        <w:left w:val="single" w:sz="32" w:space="0" w:color="4EC9FF" w:themeColor="accent3" w:themeTint="98"/>
        <w:bottom w:val="single" w:sz="32" w:space="0" w:color="4EC9FF" w:themeColor="accent3" w:themeTint="98"/>
        <w:right w:val="single" w:sz="32" w:space="0" w:color="4EC9FF" w:themeColor="accent3" w:themeTint="98"/>
      </w:tblBorders>
      <w:shd w:val="clear" w:color="FFFFFF" w:fill="4EC9FF" w:themeFill="accent3" w:themeFillTint="98"/>
    </w:tblPr>
    <w:tblStylePr w:type="firstRow">
      <w:rPr>
        <w:rFonts w:ascii="Arial" w:hAnsi="Arial"/>
        <w:b/>
        <w:color w:val="FFFFFF" w:themeColor="light1"/>
        <w:sz w:val="22"/>
      </w:rPr>
      <w:tblPr/>
      <w:tcPr>
        <w:tcBorders>
          <w:top w:val="single" w:sz="32" w:space="0" w:color="4EC9FF" w:themeColor="accent3" w:themeTint="98"/>
          <w:bottom w:val="single" w:sz="12" w:space="0" w:color="FFFFFF" w:themeColor="light1"/>
        </w:tcBorders>
        <w:shd w:val="clear" w:color="FFFFFF" w:fill="4EC9FF"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EC9FF" w:themeColor="accent3" w:themeTint="98"/>
          <w:right w:val="single" w:sz="4" w:space="0" w:color="FFFFFF" w:themeColor="light1"/>
        </w:tcBorders>
      </w:tcPr>
    </w:tblStylePr>
    <w:tblStylePr w:type="lastCol">
      <w:tblPr/>
      <w:tcPr>
        <w:tcBorders>
          <w:left w:val="single" w:sz="4" w:space="0" w:color="FFFFFF" w:themeColor="light1"/>
          <w:right w:val="single" w:sz="32" w:space="0" w:color="4EC9FF"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4EC9FF"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EC9FF" w:themeFill="accent3" w:themeFillTint="98"/>
      </w:tcPr>
    </w:tblStylePr>
    <w:tblStylePr w:type="band2Horz">
      <w:tblPr/>
      <w:tcPr>
        <w:tcBorders>
          <w:top w:val="single" w:sz="4" w:space="0" w:color="FFFFFF" w:themeColor="light1"/>
          <w:bottom w:val="single" w:sz="4" w:space="0" w:color="FFFFFF" w:themeColor="light1"/>
        </w:tcBorders>
        <w:shd w:val="clear" w:color="FFFFFF" w:fill="4EC9FF" w:themeFill="accent3" w:themeFillTint="98"/>
      </w:tcPr>
    </w:tblStylePr>
  </w:style>
  <w:style w:type="table" w:customStyle="1" w:styleId="Tmavtabulkaseznamu5zvraznn41">
    <w:name w:val="Tmavá tabulka seznamu 5 – zvýraznění 41"/>
    <w:basedOn w:val="Normlntabulka"/>
    <w:uiPriority w:val="99"/>
    <w:pPr>
      <w:spacing w:after="0" w:line="240" w:lineRule="auto"/>
    </w:pPr>
    <w:tblPr>
      <w:tblStyleRowBandSize w:val="1"/>
      <w:tblStyleColBandSize w:val="1"/>
      <w:tblBorders>
        <w:top w:val="single" w:sz="32" w:space="0" w:color="EE545C" w:themeColor="accent4" w:themeTint="9A"/>
        <w:left w:val="single" w:sz="32" w:space="0" w:color="EE545C" w:themeColor="accent4" w:themeTint="9A"/>
        <w:bottom w:val="single" w:sz="32" w:space="0" w:color="EE545C" w:themeColor="accent4" w:themeTint="9A"/>
        <w:right w:val="single" w:sz="32" w:space="0" w:color="EE545C" w:themeColor="accent4" w:themeTint="9A"/>
      </w:tblBorders>
      <w:shd w:val="clear" w:color="FFFFFF" w:fill="EE545C" w:themeFill="accent4" w:themeFillTint="9A"/>
    </w:tblPr>
    <w:tblStylePr w:type="firstRow">
      <w:rPr>
        <w:rFonts w:ascii="Arial" w:hAnsi="Arial"/>
        <w:b/>
        <w:color w:val="FFFFFF" w:themeColor="light1"/>
        <w:sz w:val="22"/>
      </w:rPr>
      <w:tblPr/>
      <w:tcPr>
        <w:tcBorders>
          <w:top w:val="single" w:sz="32" w:space="0" w:color="EE545C" w:themeColor="accent4" w:themeTint="9A"/>
          <w:bottom w:val="single" w:sz="12" w:space="0" w:color="FFFFFF" w:themeColor="light1"/>
        </w:tcBorders>
        <w:shd w:val="clear" w:color="FFFFFF" w:fill="EE545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545C" w:themeColor="accent4" w:themeTint="9A"/>
          <w:right w:val="single" w:sz="4" w:space="0" w:color="FFFFFF" w:themeColor="light1"/>
        </w:tcBorders>
      </w:tcPr>
    </w:tblStylePr>
    <w:tblStylePr w:type="lastCol">
      <w:tblPr/>
      <w:tcPr>
        <w:tcBorders>
          <w:left w:val="single" w:sz="4" w:space="0" w:color="FFFFFF" w:themeColor="light1"/>
          <w:right w:val="single" w:sz="32" w:space="0" w:color="EE545C"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EE545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E545C" w:themeFill="accent4" w:themeFillTint="9A"/>
      </w:tcPr>
    </w:tblStylePr>
    <w:tblStylePr w:type="band2Horz">
      <w:tblPr/>
      <w:tcPr>
        <w:tcBorders>
          <w:top w:val="single" w:sz="4" w:space="0" w:color="FFFFFF" w:themeColor="light1"/>
          <w:bottom w:val="single" w:sz="4" w:space="0" w:color="FFFFFF" w:themeColor="light1"/>
        </w:tcBorders>
        <w:shd w:val="clear" w:color="FFFFFF" w:fill="EE545C" w:themeFill="accent4" w:themeFillTint="9A"/>
      </w:tcPr>
    </w:tblStylePr>
  </w:style>
  <w:style w:type="table" w:customStyle="1" w:styleId="Tmavtabulkaseznamu5zvraznn51">
    <w:name w:val="Tmavá tabulka seznamu 5 – zvýraznění 51"/>
    <w:basedOn w:val="Normlntabulka"/>
    <w:uiPriority w:val="99"/>
    <w:pPr>
      <w:spacing w:after="0" w:line="240" w:lineRule="auto"/>
    </w:pPr>
    <w:tblPr>
      <w:tblStyleRowBandSize w:val="1"/>
      <w:tblStyleColBandSize w:val="1"/>
      <w:tblBorders>
        <w:top w:val="single" w:sz="32" w:space="0" w:color="D4ECFA" w:themeColor="accent5" w:themeTint="9A"/>
        <w:left w:val="single" w:sz="32" w:space="0" w:color="D4ECFA" w:themeColor="accent5" w:themeTint="9A"/>
        <w:bottom w:val="single" w:sz="32" w:space="0" w:color="D4ECFA" w:themeColor="accent5" w:themeTint="9A"/>
        <w:right w:val="single" w:sz="32" w:space="0" w:color="D4ECFA" w:themeColor="accent5" w:themeTint="9A"/>
      </w:tblBorders>
      <w:shd w:val="clear" w:color="FFFFFF" w:fill="D4ECFA" w:themeFill="accent5" w:themeFillTint="9A"/>
    </w:tblPr>
    <w:tblStylePr w:type="firstRow">
      <w:rPr>
        <w:rFonts w:ascii="Arial" w:hAnsi="Arial"/>
        <w:b/>
        <w:color w:val="FFFFFF" w:themeColor="light1"/>
        <w:sz w:val="22"/>
      </w:rPr>
      <w:tblPr/>
      <w:tcPr>
        <w:tcBorders>
          <w:top w:val="single" w:sz="32" w:space="0" w:color="D4ECFA" w:themeColor="accent5" w:themeTint="9A"/>
          <w:bottom w:val="single" w:sz="12" w:space="0" w:color="FFFFFF" w:themeColor="light1"/>
        </w:tcBorders>
        <w:shd w:val="clear" w:color="FFFFFF" w:fill="D4ECFA"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4ECFA" w:themeColor="accent5" w:themeTint="9A"/>
          <w:right w:val="single" w:sz="4" w:space="0" w:color="FFFFFF" w:themeColor="light1"/>
        </w:tcBorders>
      </w:tcPr>
    </w:tblStylePr>
    <w:tblStylePr w:type="lastCol">
      <w:tblPr/>
      <w:tcPr>
        <w:tcBorders>
          <w:left w:val="single" w:sz="4" w:space="0" w:color="FFFFFF" w:themeColor="light1"/>
          <w:right w:val="single" w:sz="32" w:space="0" w:color="D4ECFA"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D4ECFA"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4ECFA" w:themeFill="accent5" w:themeFillTint="9A"/>
      </w:tcPr>
    </w:tblStylePr>
    <w:tblStylePr w:type="band2Horz">
      <w:tblPr/>
      <w:tcPr>
        <w:tcBorders>
          <w:top w:val="single" w:sz="4" w:space="0" w:color="FFFFFF" w:themeColor="light1"/>
          <w:bottom w:val="single" w:sz="4" w:space="0" w:color="FFFFFF" w:themeColor="light1"/>
        </w:tcBorders>
        <w:shd w:val="clear" w:color="FFFFFF" w:fill="D4ECFA" w:themeFill="accent5" w:themeFillTint="9A"/>
      </w:tcPr>
    </w:tblStylePr>
  </w:style>
  <w:style w:type="table" w:customStyle="1" w:styleId="Tmavtabulkaseznamu5zvraznn61">
    <w:name w:val="Tmavá tabulka seznamu 5 – zvýraznění 61"/>
    <w:basedOn w:val="Normlntabulka"/>
    <w:uiPriority w:val="99"/>
    <w:pPr>
      <w:spacing w:after="0" w:line="240" w:lineRule="auto"/>
    </w:pPr>
    <w:tblPr>
      <w:tblStyleRowBandSize w:val="1"/>
      <w:tblStyleColBandSize w:val="1"/>
      <w:tblBorders>
        <w:top w:val="single" w:sz="32" w:space="0" w:color="71D3F3" w:themeColor="accent6" w:themeTint="98"/>
        <w:left w:val="single" w:sz="32" w:space="0" w:color="71D3F3" w:themeColor="accent6" w:themeTint="98"/>
        <w:bottom w:val="single" w:sz="32" w:space="0" w:color="71D3F3" w:themeColor="accent6" w:themeTint="98"/>
        <w:right w:val="single" w:sz="32" w:space="0" w:color="71D3F3" w:themeColor="accent6" w:themeTint="98"/>
      </w:tblBorders>
      <w:shd w:val="clear" w:color="FFFFFF" w:fill="71D3F3" w:themeFill="accent6" w:themeFillTint="98"/>
    </w:tblPr>
    <w:tblStylePr w:type="firstRow">
      <w:rPr>
        <w:rFonts w:ascii="Arial" w:hAnsi="Arial"/>
        <w:b/>
        <w:color w:val="FFFFFF" w:themeColor="light1"/>
        <w:sz w:val="22"/>
      </w:rPr>
      <w:tblPr/>
      <w:tcPr>
        <w:tcBorders>
          <w:top w:val="single" w:sz="32" w:space="0" w:color="71D3F3" w:themeColor="accent6" w:themeTint="98"/>
          <w:bottom w:val="single" w:sz="12" w:space="0" w:color="FFFFFF" w:themeColor="light1"/>
        </w:tcBorders>
        <w:shd w:val="clear" w:color="FFFFFF" w:fill="71D3F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1D3F3" w:themeColor="accent6" w:themeTint="98"/>
          <w:right w:val="single" w:sz="4" w:space="0" w:color="FFFFFF" w:themeColor="light1"/>
        </w:tcBorders>
      </w:tcPr>
    </w:tblStylePr>
    <w:tblStylePr w:type="lastCol">
      <w:tblPr/>
      <w:tcPr>
        <w:tcBorders>
          <w:left w:val="single" w:sz="4" w:space="0" w:color="FFFFFF" w:themeColor="light1"/>
          <w:right w:val="single" w:sz="32" w:space="0" w:color="71D3F3"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71D3F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1D3F3" w:themeFill="accent6" w:themeFillTint="98"/>
      </w:tcPr>
    </w:tblStylePr>
    <w:tblStylePr w:type="band2Horz">
      <w:tblPr/>
      <w:tcPr>
        <w:tcBorders>
          <w:top w:val="single" w:sz="4" w:space="0" w:color="FFFFFF" w:themeColor="light1"/>
          <w:bottom w:val="single" w:sz="4" w:space="0" w:color="FFFFFF" w:themeColor="light1"/>
        </w:tcBorders>
        <w:shd w:val="clear" w:color="FFFFFF" w:fill="71D3F3" w:themeFill="accent6" w:themeFillTint="98"/>
      </w:tcPr>
    </w:tblStylePr>
  </w:style>
  <w:style w:type="table" w:styleId="Barevntabulkaseznamu6">
    <w:name w:val="List Table 6 Colorful"/>
    <w:basedOn w:val="Normlntabulka"/>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Barevntabulkaseznamu6zvraznn11">
    <w:name w:val="Barevná tabulka seznamu 6 – zvýraznění 11"/>
    <w:basedOn w:val="Normlntabulka"/>
    <w:uiPriority w:val="99"/>
    <w:pPr>
      <w:spacing w:after="0" w:line="240" w:lineRule="auto"/>
    </w:pPr>
    <w:tblPr>
      <w:tblStyleRowBandSize w:val="1"/>
      <w:tblStyleColBandSize w:val="1"/>
      <w:tblBorders>
        <w:top w:val="single" w:sz="4" w:space="0" w:color="E31B23" w:themeColor="accent1"/>
        <w:bottom w:val="single" w:sz="4" w:space="0" w:color="E31B23" w:themeColor="accent1"/>
      </w:tblBorders>
    </w:tblPr>
    <w:tblStylePr w:type="firstRow">
      <w:rPr>
        <w:b/>
        <w:color w:val="840F14" w:themeColor="accent1" w:themeShade="95"/>
      </w:rPr>
      <w:tblPr/>
      <w:tcPr>
        <w:tcBorders>
          <w:bottom w:val="single" w:sz="4" w:space="0" w:color="E31B23" w:themeColor="accent1"/>
        </w:tcBorders>
      </w:tcPr>
    </w:tblStylePr>
    <w:tblStylePr w:type="lastRow">
      <w:rPr>
        <w:b/>
        <w:color w:val="840F14" w:themeColor="accent1" w:themeShade="95"/>
      </w:rPr>
      <w:tblPr/>
      <w:tcPr>
        <w:tcBorders>
          <w:top w:val="single" w:sz="4" w:space="0" w:color="E31B23" w:themeColor="accent1"/>
        </w:tcBorders>
      </w:tcPr>
    </w:tblStylePr>
    <w:tblStylePr w:type="firstCol">
      <w:rPr>
        <w:b/>
        <w:color w:val="840F14" w:themeColor="accent1" w:themeShade="95"/>
      </w:rPr>
    </w:tblStylePr>
    <w:tblStylePr w:type="lastCol">
      <w:rPr>
        <w:b/>
        <w:color w:val="840F14" w:themeColor="accent1" w:themeShade="95"/>
      </w:rPr>
    </w:tblStylePr>
    <w:tblStylePr w:type="band1Vert">
      <w:tblPr/>
      <w:tcPr>
        <w:shd w:val="clear" w:color="FFFFFF" w:fill="F8C5C7" w:themeFill="accent1" w:themeFillTint="40"/>
      </w:tcPr>
    </w:tblStylePr>
    <w:tblStylePr w:type="band1Horz">
      <w:rPr>
        <w:rFonts w:ascii="Arial" w:hAnsi="Arial"/>
        <w:color w:val="840F14" w:themeColor="accent1" w:themeShade="95"/>
        <w:sz w:val="22"/>
      </w:rPr>
      <w:tblPr/>
      <w:tcPr>
        <w:shd w:val="clear" w:color="FFFFFF" w:fill="F8C5C7" w:themeFill="accent1" w:themeFillTint="40"/>
      </w:tcPr>
    </w:tblStylePr>
    <w:tblStylePr w:type="band2Horz">
      <w:rPr>
        <w:rFonts w:ascii="Arial" w:hAnsi="Arial"/>
        <w:color w:val="840F14" w:themeColor="accent1" w:themeShade="95"/>
        <w:sz w:val="22"/>
      </w:rPr>
    </w:tblStylePr>
  </w:style>
  <w:style w:type="table" w:customStyle="1" w:styleId="Barevntabulkaseznamu6zvraznn21">
    <w:name w:val="Barevná tabulka seznamu 6 – zvýraznění 21"/>
    <w:basedOn w:val="Normlntabulka"/>
    <w:uiPriority w:val="99"/>
    <w:pPr>
      <w:spacing w:after="0" w:line="240" w:lineRule="auto"/>
    </w:pPr>
    <w:tblPr>
      <w:tblStyleRowBandSize w:val="1"/>
      <w:tblStyleColBandSize w:val="1"/>
      <w:tblBorders>
        <w:top w:val="single" w:sz="4" w:space="0" w:color="2498FF" w:themeColor="accent2" w:themeTint="97"/>
        <w:bottom w:val="single" w:sz="4" w:space="0" w:color="2498FF" w:themeColor="accent2" w:themeTint="97"/>
      </w:tblBorders>
    </w:tblPr>
    <w:tblStylePr w:type="firstRow">
      <w:rPr>
        <w:b/>
        <w:color w:val="2498FF" w:themeColor="accent2" w:themeTint="97" w:themeShade="95"/>
      </w:rPr>
      <w:tblPr/>
      <w:tcPr>
        <w:tcBorders>
          <w:bottom w:val="single" w:sz="4" w:space="0" w:color="2498FF" w:themeColor="accent2" w:themeTint="97"/>
        </w:tcBorders>
      </w:tcPr>
    </w:tblStylePr>
    <w:tblStylePr w:type="lastRow">
      <w:rPr>
        <w:b/>
        <w:color w:val="2498FF" w:themeColor="accent2" w:themeTint="97" w:themeShade="95"/>
      </w:rPr>
      <w:tblPr/>
      <w:tcPr>
        <w:tcBorders>
          <w:top w:val="single" w:sz="4" w:space="0" w:color="2498FF" w:themeColor="accent2" w:themeTint="97"/>
        </w:tcBorders>
      </w:tcPr>
    </w:tblStylePr>
    <w:tblStylePr w:type="firstCol">
      <w:rPr>
        <w:b/>
        <w:color w:val="2498FF" w:themeColor="accent2" w:themeTint="97" w:themeShade="95"/>
      </w:rPr>
    </w:tblStylePr>
    <w:tblStylePr w:type="lastCol">
      <w:rPr>
        <w:b/>
        <w:color w:val="2498FF" w:themeColor="accent2" w:themeTint="97" w:themeShade="95"/>
      </w:rPr>
    </w:tblStylePr>
    <w:tblStylePr w:type="band1Vert">
      <w:tblPr/>
      <w:tcPr>
        <w:shd w:val="clear" w:color="FFFFFF" w:fill="A2D3FF" w:themeFill="accent2" w:themeFillTint="40"/>
      </w:tcPr>
    </w:tblStylePr>
    <w:tblStylePr w:type="band1Horz">
      <w:rPr>
        <w:rFonts w:ascii="Arial" w:hAnsi="Arial"/>
        <w:color w:val="2498FF" w:themeColor="accent2" w:themeTint="97" w:themeShade="95"/>
        <w:sz w:val="22"/>
      </w:rPr>
      <w:tblPr/>
      <w:tcPr>
        <w:shd w:val="clear" w:color="FFFFFF" w:fill="A2D3FF" w:themeFill="accent2" w:themeFillTint="40"/>
      </w:tcPr>
    </w:tblStylePr>
    <w:tblStylePr w:type="band2Horz">
      <w:rPr>
        <w:rFonts w:ascii="Arial" w:hAnsi="Arial"/>
        <w:color w:val="2498FF" w:themeColor="accent2" w:themeTint="97" w:themeShade="95"/>
        <w:sz w:val="22"/>
      </w:rPr>
    </w:tblStylePr>
  </w:style>
  <w:style w:type="table" w:customStyle="1" w:styleId="Barevntabulkaseznamu6zvraznn31">
    <w:name w:val="Barevná tabulka seznamu 6 – zvýraznění 31"/>
    <w:basedOn w:val="Normlntabulka"/>
    <w:uiPriority w:val="99"/>
    <w:pPr>
      <w:spacing w:after="0" w:line="240" w:lineRule="auto"/>
    </w:pPr>
    <w:tblPr>
      <w:tblStyleRowBandSize w:val="1"/>
      <w:tblStyleColBandSize w:val="1"/>
      <w:tblBorders>
        <w:top w:val="single" w:sz="4" w:space="0" w:color="4EC9FF" w:themeColor="accent3" w:themeTint="98"/>
        <w:bottom w:val="single" w:sz="4" w:space="0" w:color="4EC9FF" w:themeColor="accent3" w:themeTint="98"/>
      </w:tblBorders>
    </w:tblPr>
    <w:tblStylePr w:type="firstRow">
      <w:rPr>
        <w:b/>
        <w:color w:val="4EC9FF" w:themeColor="accent3" w:themeTint="98" w:themeShade="95"/>
      </w:rPr>
      <w:tblPr/>
      <w:tcPr>
        <w:tcBorders>
          <w:bottom w:val="single" w:sz="4" w:space="0" w:color="4EC9FF" w:themeColor="accent3" w:themeTint="98"/>
        </w:tcBorders>
      </w:tcPr>
    </w:tblStylePr>
    <w:tblStylePr w:type="lastRow">
      <w:rPr>
        <w:b/>
        <w:color w:val="4EC9FF" w:themeColor="accent3" w:themeTint="98" w:themeShade="95"/>
      </w:rPr>
      <w:tblPr/>
      <w:tcPr>
        <w:tcBorders>
          <w:top w:val="single" w:sz="4" w:space="0" w:color="4EC9FF" w:themeColor="accent3" w:themeTint="98"/>
        </w:tcBorders>
      </w:tcPr>
    </w:tblStylePr>
    <w:tblStylePr w:type="firstCol">
      <w:rPr>
        <w:b/>
        <w:color w:val="4EC9FF" w:themeColor="accent3" w:themeTint="98" w:themeShade="95"/>
      </w:rPr>
    </w:tblStylePr>
    <w:tblStylePr w:type="lastCol">
      <w:rPr>
        <w:b/>
        <w:color w:val="4EC9FF" w:themeColor="accent3" w:themeTint="98" w:themeShade="95"/>
      </w:rPr>
    </w:tblStylePr>
    <w:tblStylePr w:type="band1Vert">
      <w:tblPr/>
      <w:tcPr>
        <w:shd w:val="clear" w:color="FFFFFF" w:fill="B4E8FF" w:themeFill="accent3" w:themeFillTint="40"/>
      </w:tcPr>
    </w:tblStylePr>
    <w:tblStylePr w:type="band1Horz">
      <w:rPr>
        <w:rFonts w:ascii="Arial" w:hAnsi="Arial"/>
        <w:color w:val="4EC9FF" w:themeColor="accent3" w:themeTint="98" w:themeShade="95"/>
        <w:sz w:val="22"/>
      </w:rPr>
      <w:tblPr/>
      <w:tcPr>
        <w:shd w:val="clear" w:color="FFFFFF" w:fill="B4E8FF" w:themeFill="accent3" w:themeFillTint="40"/>
      </w:tcPr>
    </w:tblStylePr>
    <w:tblStylePr w:type="band2Horz">
      <w:rPr>
        <w:rFonts w:ascii="Arial" w:hAnsi="Arial"/>
        <w:color w:val="4EC9FF" w:themeColor="accent3" w:themeTint="98" w:themeShade="95"/>
        <w:sz w:val="22"/>
      </w:rPr>
    </w:tblStylePr>
  </w:style>
  <w:style w:type="table" w:customStyle="1" w:styleId="Barevntabulkaseznamu6zvraznn41">
    <w:name w:val="Barevná tabulka seznamu 6 – zvýraznění 41"/>
    <w:basedOn w:val="Normlntabulka"/>
    <w:uiPriority w:val="99"/>
    <w:pPr>
      <w:spacing w:after="0" w:line="240" w:lineRule="auto"/>
    </w:pPr>
    <w:tblPr>
      <w:tblStyleRowBandSize w:val="1"/>
      <w:tblStyleColBandSize w:val="1"/>
      <w:tblBorders>
        <w:top w:val="single" w:sz="4" w:space="0" w:color="EE545C" w:themeColor="accent4" w:themeTint="9A"/>
        <w:bottom w:val="single" w:sz="4" w:space="0" w:color="EE545C" w:themeColor="accent4" w:themeTint="9A"/>
      </w:tblBorders>
    </w:tblPr>
    <w:tblStylePr w:type="firstRow">
      <w:rPr>
        <w:b/>
        <w:color w:val="EE545C" w:themeColor="accent4" w:themeTint="9A" w:themeShade="95"/>
      </w:rPr>
      <w:tblPr/>
      <w:tcPr>
        <w:tcBorders>
          <w:bottom w:val="single" w:sz="4" w:space="0" w:color="EE545C" w:themeColor="accent4" w:themeTint="9A"/>
        </w:tcBorders>
      </w:tcPr>
    </w:tblStylePr>
    <w:tblStylePr w:type="lastRow">
      <w:rPr>
        <w:b/>
        <w:color w:val="EE545C" w:themeColor="accent4" w:themeTint="9A" w:themeShade="95"/>
      </w:rPr>
      <w:tblPr/>
      <w:tcPr>
        <w:tcBorders>
          <w:top w:val="single" w:sz="4" w:space="0" w:color="EE545C" w:themeColor="accent4" w:themeTint="9A"/>
        </w:tcBorders>
      </w:tcPr>
    </w:tblStylePr>
    <w:tblStylePr w:type="firstCol">
      <w:rPr>
        <w:b/>
        <w:color w:val="EE545C" w:themeColor="accent4" w:themeTint="9A" w:themeShade="95"/>
      </w:rPr>
    </w:tblStylePr>
    <w:tblStylePr w:type="lastCol">
      <w:rPr>
        <w:b/>
        <w:color w:val="EE545C" w:themeColor="accent4" w:themeTint="9A" w:themeShade="95"/>
      </w:rPr>
    </w:tblStylePr>
    <w:tblStylePr w:type="band1Vert">
      <w:tblPr/>
      <w:tcPr>
        <w:shd w:val="clear" w:color="FFFFFF" w:fill="F8B7BB" w:themeFill="accent4" w:themeFillTint="40"/>
      </w:tcPr>
    </w:tblStylePr>
    <w:tblStylePr w:type="band1Horz">
      <w:rPr>
        <w:rFonts w:ascii="Arial" w:hAnsi="Arial"/>
        <w:color w:val="EE545C" w:themeColor="accent4" w:themeTint="9A" w:themeShade="95"/>
        <w:sz w:val="22"/>
      </w:rPr>
      <w:tblPr/>
      <w:tcPr>
        <w:shd w:val="clear" w:color="FFFFFF" w:fill="F8B7BB" w:themeFill="accent4" w:themeFillTint="40"/>
      </w:tcPr>
    </w:tblStylePr>
    <w:tblStylePr w:type="band2Horz">
      <w:rPr>
        <w:rFonts w:ascii="Arial" w:hAnsi="Arial"/>
        <w:color w:val="EE545C" w:themeColor="accent4" w:themeTint="9A" w:themeShade="95"/>
        <w:sz w:val="22"/>
      </w:rPr>
    </w:tblStylePr>
  </w:style>
  <w:style w:type="table" w:customStyle="1" w:styleId="Barevntabulkaseznamu6zvraznn51">
    <w:name w:val="Barevná tabulka seznamu 6 – zvýraznění 51"/>
    <w:basedOn w:val="Normlntabulka"/>
    <w:uiPriority w:val="99"/>
    <w:pPr>
      <w:spacing w:after="0" w:line="240" w:lineRule="auto"/>
    </w:pPr>
    <w:tblPr>
      <w:tblStyleRowBandSize w:val="1"/>
      <w:tblStyleColBandSize w:val="1"/>
      <w:tblBorders>
        <w:top w:val="single" w:sz="4" w:space="0" w:color="D4ECFA" w:themeColor="accent5" w:themeTint="9A"/>
        <w:bottom w:val="single" w:sz="4" w:space="0" w:color="D4ECFA" w:themeColor="accent5" w:themeTint="9A"/>
      </w:tblBorders>
    </w:tblPr>
    <w:tblStylePr w:type="firstRow">
      <w:rPr>
        <w:b/>
        <w:color w:val="D4ECFA" w:themeColor="accent5" w:themeTint="9A" w:themeShade="95"/>
      </w:rPr>
      <w:tblPr/>
      <w:tcPr>
        <w:tcBorders>
          <w:bottom w:val="single" w:sz="4" w:space="0" w:color="D4ECFA" w:themeColor="accent5" w:themeTint="9A"/>
        </w:tcBorders>
      </w:tcPr>
    </w:tblStylePr>
    <w:tblStylePr w:type="lastRow">
      <w:rPr>
        <w:b/>
        <w:color w:val="D4ECFA" w:themeColor="accent5" w:themeTint="9A" w:themeShade="95"/>
      </w:rPr>
      <w:tblPr/>
      <w:tcPr>
        <w:tcBorders>
          <w:top w:val="single" w:sz="4" w:space="0" w:color="D4ECFA" w:themeColor="accent5" w:themeTint="9A"/>
        </w:tcBorders>
      </w:tcPr>
    </w:tblStylePr>
    <w:tblStylePr w:type="firstCol">
      <w:rPr>
        <w:b/>
        <w:color w:val="D4ECFA" w:themeColor="accent5" w:themeTint="9A" w:themeShade="95"/>
      </w:rPr>
    </w:tblStylePr>
    <w:tblStylePr w:type="lastCol">
      <w:rPr>
        <w:b/>
        <w:color w:val="D4ECFA" w:themeColor="accent5" w:themeTint="9A" w:themeShade="95"/>
      </w:rPr>
    </w:tblStylePr>
    <w:tblStylePr w:type="band1Vert">
      <w:tblPr/>
      <w:tcPr>
        <w:shd w:val="clear" w:color="FFFFFF" w:fill="EDF7FD" w:themeFill="accent5" w:themeFillTint="40"/>
      </w:tcPr>
    </w:tblStylePr>
    <w:tblStylePr w:type="band1Horz">
      <w:rPr>
        <w:rFonts w:ascii="Arial" w:hAnsi="Arial"/>
        <w:color w:val="D4ECFA" w:themeColor="accent5" w:themeTint="9A" w:themeShade="95"/>
        <w:sz w:val="22"/>
      </w:rPr>
      <w:tblPr/>
      <w:tcPr>
        <w:shd w:val="clear" w:color="FFFFFF" w:fill="EDF7FD" w:themeFill="accent5" w:themeFillTint="40"/>
      </w:tcPr>
    </w:tblStylePr>
    <w:tblStylePr w:type="band2Horz">
      <w:rPr>
        <w:rFonts w:ascii="Arial" w:hAnsi="Arial"/>
        <w:color w:val="D4ECFA" w:themeColor="accent5" w:themeTint="9A" w:themeShade="95"/>
        <w:sz w:val="22"/>
      </w:rPr>
    </w:tblStylePr>
  </w:style>
  <w:style w:type="table" w:customStyle="1" w:styleId="Barevntabulkaseznamu6zvraznn61">
    <w:name w:val="Barevná tabulka seznamu 6 – zvýraznění 61"/>
    <w:basedOn w:val="Normlntabulka"/>
    <w:uiPriority w:val="99"/>
    <w:pPr>
      <w:spacing w:after="0" w:line="240" w:lineRule="auto"/>
    </w:pPr>
    <w:tblPr>
      <w:tblStyleRowBandSize w:val="1"/>
      <w:tblStyleColBandSize w:val="1"/>
      <w:tblBorders>
        <w:top w:val="single" w:sz="4" w:space="0" w:color="71D3F3" w:themeColor="accent6" w:themeTint="98"/>
        <w:bottom w:val="single" w:sz="4" w:space="0" w:color="71D3F3" w:themeColor="accent6" w:themeTint="98"/>
      </w:tblBorders>
    </w:tblPr>
    <w:tblStylePr w:type="firstRow">
      <w:rPr>
        <w:b/>
        <w:color w:val="71D3F3" w:themeColor="accent6" w:themeTint="98" w:themeShade="95"/>
      </w:rPr>
      <w:tblPr/>
      <w:tcPr>
        <w:tcBorders>
          <w:bottom w:val="single" w:sz="4" w:space="0" w:color="71D3F3" w:themeColor="accent6" w:themeTint="98"/>
        </w:tcBorders>
      </w:tcPr>
    </w:tblStylePr>
    <w:tblStylePr w:type="lastRow">
      <w:rPr>
        <w:b/>
        <w:color w:val="71D3F3" w:themeColor="accent6" w:themeTint="98" w:themeShade="95"/>
      </w:rPr>
      <w:tblPr/>
      <w:tcPr>
        <w:tcBorders>
          <w:top w:val="single" w:sz="4" w:space="0" w:color="71D3F3" w:themeColor="accent6" w:themeTint="98"/>
        </w:tcBorders>
      </w:tcPr>
    </w:tblStylePr>
    <w:tblStylePr w:type="firstCol">
      <w:rPr>
        <w:b/>
        <w:color w:val="71D3F3" w:themeColor="accent6" w:themeTint="98" w:themeShade="95"/>
      </w:rPr>
    </w:tblStylePr>
    <w:tblStylePr w:type="lastCol">
      <w:rPr>
        <w:b/>
        <w:color w:val="71D3F3" w:themeColor="accent6" w:themeTint="98" w:themeShade="95"/>
      </w:rPr>
    </w:tblStylePr>
    <w:tblStylePr w:type="band1Vert">
      <w:tblPr/>
      <w:tcPr>
        <w:shd w:val="clear" w:color="FFFFFF" w:fill="C3ECFA" w:themeFill="accent6" w:themeFillTint="40"/>
      </w:tcPr>
    </w:tblStylePr>
    <w:tblStylePr w:type="band1Horz">
      <w:rPr>
        <w:rFonts w:ascii="Arial" w:hAnsi="Arial"/>
        <w:color w:val="71D3F3" w:themeColor="accent6" w:themeTint="98" w:themeShade="95"/>
        <w:sz w:val="22"/>
      </w:rPr>
      <w:tblPr/>
      <w:tcPr>
        <w:shd w:val="clear" w:color="FFFFFF" w:fill="C3ECFA" w:themeFill="accent6" w:themeFillTint="40"/>
      </w:tcPr>
    </w:tblStylePr>
    <w:tblStylePr w:type="band2Horz">
      <w:rPr>
        <w:rFonts w:ascii="Arial" w:hAnsi="Arial"/>
        <w:color w:val="71D3F3" w:themeColor="accent6" w:themeTint="98" w:themeShade="95"/>
        <w:sz w:val="22"/>
      </w:rPr>
    </w:tblStylePr>
  </w:style>
  <w:style w:type="table" w:styleId="Barevntabulkaseznamu7">
    <w:name w:val="List Table 7 Colorful"/>
    <w:basedOn w:val="Normlntabulka"/>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Barevntabulkaseznamu7zvraznn11">
    <w:name w:val="Barevná tabulka seznamu 7 – zvýraznění 11"/>
    <w:basedOn w:val="Normlntabulka"/>
    <w:uiPriority w:val="99"/>
    <w:pPr>
      <w:spacing w:after="0" w:line="240" w:lineRule="auto"/>
    </w:pPr>
    <w:tblPr>
      <w:tblStyleRowBandSize w:val="1"/>
      <w:tblStyleColBandSize w:val="1"/>
      <w:tblBorders>
        <w:right w:val="single" w:sz="4" w:space="0" w:color="E31B23" w:themeColor="accent1"/>
      </w:tblBorders>
    </w:tblPr>
    <w:tblStylePr w:type="firstRow">
      <w:rPr>
        <w:rFonts w:ascii="Arial" w:hAnsi="Arial"/>
        <w:i/>
        <w:color w:val="840F14" w:themeColor="accent1" w:themeShade="95"/>
        <w:sz w:val="22"/>
      </w:rPr>
      <w:tblPr/>
      <w:tcPr>
        <w:tcBorders>
          <w:top w:val="none" w:sz="0" w:space="0" w:color="auto"/>
          <w:left w:val="none" w:sz="0" w:space="0" w:color="auto"/>
          <w:bottom w:val="single" w:sz="4" w:space="0" w:color="E31B23" w:themeColor="accent1"/>
          <w:right w:val="none" w:sz="0" w:space="0" w:color="auto"/>
        </w:tcBorders>
        <w:shd w:val="clear" w:color="FFFFFF" w:fill="FFFFFF" w:themeFill="light1"/>
      </w:tcPr>
    </w:tblStylePr>
    <w:tblStylePr w:type="lastRow">
      <w:rPr>
        <w:rFonts w:ascii="Arial" w:hAnsi="Arial"/>
        <w:i/>
        <w:color w:val="840F14" w:themeColor="accent1" w:themeShade="95"/>
        <w:sz w:val="22"/>
      </w:rPr>
      <w:tblPr/>
      <w:tcPr>
        <w:tcBorders>
          <w:top w:val="single" w:sz="4" w:space="0" w:color="E31B23"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40F14" w:themeColor="accent1" w:themeShade="95"/>
        <w:sz w:val="22"/>
      </w:rPr>
      <w:tblPr/>
      <w:tcPr>
        <w:tcBorders>
          <w:top w:val="none" w:sz="0" w:space="0" w:color="auto"/>
          <w:left w:val="none" w:sz="0" w:space="0" w:color="auto"/>
          <w:bottom w:val="none" w:sz="0" w:space="0" w:color="auto"/>
          <w:right w:val="single" w:sz="4" w:space="0" w:color="E31B23" w:themeColor="accent1"/>
        </w:tcBorders>
        <w:shd w:val="clear" w:color="FFFFFF" w:fill="FFFFFF"/>
      </w:tcPr>
    </w:tblStylePr>
    <w:tblStylePr w:type="lastCol">
      <w:rPr>
        <w:rFonts w:ascii="Arial" w:hAnsi="Arial"/>
        <w:i/>
        <w:color w:val="840F14" w:themeColor="accent1" w:themeShade="95"/>
        <w:sz w:val="22"/>
      </w:rPr>
      <w:tblPr/>
      <w:tcPr>
        <w:tcBorders>
          <w:top w:val="none" w:sz="0" w:space="0" w:color="auto"/>
          <w:left w:val="single" w:sz="4" w:space="0" w:color="E31B23" w:themeColor="accent1"/>
          <w:bottom w:val="none" w:sz="0" w:space="0" w:color="auto"/>
          <w:right w:val="none" w:sz="0" w:space="0" w:color="auto"/>
        </w:tcBorders>
        <w:shd w:val="clear" w:color="FFFFFF" w:fill="FFFFFF"/>
      </w:tcPr>
    </w:tblStylePr>
    <w:tblStylePr w:type="band1Vert">
      <w:tblPr/>
      <w:tcPr>
        <w:shd w:val="clear" w:color="FFFFFF" w:fill="F8C5C7" w:themeFill="accent1" w:themeFillTint="40"/>
      </w:tcPr>
    </w:tblStylePr>
    <w:tblStylePr w:type="band1Horz">
      <w:rPr>
        <w:rFonts w:ascii="Arial" w:hAnsi="Arial"/>
        <w:color w:val="840F14" w:themeColor="accent1" w:themeShade="95"/>
        <w:sz w:val="22"/>
      </w:rPr>
      <w:tblPr/>
      <w:tcPr>
        <w:shd w:val="clear" w:color="FFFFFF" w:fill="F8C5C7" w:themeFill="accent1" w:themeFillTint="40"/>
      </w:tcPr>
    </w:tblStylePr>
    <w:tblStylePr w:type="band2Horz">
      <w:rPr>
        <w:rFonts w:ascii="Arial" w:hAnsi="Arial"/>
        <w:color w:val="840F14" w:themeColor="accent1" w:themeShade="95"/>
        <w:sz w:val="22"/>
      </w:rPr>
    </w:tblStylePr>
  </w:style>
  <w:style w:type="table" w:customStyle="1" w:styleId="Barevntabulkaseznamu7zvraznn21">
    <w:name w:val="Barevná tabulka seznamu 7 – zvýraznění 21"/>
    <w:basedOn w:val="Normlntabulka"/>
    <w:uiPriority w:val="99"/>
    <w:pPr>
      <w:spacing w:after="0" w:line="240" w:lineRule="auto"/>
    </w:pPr>
    <w:tblPr>
      <w:tblStyleRowBandSize w:val="1"/>
      <w:tblStyleColBandSize w:val="1"/>
      <w:tblBorders>
        <w:right w:val="single" w:sz="4" w:space="0" w:color="2498FF" w:themeColor="accent2" w:themeTint="97"/>
      </w:tblBorders>
    </w:tblPr>
    <w:tblStylePr w:type="firstRow">
      <w:rPr>
        <w:rFonts w:ascii="Arial" w:hAnsi="Arial"/>
        <w:i/>
        <w:color w:val="2498FF" w:themeColor="accent2" w:themeTint="97" w:themeShade="95"/>
        <w:sz w:val="22"/>
      </w:rPr>
      <w:tblPr/>
      <w:tcPr>
        <w:tcBorders>
          <w:top w:val="none" w:sz="0" w:space="0" w:color="auto"/>
          <w:left w:val="none" w:sz="0" w:space="0" w:color="auto"/>
          <w:bottom w:val="single" w:sz="4" w:space="0" w:color="2498FF" w:themeColor="accent2" w:themeTint="97"/>
          <w:right w:val="none" w:sz="0" w:space="0" w:color="auto"/>
        </w:tcBorders>
        <w:shd w:val="clear" w:color="FFFFFF" w:fill="FFFFFF" w:themeFill="light1"/>
      </w:tcPr>
    </w:tblStylePr>
    <w:tblStylePr w:type="lastRow">
      <w:rPr>
        <w:rFonts w:ascii="Arial" w:hAnsi="Arial"/>
        <w:i/>
        <w:color w:val="2498FF" w:themeColor="accent2" w:themeTint="97" w:themeShade="95"/>
        <w:sz w:val="22"/>
      </w:rPr>
      <w:tblPr/>
      <w:tcPr>
        <w:tcBorders>
          <w:top w:val="single" w:sz="4" w:space="0" w:color="2498FF"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498FF" w:themeColor="accent2" w:themeTint="97" w:themeShade="95"/>
        <w:sz w:val="22"/>
      </w:rPr>
      <w:tblPr/>
      <w:tcPr>
        <w:tcBorders>
          <w:top w:val="none" w:sz="0" w:space="0" w:color="auto"/>
          <w:left w:val="none" w:sz="0" w:space="0" w:color="auto"/>
          <w:bottom w:val="none" w:sz="0" w:space="0" w:color="auto"/>
          <w:right w:val="single" w:sz="4" w:space="0" w:color="2498FF" w:themeColor="accent2" w:themeTint="97"/>
        </w:tcBorders>
        <w:shd w:val="clear" w:color="FFFFFF" w:fill="FFFFFF"/>
      </w:tcPr>
    </w:tblStylePr>
    <w:tblStylePr w:type="lastCol">
      <w:rPr>
        <w:rFonts w:ascii="Arial" w:hAnsi="Arial"/>
        <w:i/>
        <w:color w:val="2498FF" w:themeColor="accent2" w:themeTint="97" w:themeShade="95"/>
        <w:sz w:val="22"/>
      </w:rPr>
      <w:tblPr/>
      <w:tcPr>
        <w:tcBorders>
          <w:top w:val="none" w:sz="0" w:space="0" w:color="auto"/>
          <w:left w:val="single" w:sz="4" w:space="0" w:color="2498FF" w:themeColor="accent2" w:themeTint="97"/>
          <w:bottom w:val="none" w:sz="0" w:space="0" w:color="auto"/>
          <w:right w:val="none" w:sz="0" w:space="0" w:color="auto"/>
        </w:tcBorders>
        <w:shd w:val="clear" w:color="FFFFFF" w:fill="FFFFFF"/>
      </w:tcPr>
    </w:tblStylePr>
    <w:tblStylePr w:type="band1Vert">
      <w:tblPr/>
      <w:tcPr>
        <w:shd w:val="clear" w:color="FFFFFF" w:fill="A2D3FF" w:themeFill="accent2" w:themeFillTint="40"/>
      </w:tcPr>
    </w:tblStylePr>
    <w:tblStylePr w:type="band1Horz">
      <w:rPr>
        <w:rFonts w:ascii="Arial" w:hAnsi="Arial"/>
        <w:color w:val="2498FF" w:themeColor="accent2" w:themeTint="97" w:themeShade="95"/>
        <w:sz w:val="22"/>
      </w:rPr>
      <w:tblPr/>
      <w:tcPr>
        <w:shd w:val="clear" w:color="FFFFFF" w:fill="A2D3FF" w:themeFill="accent2" w:themeFillTint="40"/>
      </w:tcPr>
    </w:tblStylePr>
    <w:tblStylePr w:type="band2Horz">
      <w:rPr>
        <w:rFonts w:ascii="Arial" w:hAnsi="Arial"/>
        <w:color w:val="2498FF" w:themeColor="accent2" w:themeTint="97" w:themeShade="95"/>
        <w:sz w:val="22"/>
      </w:rPr>
    </w:tblStylePr>
  </w:style>
  <w:style w:type="table" w:customStyle="1" w:styleId="Barevntabulkaseznamu7zvraznn31">
    <w:name w:val="Barevná tabulka seznamu 7 – zvýraznění 31"/>
    <w:basedOn w:val="Normlntabulka"/>
    <w:uiPriority w:val="99"/>
    <w:pPr>
      <w:spacing w:after="0" w:line="240" w:lineRule="auto"/>
    </w:pPr>
    <w:tblPr>
      <w:tblStyleRowBandSize w:val="1"/>
      <w:tblStyleColBandSize w:val="1"/>
      <w:tblBorders>
        <w:right w:val="single" w:sz="4" w:space="0" w:color="4EC9FF" w:themeColor="accent3" w:themeTint="98"/>
      </w:tblBorders>
    </w:tblPr>
    <w:tblStylePr w:type="firstRow">
      <w:rPr>
        <w:rFonts w:ascii="Arial" w:hAnsi="Arial"/>
        <w:i/>
        <w:color w:val="4EC9FF" w:themeColor="accent3" w:themeTint="98" w:themeShade="95"/>
        <w:sz w:val="22"/>
      </w:rPr>
      <w:tblPr/>
      <w:tcPr>
        <w:tcBorders>
          <w:top w:val="none" w:sz="0" w:space="0" w:color="auto"/>
          <w:left w:val="none" w:sz="0" w:space="0" w:color="auto"/>
          <w:bottom w:val="single" w:sz="4" w:space="0" w:color="4EC9FF" w:themeColor="accent3" w:themeTint="98"/>
          <w:right w:val="none" w:sz="0" w:space="0" w:color="auto"/>
        </w:tcBorders>
        <w:shd w:val="clear" w:color="FFFFFF" w:fill="FFFFFF" w:themeFill="light1"/>
      </w:tcPr>
    </w:tblStylePr>
    <w:tblStylePr w:type="lastRow">
      <w:rPr>
        <w:rFonts w:ascii="Arial" w:hAnsi="Arial"/>
        <w:i/>
        <w:color w:val="4EC9FF" w:themeColor="accent3" w:themeTint="98" w:themeShade="95"/>
        <w:sz w:val="22"/>
      </w:rPr>
      <w:tblPr/>
      <w:tcPr>
        <w:tcBorders>
          <w:top w:val="single" w:sz="4" w:space="0" w:color="4EC9FF"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4EC9FF" w:themeColor="accent3" w:themeTint="98" w:themeShade="95"/>
        <w:sz w:val="22"/>
      </w:rPr>
      <w:tblPr/>
      <w:tcPr>
        <w:tcBorders>
          <w:top w:val="none" w:sz="0" w:space="0" w:color="auto"/>
          <w:left w:val="none" w:sz="0" w:space="0" w:color="auto"/>
          <w:bottom w:val="none" w:sz="0" w:space="0" w:color="auto"/>
          <w:right w:val="single" w:sz="4" w:space="0" w:color="4EC9FF" w:themeColor="accent3" w:themeTint="98"/>
        </w:tcBorders>
        <w:shd w:val="clear" w:color="FFFFFF" w:fill="FFFFFF"/>
      </w:tcPr>
    </w:tblStylePr>
    <w:tblStylePr w:type="lastCol">
      <w:rPr>
        <w:rFonts w:ascii="Arial" w:hAnsi="Arial"/>
        <w:i/>
        <w:color w:val="4EC9FF" w:themeColor="accent3" w:themeTint="98" w:themeShade="95"/>
        <w:sz w:val="22"/>
      </w:rPr>
      <w:tblPr/>
      <w:tcPr>
        <w:tcBorders>
          <w:top w:val="none" w:sz="0" w:space="0" w:color="auto"/>
          <w:left w:val="single" w:sz="4" w:space="0" w:color="4EC9FF" w:themeColor="accent3" w:themeTint="98"/>
          <w:bottom w:val="none" w:sz="0" w:space="0" w:color="auto"/>
          <w:right w:val="none" w:sz="0" w:space="0" w:color="auto"/>
        </w:tcBorders>
        <w:shd w:val="clear" w:color="FFFFFF" w:fill="FFFFFF"/>
      </w:tcPr>
    </w:tblStylePr>
    <w:tblStylePr w:type="band1Vert">
      <w:tblPr/>
      <w:tcPr>
        <w:shd w:val="clear" w:color="FFFFFF" w:fill="B4E8FF" w:themeFill="accent3" w:themeFillTint="40"/>
      </w:tcPr>
    </w:tblStylePr>
    <w:tblStylePr w:type="band1Horz">
      <w:rPr>
        <w:rFonts w:ascii="Arial" w:hAnsi="Arial"/>
        <w:color w:val="4EC9FF" w:themeColor="accent3" w:themeTint="98" w:themeShade="95"/>
        <w:sz w:val="22"/>
      </w:rPr>
      <w:tblPr/>
      <w:tcPr>
        <w:shd w:val="clear" w:color="FFFFFF" w:fill="B4E8FF" w:themeFill="accent3" w:themeFillTint="40"/>
      </w:tcPr>
    </w:tblStylePr>
    <w:tblStylePr w:type="band2Horz">
      <w:rPr>
        <w:rFonts w:ascii="Arial" w:hAnsi="Arial"/>
        <w:color w:val="4EC9FF" w:themeColor="accent3" w:themeTint="98" w:themeShade="95"/>
        <w:sz w:val="22"/>
      </w:rPr>
    </w:tblStylePr>
  </w:style>
  <w:style w:type="table" w:customStyle="1" w:styleId="Barevntabulkaseznamu7zvraznn41">
    <w:name w:val="Barevná tabulka seznamu 7 – zvýraznění 41"/>
    <w:basedOn w:val="Normlntabulka"/>
    <w:uiPriority w:val="99"/>
    <w:pPr>
      <w:spacing w:after="0" w:line="240" w:lineRule="auto"/>
    </w:pPr>
    <w:tblPr>
      <w:tblStyleRowBandSize w:val="1"/>
      <w:tblStyleColBandSize w:val="1"/>
      <w:tblBorders>
        <w:right w:val="single" w:sz="4" w:space="0" w:color="EE545C" w:themeColor="accent4" w:themeTint="9A"/>
      </w:tblBorders>
    </w:tblPr>
    <w:tblStylePr w:type="firstRow">
      <w:rPr>
        <w:rFonts w:ascii="Arial" w:hAnsi="Arial"/>
        <w:i/>
        <w:color w:val="EE545C" w:themeColor="accent4" w:themeTint="9A" w:themeShade="95"/>
        <w:sz w:val="22"/>
      </w:rPr>
      <w:tblPr/>
      <w:tcPr>
        <w:tcBorders>
          <w:top w:val="none" w:sz="0" w:space="0" w:color="auto"/>
          <w:left w:val="none" w:sz="0" w:space="0" w:color="auto"/>
          <w:bottom w:val="single" w:sz="4" w:space="0" w:color="EE545C" w:themeColor="accent4" w:themeTint="9A"/>
          <w:right w:val="none" w:sz="0" w:space="0" w:color="auto"/>
        </w:tcBorders>
        <w:shd w:val="clear" w:color="FFFFFF" w:fill="FFFFFF" w:themeFill="light1"/>
      </w:tcPr>
    </w:tblStylePr>
    <w:tblStylePr w:type="lastRow">
      <w:rPr>
        <w:rFonts w:ascii="Arial" w:hAnsi="Arial"/>
        <w:i/>
        <w:color w:val="EE545C" w:themeColor="accent4" w:themeTint="9A" w:themeShade="95"/>
        <w:sz w:val="22"/>
      </w:rPr>
      <w:tblPr/>
      <w:tcPr>
        <w:tcBorders>
          <w:top w:val="single" w:sz="4" w:space="0" w:color="EE545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E545C" w:themeColor="accent4" w:themeTint="9A" w:themeShade="95"/>
        <w:sz w:val="22"/>
      </w:rPr>
      <w:tblPr/>
      <w:tcPr>
        <w:tcBorders>
          <w:top w:val="none" w:sz="0" w:space="0" w:color="auto"/>
          <w:left w:val="none" w:sz="0" w:space="0" w:color="auto"/>
          <w:bottom w:val="none" w:sz="0" w:space="0" w:color="auto"/>
          <w:right w:val="single" w:sz="4" w:space="0" w:color="EE545C" w:themeColor="accent4" w:themeTint="9A"/>
        </w:tcBorders>
        <w:shd w:val="clear" w:color="FFFFFF" w:fill="FFFFFF"/>
      </w:tcPr>
    </w:tblStylePr>
    <w:tblStylePr w:type="lastCol">
      <w:rPr>
        <w:rFonts w:ascii="Arial" w:hAnsi="Arial"/>
        <w:i/>
        <w:color w:val="EE545C" w:themeColor="accent4" w:themeTint="9A" w:themeShade="95"/>
        <w:sz w:val="22"/>
      </w:rPr>
      <w:tblPr/>
      <w:tcPr>
        <w:tcBorders>
          <w:top w:val="none" w:sz="0" w:space="0" w:color="auto"/>
          <w:left w:val="single" w:sz="4" w:space="0" w:color="EE545C" w:themeColor="accent4" w:themeTint="9A"/>
          <w:bottom w:val="none" w:sz="0" w:space="0" w:color="auto"/>
          <w:right w:val="none" w:sz="0" w:space="0" w:color="auto"/>
        </w:tcBorders>
        <w:shd w:val="clear" w:color="FFFFFF" w:fill="FFFFFF"/>
      </w:tcPr>
    </w:tblStylePr>
    <w:tblStylePr w:type="band1Vert">
      <w:tblPr/>
      <w:tcPr>
        <w:shd w:val="clear" w:color="FFFFFF" w:fill="F8B7BB" w:themeFill="accent4" w:themeFillTint="40"/>
      </w:tcPr>
    </w:tblStylePr>
    <w:tblStylePr w:type="band1Horz">
      <w:rPr>
        <w:rFonts w:ascii="Arial" w:hAnsi="Arial"/>
        <w:color w:val="EE545C" w:themeColor="accent4" w:themeTint="9A" w:themeShade="95"/>
        <w:sz w:val="22"/>
      </w:rPr>
      <w:tblPr/>
      <w:tcPr>
        <w:shd w:val="clear" w:color="FFFFFF" w:fill="F8B7BB" w:themeFill="accent4" w:themeFillTint="40"/>
      </w:tcPr>
    </w:tblStylePr>
    <w:tblStylePr w:type="band2Horz">
      <w:rPr>
        <w:rFonts w:ascii="Arial" w:hAnsi="Arial"/>
        <w:color w:val="EE545C" w:themeColor="accent4" w:themeTint="9A" w:themeShade="95"/>
        <w:sz w:val="22"/>
      </w:rPr>
    </w:tblStylePr>
  </w:style>
  <w:style w:type="table" w:customStyle="1" w:styleId="Barevntabulkaseznamu7zvraznn51">
    <w:name w:val="Barevná tabulka seznamu 7 – zvýraznění 51"/>
    <w:basedOn w:val="Normlntabulka"/>
    <w:uiPriority w:val="99"/>
    <w:pPr>
      <w:spacing w:after="0" w:line="240" w:lineRule="auto"/>
    </w:pPr>
    <w:tblPr>
      <w:tblStyleRowBandSize w:val="1"/>
      <w:tblStyleColBandSize w:val="1"/>
      <w:tblBorders>
        <w:right w:val="single" w:sz="4" w:space="0" w:color="D4ECFA" w:themeColor="accent5" w:themeTint="9A"/>
      </w:tblBorders>
    </w:tblPr>
    <w:tblStylePr w:type="firstRow">
      <w:rPr>
        <w:rFonts w:ascii="Arial" w:hAnsi="Arial"/>
        <w:i/>
        <w:color w:val="D4ECFA" w:themeColor="accent5" w:themeTint="9A" w:themeShade="95"/>
        <w:sz w:val="22"/>
      </w:rPr>
      <w:tblPr/>
      <w:tcPr>
        <w:tcBorders>
          <w:top w:val="none" w:sz="0" w:space="0" w:color="auto"/>
          <w:left w:val="none" w:sz="0" w:space="0" w:color="auto"/>
          <w:bottom w:val="single" w:sz="4" w:space="0" w:color="D4ECFA" w:themeColor="accent5" w:themeTint="9A"/>
          <w:right w:val="none" w:sz="0" w:space="0" w:color="auto"/>
        </w:tcBorders>
        <w:shd w:val="clear" w:color="FFFFFF" w:fill="FFFFFF" w:themeFill="light1"/>
      </w:tcPr>
    </w:tblStylePr>
    <w:tblStylePr w:type="lastRow">
      <w:rPr>
        <w:rFonts w:ascii="Arial" w:hAnsi="Arial"/>
        <w:i/>
        <w:color w:val="D4ECFA" w:themeColor="accent5" w:themeTint="9A" w:themeShade="95"/>
        <w:sz w:val="22"/>
      </w:rPr>
      <w:tblPr/>
      <w:tcPr>
        <w:tcBorders>
          <w:top w:val="single" w:sz="4" w:space="0" w:color="D4ECFA"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4ECFA" w:themeColor="accent5" w:themeTint="9A" w:themeShade="95"/>
        <w:sz w:val="22"/>
      </w:rPr>
      <w:tblPr/>
      <w:tcPr>
        <w:tcBorders>
          <w:top w:val="none" w:sz="0" w:space="0" w:color="auto"/>
          <w:left w:val="none" w:sz="0" w:space="0" w:color="auto"/>
          <w:bottom w:val="none" w:sz="0" w:space="0" w:color="auto"/>
          <w:right w:val="single" w:sz="4" w:space="0" w:color="D4ECFA" w:themeColor="accent5" w:themeTint="9A"/>
        </w:tcBorders>
        <w:shd w:val="clear" w:color="FFFFFF" w:fill="FFFFFF"/>
      </w:tcPr>
    </w:tblStylePr>
    <w:tblStylePr w:type="lastCol">
      <w:rPr>
        <w:rFonts w:ascii="Arial" w:hAnsi="Arial"/>
        <w:i/>
        <w:color w:val="D4ECFA" w:themeColor="accent5" w:themeTint="9A" w:themeShade="95"/>
        <w:sz w:val="22"/>
      </w:rPr>
      <w:tblPr/>
      <w:tcPr>
        <w:tcBorders>
          <w:top w:val="none" w:sz="0" w:space="0" w:color="auto"/>
          <w:left w:val="single" w:sz="4" w:space="0" w:color="D4ECFA" w:themeColor="accent5" w:themeTint="9A"/>
          <w:bottom w:val="none" w:sz="0" w:space="0" w:color="auto"/>
          <w:right w:val="none" w:sz="0" w:space="0" w:color="auto"/>
        </w:tcBorders>
        <w:shd w:val="clear" w:color="FFFFFF" w:fill="FFFFFF"/>
      </w:tcPr>
    </w:tblStylePr>
    <w:tblStylePr w:type="band1Vert">
      <w:tblPr/>
      <w:tcPr>
        <w:shd w:val="clear" w:color="FFFFFF" w:fill="EDF7FD" w:themeFill="accent5" w:themeFillTint="40"/>
      </w:tcPr>
    </w:tblStylePr>
    <w:tblStylePr w:type="band1Horz">
      <w:rPr>
        <w:rFonts w:ascii="Arial" w:hAnsi="Arial"/>
        <w:color w:val="D4ECFA" w:themeColor="accent5" w:themeTint="9A" w:themeShade="95"/>
        <w:sz w:val="22"/>
      </w:rPr>
      <w:tblPr/>
      <w:tcPr>
        <w:shd w:val="clear" w:color="FFFFFF" w:fill="EDF7FD" w:themeFill="accent5" w:themeFillTint="40"/>
      </w:tcPr>
    </w:tblStylePr>
    <w:tblStylePr w:type="band2Horz">
      <w:rPr>
        <w:rFonts w:ascii="Arial" w:hAnsi="Arial"/>
        <w:color w:val="D4ECFA" w:themeColor="accent5" w:themeTint="9A" w:themeShade="95"/>
        <w:sz w:val="22"/>
      </w:rPr>
    </w:tblStylePr>
  </w:style>
  <w:style w:type="table" w:customStyle="1" w:styleId="Barevntabulkaseznamu7zvraznn61">
    <w:name w:val="Barevná tabulka seznamu 7 – zvýraznění 61"/>
    <w:basedOn w:val="Normlntabulka"/>
    <w:uiPriority w:val="99"/>
    <w:pPr>
      <w:spacing w:after="0" w:line="240" w:lineRule="auto"/>
    </w:pPr>
    <w:tblPr>
      <w:tblStyleRowBandSize w:val="1"/>
      <w:tblStyleColBandSize w:val="1"/>
      <w:tblBorders>
        <w:right w:val="single" w:sz="4" w:space="0" w:color="71D3F3" w:themeColor="accent6" w:themeTint="98"/>
      </w:tblBorders>
    </w:tblPr>
    <w:tblStylePr w:type="firstRow">
      <w:rPr>
        <w:rFonts w:ascii="Arial" w:hAnsi="Arial"/>
        <w:i/>
        <w:color w:val="71D3F3" w:themeColor="accent6" w:themeTint="98" w:themeShade="95"/>
        <w:sz w:val="22"/>
      </w:rPr>
      <w:tblPr/>
      <w:tcPr>
        <w:tcBorders>
          <w:top w:val="none" w:sz="0" w:space="0" w:color="auto"/>
          <w:left w:val="none" w:sz="0" w:space="0" w:color="auto"/>
          <w:bottom w:val="single" w:sz="4" w:space="0" w:color="71D3F3" w:themeColor="accent6" w:themeTint="98"/>
          <w:right w:val="none" w:sz="0" w:space="0" w:color="auto"/>
        </w:tcBorders>
        <w:shd w:val="clear" w:color="FFFFFF" w:fill="FFFFFF" w:themeFill="light1"/>
      </w:tcPr>
    </w:tblStylePr>
    <w:tblStylePr w:type="lastRow">
      <w:rPr>
        <w:rFonts w:ascii="Arial" w:hAnsi="Arial"/>
        <w:i/>
        <w:color w:val="71D3F3" w:themeColor="accent6" w:themeTint="98" w:themeShade="95"/>
        <w:sz w:val="22"/>
      </w:rPr>
      <w:tblPr/>
      <w:tcPr>
        <w:tcBorders>
          <w:top w:val="single" w:sz="4" w:space="0" w:color="71D3F3"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1D3F3" w:themeColor="accent6" w:themeTint="98" w:themeShade="95"/>
        <w:sz w:val="22"/>
      </w:rPr>
      <w:tblPr/>
      <w:tcPr>
        <w:tcBorders>
          <w:top w:val="none" w:sz="0" w:space="0" w:color="auto"/>
          <w:left w:val="none" w:sz="0" w:space="0" w:color="auto"/>
          <w:bottom w:val="none" w:sz="0" w:space="0" w:color="auto"/>
          <w:right w:val="single" w:sz="4" w:space="0" w:color="71D3F3" w:themeColor="accent6" w:themeTint="98"/>
        </w:tcBorders>
        <w:shd w:val="clear" w:color="FFFFFF" w:fill="FFFFFF"/>
      </w:tcPr>
    </w:tblStylePr>
    <w:tblStylePr w:type="lastCol">
      <w:rPr>
        <w:rFonts w:ascii="Arial" w:hAnsi="Arial"/>
        <w:i/>
        <w:color w:val="71D3F3" w:themeColor="accent6" w:themeTint="98" w:themeShade="95"/>
        <w:sz w:val="22"/>
      </w:rPr>
      <w:tblPr/>
      <w:tcPr>
        <w:tcBorders>
          <w:top w:val="none" w:sz="0" w:space="0" w:color="auto"/>
          <w:left w:val="single" w:sz="4" w:space="0" w:color="71D3F3" w:themeColor="accent6" w:themeTint="98"/>
          <w:bottom w:val="none" w:sz="0" w:space="0" w:color="auto"/>
          <w:right w:val="none" w:sz="0" w:space="0" w:color="auto"/>
        </w:tcBorders>
        <w:shd w:val="clear" w:color="FFFFFF" w:fill="FFFFFF"/>
      </w:tcPr>
    </w:tblStylePr>
    <w:tblStylePr w:type="band1Vert">
      <w:tblPr/>
      <w:tcPr>
        <w:shd w:val="clear" w:color="FFFFFF" w:fill="C3ECFA" w:themeFill="accent6" w:themeFillTint="40"/>
      </w:tcPr>
    </w:tblStylePr>
    <w:tblStylePr w:type="band1Horz">
      <w:rPr>
        <w:rFonts w:ascii="Arial" w:hAnsi="Arial"/>
        <w:color w:val="71D3F3" w:themeColor="accent6" w:themeTint="98" w:themeShade="95"/>
        <w:sz w:val="22"/>
      </w:rPr>
      <w:tblPr/>
      <w:tcPr>
        <w:shd w:val="clear" w:color="FFFFFF" w:fill="C3ECFA" w:themeFill="accent6" w:themeFillTint="40"/>
      </w:tcPr>
    </w:tblStylePr>
    <w:tblStylePr w:type="band2Horz">
      <w:rPr>
        <w:rFonts w:ascii="Arial" w:hAnsi="Arial"/>
        <w:color w:val="71D3F3" w:themeColor="accent6" w:themeTint="98" w:themeShade="95"/>
        <w:sz w:val="22"/>
      </w:rPr>
    </w:tblStylePr>
  </w:style>
  <w:style w:type="table" w:customStyle="1" w:styleId="Lined-Accent">
    <w:name w:val="Lined - Accent"/>
    <w:basedOn w:val="Normlntabulka"/>
    <w:uiPriority w:val="99"/>
    <w:pPr>
      <w:spacing w:after="0" w:line="240" w:lineRule="auto"/>
    </w:pPr>
    <w:rPr>
      <w:color w:val="404040"/>
      <w:sz w:val="20"/>
      <w:szCs w:val="20"/>
      <w:lang w:eastAsia="cs-CZ"/>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lntabulka"/>
    <w:uiPriority w:val="99"/>
    <w:pPr>
      <w:spacing w:after="0" w:line="240" w:lineRule="auto"/>
    </w:pPr>
    <w:rPr>
      <w:color w:val="404040"/>
      <w:sz w:val="20"/>
      <w:szCs w:val="20"/>
      <w:lang w:eastAsia="cs-CZ"/>
    </w:rPr>
    <w:tblPr>
      <w:tblStyleRowBandSize w:val="1"/>
      <w:tblStyleColBandSize w:val="1"/>
    </w:tblPr>
    <w:tblStylePr w:type="firstRow">
      <w:rPr>
        <w:rFonts w:ascii="Arial" w:hAnsi="Arial"/>
        <w:color w:val="F2F2F2"/>
        <w:sz w:val="22"/>
      </w:rPr>
      <w:tblPr/>
      <w:tcPr>
        <w:shd w:val="clear" w:color="FFFFFF" w:fill="E62D34" w:themeFill="accent1" w:themeFillTint="EA"/>
      </w:tcPr>
    </w:tblStylePr>
    <w:tblStylePr w:type="lastRow">
      <w:rPr>
        <w:rFonts w:ascii="Arial" w:hAnsi="Arial"/>
        <w:color w:val="F2F2F2"/>
        <w:sz w:val="22"/>
      </w:rPr>
      <w:tblPr/>
      <w:tcPr>
        <w:shd w:val="clear" w:color="FFFFFF" w:fill="E62D34" w:themeFill="accent1" w:themeFillTint="EA"/>
      </w:tcPr>
    </w:tblStylePr>
    <w:tblStylePr w:type="firstCol">
      <w:rPr>
        <w:rFonts w:ascii="Arial" w:hAnsi="Arial"/>
        <w:color w:val="F2F2F2"/>
        <w:sz w:val="22"/>
      </w:rPr>
      <w:tblPr/>
      <w:tcPr>
        <w:shd w:val="clear" w:color="FFFFFF" w:fill="E62D34" w:themeFill="accent1" w:themeFillTint="EA"/>
      </w:tcPr>
    </w:tblStylePr>
    <w:tblStylePr w:type="lastCol">
      <w:rPr>
        <w:rFonts w:ascii="Arial" w:hAnsi="Arial"/>
        <w:color w:val="F2F2F2"/>
        <w:sz w:val="22"/>
      </w:rPr>
      <w:tblPr/>
      <w:tcPr>
        <w:shd w:val="clear" w:color="FFFFFF" w:fill="E62D34"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F6B7B9"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F6B7B9" w:themeFill="accent1" w:themeFillTint="50"/>
      </w:tcPr>
    </w:tblStylePr>
  </w:style>
  <w:style w:type="table" w:customStyle="1" w:styleId="Lined-Accent2">
    <w:name w:val="Lined - Accent 2"/>
    <w:basedOn w:val="Normlntabulka"/>
    <w:uiPriority w:val="99"/>
    <w:pPr>
      <w:spacing w:after="0" w:line="240" w:lineRule="auto"/>
    </w:pPr>
    <w:rPr>
      <w:color w:val="404040"/>
      <w:sz w:val="20"/>
      <w:szCs w:val="20"/>
      <w:lang w:eastAsia="cs-CZ"/>
    </w:rPr>
    <w:tblPr>
      <w:tblStyleRowBandSize w:val="1"/>
      <w:tblStyleColBandSize w:val="1"/>
    </w:tblPr>
    <w:tblStylePr w:type="firstRow">
      <w:rPr>
        <w:rFonts w:ascii="Arial" w:hAnsi="Arial"/>
        <w:color w:val="F2F2F2"/>
        <w:sz w:val="22"/>
      </w:rPr>
      <w:tblPr/>
      <w:tcPr>
        <w:shd w:val="clear" w:color="FFFFFF" w:fill="2498FF" w:themeFill="accent2" w:themeFillTint="97"/>
      </w:tcPr>
    </w:tblStylePr>
    <w:tblStylePr w:type="lastRow">
      <w:rPr>
        <w:rFonts w:ascii="Arial" w:hAnsi="Arial"/>
        <w:color w:val="F2F2F2"/>
        <w:sz w:val="22"/>
      </w:rPr>
      <w:tblPr/>
      <w:tcPr>
        <w:shd w:val="clear" w:color="FFFFFF" w:fill="2498FF" w:themeFill="accent2" w:themeFillTint="97"/>
      </w:tcPr>
    </w:tblStylePr>
    <w:tblStylePr w:type="firstCol">
      <w:rPr>
        <w:rFonts w:ascii="Arial" w:hAnsi="Arial"/>
        <w:color w:val="F2F2F2"/>
        <w:sz w:val="22"/>
      </w:rPr>
      <w:tblPr/>
      <w:tcPr>
        <w:shd w:val="clear" w:color="FFFFFF" w:fill="2498FF" w:themeFill="accent2" w:themeFillTint="97"/>
      </w:tcPr>
    </w:tblStylePr>
    <w:tblStylePr w:type="lastCol">
      <w:rPr>
        <w:rFonts w:ascii="Arial" w:hAnsi="Arial"/>
        <w:color w:val="F2F2F2"/>
        <w:sz w:val="22"/>
      </w:rPr>
      <w:tblPr/>
      <w:tcPr>
        <w:shd w:val="clear" w:color="FFFFFF" w:fill="2498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B6DC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B6DCFF" w:themeFill="accent2" w:themeFillTint="32"/>
      </w:tcPr>
    </w:tblStylePr>
  </w:style>
  <w:style w:type="table" w:customStyle="1" w:styleId="Lined-Accent3">
    <w:name w:val="Lined - Accent 3"/>
    <w:basedOn w:val="Normlntabulka"/>
    <w:uiPriority w:val="99"/>
    <w:pPr>
      <w:spacing w:after="0" w:line="240" w:lineRule="auto"/>
    </w:pPr>
    <w:rPr>
      <w:color w:val="404040"/>
      <w:sz w:val="20"/>
      <w:szCs w:val="20"/>
      <w:lang w:eastAsia="cs-CZ"/>
    </w:rPr>
    <w:tblPr>
      <w:tblStyleRowBandSize w:val="1"/>
      <w:tblStyleColBandSize w:val="1"/>
    </w:tblPr>
    <w:tblStylePr w:type="firstRow">
      <w:rPr>
        <w:rFonts w:ascii="Arial" w:hAnsi="Arial"/>
        <w:color w:val="F2F2F2"/>
        <w:sz w:val="22"/>
      </w:rPr>
      <w:tblPr/>
      <w:tcPr>
        <w:shd w:val="clear" w:color="FFFFFF" w:fill="0096D7" w:themeFill="accent3" w:themeFillTint="FE"/>
      </w:tcPr>
    </w:tblStylePr>
    <w:tblStylePr w:type="lastRow">
      <w:rPr>
        <w:rFonts w:ascii="Arial" w:hAnsi="Arial"/>
        <w:color w:val="F2F2F2"/>
        <w:sz w:val="22"/>
      </w:rPr>
      <w:tblPr/>
      <w:tcPr>
        <w:shd w:val="clear" w:color="FFFFFF" w:fill="0096D7" w:themeFill="accent3" w:themeFillTint="FE"/>
      </w:tcPr>
    </w:tblStylePr>
    <w:tblStylePr w:type="firstCol">
      <w:rPr>
        <w:rFonts w:ascii="Arial" w:hAnsi="Arial"/>
        <w:color w:val="F2F2F2"/>
        <w:sz w:val="22"/>
      </w:rPr>
      <w:tblPr/>
      <w:tcPr>
        <w:shd w:val="clear" w:color="FFFFFF" w:fill="0096D7" w:themeFill="accent3" w:themeFillTint="FE"/>
      </w:tcPr>
    </w:tblStylePr>
    <w:tblStylePr w:type="lastCol">
      <w:rPr>
        <w:rFonts w:ascii="Arial" w:hAnsi="Arial"/>
        <w:color w:val="F2F2F2"/>
        <w:sz w:val="22"/>
      </w:rPr>
      <w:tblPr/>
      <w:tcPr>
        <w:shd w:val="clear" w:color="FFFFFF" w:fill="0096D7"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C2ECFF"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C2ECFF" w:themeFill="accent3" w:themeFillTint="34"/>
      </w:tcPr>
    </w:tblStylePr>
  </w:style>
  <w:style w:type="table" w:customStyle="1" w:styleId="Lined-Accent4">
    <w:name w:val="Lined - Accent 4"/>
    <w:basedOn w:val="Normlntabulka"/>
    <w:uiPriority w:val="99"/>
    <w:pPr>
      <w:spacing w:after="0" w:line="240" w:lineRule="auto"/>
    </w:pPr>
    <w:rPr>
      <w:color w:val="404040"/>
      <w:sz w:val="20"/>
      <w:szCs w:val="20"/>
      <w:lang w:eastAsia="cs-CZ"/>
    </w:rPr>
    <w:tblPr>
      <w:tblStyleRowBandSize w:val="1"/>
      <w:tblStyleColBandSize w:val="1"/>
    </w:tblPr>
    <w:tblStylePr w:type="firstRow">
      <w:rPr>
        <w:rFonts w:ascii="Arial" w:hAnsi="Arial"/>
        <w:color w:val="F2F2F2"/>
        <w:sz w:val="22"/>
      </w:rPr>
      <w:tblPr/>
      <w:tcPr>
        <w:shd w:val="clear" w:color="FFFFFF" w:fill="EE545C" w:themeFill="accent4" w:themeFillTint="9A"/>
      </w:tcPr>
    </w:tblStylePr>
    <w:tblStylePr w:type="lastRow">
      <w:rPr>
        <w:rFonts w:ascii="Arial" w:hAnsi="Arial"/>
        <w:color w:val="F2F2F2"/>
        <w:sz w:val="22"/>
      </w:rPr>
      <w:tblPr/>
      <w:tcPr>
        <w:shd w:val="clear" w:color="FFFFFF" w:fill="EE545C" w:themeFill="accent4" w:themeFillTint="9A"/>
      </w:tcPr>
    </w:tblStylePr>
    <w:tblStylePr w:type="firstCol">
      <w:rPr>
        <w:rFonts w:ascii="Arial" w:hAnsi="Arial"/>
        <w:color w:val="F2F2F2"/>
        <w:sz w:val="22"/>
      </w:rPr>
      <w:tblPr/>
      <w:tcPr>
        <w:shd w:val="clear" w:color="FFFFFF" w:fill="EE545C" w:themeFill="accent4" w:themeFillTint="9A"/>
      </w:tcPr>
    </w:tblStylePr>
    <w:tblStylePr w:type="lastCol">
      <w:rPr>
        <w:rFonts w:ascii="Arial" w:hAnsi="Arial"/>
        <w:color w:val="F2F2F2"/>
        <w:sz w:val="22"/>
      </w:rPr>
      <w:tblPr/>
      <w:tcPr>
        <w:shd w:val="clear" w:color="FFFFFF" w:fill="EE545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9C5C7"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9C5C7" w:themeFill="accent4" w:themeFillTint="34"/>
      </w:tcPr>
    </w:tblStylePr>
  </w:style>
  <w:style w:type="table" w:customStyle="1" w:styleId="Lined-Accent5">
    <w:name w:val="Lined - Accent 5"/>
    <w:basedOn w:val="Normlntabulka"/>
    <w:uiPriority w:val="99"/>
    <w:pPr>
      <w:spacing w:after="0" w:line="240" w:lineRule="auto"/>
    </w:pPr>
    <w:rPr>
      <w:color w:val="404040"/>
      <w:sz w:val="20"/>
      <w:szCs w:val="20"/>
      <w:lang w:eastAsia="cs-CZ"/>
    </w:rPr>
    <w:tblPr>
      <w:tblStyleRowBandSize w:val="1"/>
      <w:tblStyleColBandSize w:val="1"/>
    </w:tblPr>
    <w:tblStylePr w:type="firstRow">
      <w:rPr>
        <w:rFonts w:ascii="Arial" w:hAnsi="Arial"/>
        <w:color w:val="F2F2F2"/>
        <w:sz w:val="22"/>
      </w:rPr>
      <w:tblPr/>
      <w:tcPr>
        <w:shd w:val="clear" w:color="FFFFFF" w:fill="B9E0F7" w:themeFill="accent5"/>
      </w:tcPr>
    </w:tblStylePr>
    <w:tblStylePr w:type="lastRow">
      <w:rPr>
        <w:rFonts w:ascii="Arial" w:hAnsi="Arial"/>
        <w:color w:val="F2F2F2"/>
        <w:sz w:val="22"/>
      </w:rPr>
      <w:tblPr/>
      <w:tcPr>
        <w:shd w:val="clear" w:color="FFFFFF" w:fill="B9E0F7" w:themeFill="accent5"/>
      </w:tcPr>
    </w:tblStylePr>
    <w:tblStylePr w:type="firstCol">
      <w:rPr>
        <w:rFonts w:ascii="Arial" w:hAnsi="Arial"/>
        <w:color w:val="F2F2F2"/>
        <w:sz w:val="22"/>
      </w:rPr>
      <w:tblPr/>
      <w:tcPr>
        <w:shd w:val="clear" w:color="FFFFFF" w:fill="B9E0F7" w:themeFill="accent5"/>
      </w:tcPr>
    </w:tblStylePr>
    <w:tblStylePr w:type="lastCol">
      <w:rPr>
        <w:rFonts w:ascii="Arial" w:hAnsi="Arial"/>
        <w:color w:val="F2F2F2"/>
        <w:sz w:val="22"/>
      </w:rPr>
      <w:tblPr/>
      <w:tcPr>
        <w:shd w:val="clear" w:color="FFFFFF" w:fill="B9E0F7"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F0F8F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0F8FD" w:themeFill="accent5" w:themeFillTint="34"/>
      </w:tcPr>
    </w:tblStylePr>
  </w:style>
  <w:style w:type="table" w:customStyle="1" w:styleId="Lined-Accent6">
    <w:name w:val="Lined - Accent 6"/>
    <w:basedOn w:val="Normlntabulka"/>
    <w:uiPriority w:val="99"/>
    <w:pPr>
      <w:spacing w:after="0" w:line="240" w:lineRule="auto"/>
    </w:pPr>
    <w:rPr>
      <w:color w:val="404040"/>
      <w:sz w:val="20"/>
      <w:szCs w:val="20"/>
      <w:lang w:eastAsia="cs-CZ"/>
    </w:rPr>
    <w:tblPr>
      <w:tblStyleRowBandSize w:val="1"/>
      <w:tblStyleColBandSize w:val="1"/>
    </w:tblPr>
    <w:tblStylePr w:type="firstRow">
      <w:rPr>
        <w:rFonts w:ascii="Arial" w:hAnsi="Arial"/>
        <w:color w:val="F2F2F2"/>
        <w:sz w:val="22"/>
      </w:rPr>
      <w:tblPr/>
      <w:tcPr>
        <w:shd w:val="clear" w:color="FFFFFF" w:fill="13B5EA" w:themeFill="accent6"/>
      </w:tcPr>
    </w:tblStylePr>
    <w:tblStylePr w:type="lastRow">
      <w:rPr>
        <w:rFonts w:ascii="Arial" w:hAnsi="Arial"/>
        <w:color w:val="F2F2F2"/>
        <w:sz w:val="22"/>
      </w:rPr>
      <w:tblPr/>
      <w:tcPr>
        <w:shd w:val="clear" w:color="FFFFFF" w:fill="13B5EA" w:themeFill="accent6"/>
      </w:tcPr>
    </w:tblStylePr>
    <w:tblStylePr w:type="firstCol">
      <w:rPr>
        <w:rFonts w:ascii="Arial" w:hAnsi="Arial"/>
        <w:color w:val="F2F2F2"/>
        <w:sz w:val="22"/>
      </w:rPr>
      <w:tblPr/>
      <w:tcPr>
        <w:shd w:val="clear" w:color="FFFFFF" w:fill="13B5EA" w:themeFill="accent6"/>
      </w:tcPr>
    </w:tblStylePr>
    <w:tblStylePr w:type="lastCol">
      <w:rPr>
        <w:rFonts w:ascii="Arial" w:hAnsi="Arial"/>
        <w:color w:val="F2F2F2"/>
        <w:sz w:val="22"/>
      </w:rPr>
      <w:tblPr/>
      <w:tcPr>
        <w:shd w:val="clear" w:color="FFFFFF" w:fill="13B5EA"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CEF0FB"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CEF0FB" w:themeFill="accent6" w:themeFillTint="34"/>
      </w:tcPr>
    </w:tblStylePr>
  </w:style>
  <w:style w:type="table" w:customStyle="1" w:styleId="BorderedLined-Accent">
    <w:name w:val="Bordered &amp; Lined - Accent"/>
    <w:basedOn w:val="Normlntabulka"/>
    <w:uiPriority w:val="99"/>
    <w:pPr>
      <w:spacing w:after="0" w:line="240" w:lineRule="auto"/>
    </w:pPr>
    <w:rPr>
      <w:color w:val="404040"/>
      <w:sz w:val="20"/>
      <w:szCs w:val="20"/>
      <w:lang w:eastAsia="cs-CZ"/>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lntabulka"/>
    <w:uiPriority w:val="99"/>
    <w:pPr>
      <w:spacing w:after="0" w:line="240" w:lineRule="auto"/>
    </w:pPr>
    <w:rPr>
      <w:color w:val="404040"/>
      <w:sz w:val="20"/>
      <w:szCs w:val="20"/>
      <w:lang w:eastAsia="cs-CZ"/>
    </w:rPr>
    <w:tblPr>
      <w:tblStyleRowBandSize w:val="1"/>
      <w:tblStyleColBandSize w:val="1"/>
      <w:tblBorders>
        <w:top w:val="single" w:sz="4" w:space="0" w:color="840F14" w:themeColor="accent1" w:themeShade="95"/>
        <w:left w:val="single" w:sz="4" w:space="0" w:color="840F14" w:themeColor="accent1" w:themeShade="95"/>
        <w:bottom w:val="single" w:sz="4" w:space="0" w:color="840F14" w:themeColor="accent1" w:themeShade="95"/>
        <w:right w:val="single" w:sz="4" w:space="0" w:color="840F14" w:themeColor="accent1" w:themeShade="95"/>
        <w:insideH w:val="single" w:sz="4" w:space="0" w:color="840F14" w:themeColor="accent1" w:themeShade="95"/>
        <w:insideV w:val="single" w:sz="4" w:space="0" w:color="840F14" w:themeColor="accent1" w:themeShade="95"/>
      </w:tblBorders>
    </w:tblPr>
    <w:tblStylePr w:type="firstRow">
      <w:rPr>
        <w:rFonts w:ascii="Arial" w:hAnsi="Arial"/>
        <w:color w:val="F2F2F2"/>
        <w:sz w:val="22"/>
      </w:rPr>
      <w:tblPr/>
      <w:tcPr>
        <w:shd w:val="clear" w:color="FFFFFF" w:fill="E62D34" w:themeFill="accent1" w:themeFillTint="EA"/>
      </w:tcPr>
    </w:tblStylePr>
    <w:tblStylePr w:type="lastRow">
      <w:rPr>
        <w:rFonts w:ascii="Arial" w:hAnsi="Arial"/>
        <w:color w:val="F2F2F2"/>
        <w:sz w:val="22"/>
      </w:rPr>
      <w:tblPr/>
      <w:tcPr>
        <w:shd w:val="clear" w:color="FFFFFF" w:fill="E62D34" w:themeFill="accent1" w:themeFillTint="EA"/>
      </w:tcPr>
    </w:tblStylePr>
    <w:tblStylePr w:type="firstCol">
      <w:rPr>
        <w:rFonts w:ascii="Arial" w:hAnsi="Arial"/>
        <w:color w:val="F2F2F2"/>
        <w:sz w:val="22"/>
      </w:rPr>
      <w:tblPr/>
      <w:tcPr>
        <w:shd w:val="clear" w:color="FFFFFF" w:fill="E62D34" w:themeFill="accent1" w:themeFillTint="EA"/>
      </w:tcPr>
    </w:tblStylePr>
    <w:tblStylePr w:type="lastCol">
      <w:rPr>
        <w:rFonts w:ascii="Arial" w:hAnsi="Arial"/>
        <w:color w:val="F2F2F2"/>
        <w:sz w:val="22"/>
      </w:rPr>
      <w:tblPr/>
      <w:tcPr>
        <w:shd w:val="clear" w:color="FFFFFF" w:fill="E62D34"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F6B7B9"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F6B7B9" w:themeFill="accent1" w:themeFillTint="50"/>
      </w:tcPr>
    </w:tblStylePr>
  </w:style>
  <w:style w:type="table" w:customStyle="1" w:styleId="BorderedLined-Accent2">
    <w:name w:val="Bordered &amp; Lined - Accent 2"/>
    <w:basedOn w:val="Normlntabulka"/>
    <w:uiPriority w:val="99"/>
    <w:pPr>
      <w:spacing w:after="0" w:line="240" w:lineRule="auto"/>
    </w:pPr>
    <w:rPr>
      <w:color w:val="404040"/>
      <w:sz w:val="20"/>
      <w:szCs w:val="20"/>
      <w:lang w:eastAsia="cs-CZ"/>
    </w:rPr>
    <w:tblPr>
      <w:tblStyleRowBandSize w:val="1"/>
      <w:tblStyleColBandSize w:val="1"/>
      <w:tblBorders>
        <w:top w:val="single" w:sz="4" w:space="0" w:color="002B52" w:themeColor="accent2" w:themeShade="95"/>
        <w:left w:val="single" w:sz="4" w:space="0" w:color="002B52" w:themeColor="accent2" w:themeShade="95"/>
        <w:bottom w:val="single" w:sz="4" w:space="0" w:color="002B52" w:themeColor="accent2" w:themeShade="95"/>
        <w:right w:val="single" w:sz="4" w:space="0" w:color="002B52" w:themeColor="accent2" w:themeShade="95"/>
        <w:insideH w:val="single" w:sz="4" w:space="0" w:color="002B52" w:themeColor="accent2" w:themeShade="95"/>
        <w:insideV w:val="single" w:sz="4" w:space="0" w:color="002B52" w:themeColor="accent2" w:themeShade="95"/>
      </w:tblBorders>
    </w:tblPr>
    <w:tblStylePr w:type="firstRow">
      <w:rPr>
        <w:rFonts w:ascii="Arial" w:hAnsi="Arial"/>
        <w:color w:val="F2F2F2"/>
        <w:sz w:val="22"/>
      </w:rPr>
      <w:tblPr/>
      <w:tcPr>
        <w:shd w:val="clear" w:color="FFFFFF" w:fill="2498FF" w:themeFill="accent2" w:themeFillTint="97"/>
      </w:tcPr>
    </w:tblStylePr>
    <w:tblStylePr w:type="lastRow">
      <w:rPr>
        <w:rFonts w:ascii="Arial" w:hAnsi="Arial"/>
        <w:color w:val="F2F2F2"/>
        <w:sz w:val="22"/>
      </w:rPr>
      <w:tblPr/>
      <w:tcPr>
        <w:shd w:val="clear" w:color="FFFFFF" w:fill="2498FF" w:themeFill="accent2" w:themeFillTint="97"/>
      </w:tcPr>
    </w:tblStylePr>
    <w:tblStylePr w:type="firstCol">
      <w:rPr>
        <w:rFonts w:ascii="Arial" w:hAnsi="Arial"/>
        <w:color w:val="F2F2F2"/>
        <w:sz w:val="22"/>
      </w:rPr>
      <w:tblPr/>
      <w:tcPr>
        <w:shd w:val="clear" w:color="FFFFFF" w:fill="2498FF" w:themeFill="accent2" w:themeFillTint="97"/>
      </w:tcPr>
    </w:tblStylePr>
    <w:tblStylePr w:type="lastCol">
      <w:rPr>
        <w:rFonts w:ascii="Arial" w:hAnsi="Arial"/>
        <w:color w:val="F2F2F2"/>
        <w:sz w:val="22"/>
      </w:rPr>
      <w:tblPr/>
      <w:tcPr>
        <w:shd w:val="clear" w:color="FFFFFF" w:fill="2498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B6DC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B6DCFF" w:themeFill="accent2" w:themeFillTint="32"/>
      </w:tcPr>
    </w:tblStylePr>
  </w:style>
  <w:style w:type="table" w:customStyle="1" w:styleId="BorderedLined-Accent3">
    <w:name w:val="Bordered &amp; Lined - Accent 3"/>
    <w:basedOn w:val="Normlntabulka"/>
    <w:uiPriority w:val="99"/>
    <w:pPr>
      <w:spacing w:after="0" w:line="240" w:lineRule="auto"/>
    </w:pPr>
    <w:rPr>
      <w:color w:val="404040"/>
      <w:sz w:val="20"/>
      <w:szCs w:val="20"/>
      <w:lang w:eastAsia="cs-CZ"/>
    </w:rPr>
    <w:tblPr>
      <w:tblStyleRowBandSize w:val="1"/>
      <w:tblStyleColBandSize w:val="1"/>
      <w:tblBorders>
        <w:top w:val="single" w:sz="4" w:space="0" w:color="00577D" w:themeColor="accent3" w:themeShade="95"/>
        <w:left w:val="single" w:sz="4" w:space="0" w:color="00577D" w:themeColor="accent3" w:themeShade="95"/>
        <w:bottom w:val="single" w:sz="4" w:space="0" w:color="00577D" w:themeColor="accent3" w:themeShade="95"/>
        <w:right w:val="single" w:sz="4" w:space="0" w:color="00577D" w:themeColor="accent3" w:themeShade="95"/>
        <w:insideH w:val="single" w:sz="4" w:space="0" w:color="00577D" w:themeColor="accent3" w:themeShade="95"/>
        <w:insideV w:val="single" w:sz="4" w:space="0" w:color="00577D" w:themeColor="accent3" w:themeShade="95"/>
      </w:tblBorders>
    </w:tblPr>
    <w:tblStylePr w:type="firstRow">
      <w:rPr>
        <w:rFonts w:ascii="Arial" w:hAnsi="Arial"/>
        <w:color w:val="F2F2F2"/>
        <w:sz w:val="22"/>
      </w:rPr>
      <w:tblPr/>
      <w:tcPr>
        <w:shd w:val="clear" w:color="FFFFFF" w:fill="0096D7" w:themeFill="accent3" w:themeFillTint="FE"/>
      </w:tcPr>
    </w:tblStylePr>
    <w:tblStylePr w:type="lastRow">
      <w:rPr>
        <w:rFonts w:ascii="Arial" w:hAnsi="Arial"/>
        <w:color w:val="F2F2F2"/>
        <w:sz w:val="22"/>
      </w:rPr>
      <w:tblPr/>
      <w:tcPr>
        <w:shd w:val="clear" w:color="FFFFFF" w:fill="0096D7" w:themeFill="accent3" w:themeFillTint="FE"/>
      </w:tcPr>
    </w:tblStylePr>
    <w:tblStylePr w:type="firstCol">
      <w:rPr>
        <w:rFonts w:ascii="Arial" w:hAnsi="Arial"/>
        <w:color w:val="F2F2F2"/>
        <w:sz w:val="22"/>
      </w:rPr>
      <w:tblPr/>
      <w:tcPr>
        <w:shd w:val="clear" w:color="FFFFFF" w:fill="0096D7" w:themeFill="accent3" w:themeFillTint="FE"/>
      </w:tcPr>
    </w:tblStylePr>
    <w:tblStylePr w:type="lastCol">
      <w:rPr>
        <w:rFonts w:ascii="Arial" w:hAnsi="Arial"/>
        <w:color w:val="F2F2F2"/>
        <w:sz w:val="22"/>
      </w:rPr>
      <w:tblPr/>
      <w:tcPr>
        <w:shd w:val="clear" w:color="FFFFFF" w:fill="0096D7"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C2ECFF"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C2ECFF" w:themeFill="accent3" w:themeFillTint="34"/>
      </w:tcPr>
    </w:tblStylePr>
  </w:style>
  <w:style w:type="table" w:customStyle="1" w:styleId="BorderedLined-Accent4">
    <w:name w:val="Bordered &amp; Lined - Accent 4"/>
    <w:basedOn w:val="Normlntabulka"/>
    <w:uiPriority w:val="99"/>
    <w:pPr>
      <w:spacing w:after="0" w:line="240" w:lineRule="auto"/>
    </w:pPr>
    <w:rPr>
      <w:color w:val="404040"/>
      <w:sz w:val="20"/>
      <w:szCs w:val="20"/>
      <w:lang w:eastAsia="cs-CZ"/>
    </w:rPr>
    <w:tblPr>
      <w:tblStyleRowBandSize w:val="1"/>
      <w:tblStyleColBandSize w:val="1"/>
      <w:tblBorders>
        <w:top w:val="single" w:sz="4" w:space="0" w:color="690A0F" w:themeColor="accent4" w:themeShade="95"/>
        <w:left w:val="single" w:sz="4" w:space="0" w:color="690A0F" w:themeColor="accent4" w:themeShade="95"/>
        <w:bottom w:val="single" w:sz="4" w:space="0" w:color="690A0F" w:themeColor="accent4" w:themeShade="95"/>
        <w:right w:val="single" w:sz="4" w:space="0" w:color="690A0F" w:themeColor="accent4" w:themeShade="95"/>
        <w:insideH w:val="single" w:sz="4" w:space="0" w:color="690A0F" w:themeColor="accent4" w:themeShade="95"/>
        <w:insideV w:val="single" w:sz="4" w:space="0" w:color="690A0F" w:themeColor="accent4" w:themeShade="95"/>
      </w:tblBorders>
    </w:tblPr>
    <w:tblStylePr w:type="firstRow">
      <w:rPr>
        <w:rFonts w:ascii="Arial" w:hAnsi="Arial"/>
        <w:color w:val="F2F2F2"/>
        <w:sz w:val="22"/>
      </w:rPr>
      <w:tblPr/>
      <w:tcPr>
        <w:shd w:val="clear" w:color="FFFFFF" w:fill="EE545C" w:themeFill="accent4" w:themeFillTint="9A"/>
      </w:tcPr>
    </w:tblStylePr>
    <w:tblStylePr w:type="lastRow">
      <w:rPr>
        <w:rFonts w:ascii="Arial" w:hAnsi="Arial"/>
        <w:color w:val="F2F2F2"/>
        <w:sz w:val="22"/>
      </w:rPr>
      <w:tblPr/>
      <w:tcPr>
        <w:shd w:val="clear" w:color="FFFFFF" w:fill="EE545C" w:themeFill="accent4" w:themeFillTint="9A"/>
      </w:tcPr>
    </w:tblStylePr>
    <w:tblStylePr w:type="firstCol">
      <w:rPr>
        <w:rFonts w:ascii="Arial" w:hAnsi="Arial"/>
        <w:color w:val="F2F2F2"/>
        <w:sz w:val="22"/>
      </w:rPr>
      <w:tblPr/>
      <w:tcPr>
        <w:shd w:val="clear" w:color="FFFFFF" w:fill="EE545C" w:themeFill="accent4" w:themeFillTint="9A"/>
      </w:tcPr>
    </w:tblStylePr>
    <w:tblStylePr w:type="lastCol">
      <w:rPr>
        <w:rFonts w:ascii="Arial" w:hAnsi="Arial"/>
        <w:color w:val="F2F2F2"/>
        <w:sz w:val="22"/>
      </w:rPr>
      <w:tblPr/>
      <w:tcPr>
        <w:shd w:val="clear" w:color="FFFFFF" w:fill="EE545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9C5C7"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9C5C7" w:themeFill="accent4" w:themeFillTint="34"/>
      </w:tcPr>
    </w:tblStylePr>
  </w:style>
  <w:style w:type="table" w:customStyle="1" w:styleId="BorderedLined-Accent5">
    <w:name w:val="Bordered &amp; Lined - Accent 5"/>
    <w:basedOn w:val="Normlntabulka"/>
    <w:uiPriority w:val="99"/>
    <w:pPr>
      <w:spacing w:after="0" w:line="240" w:lineRule="auto"/>
    </w:pPr>
    <w:rPr>
      <w:color w:val="404040"/>
      <w:sz w:val="20"/>
      <w:szCs w:val="20"/>
      <w:lang w:eastAsia="cs-CZ"/>
    </w:rPr>
    <w:tblPr>
      <w:tblStyleRowBandSize w:val="1"/>
      <w:tblStyleColBandSize w:val="1"/>
      <w:tblBorders>
        <w:top w:val="single" w:sz="4" w:space="0" w:color="1A97E2" w:themeColor="accent5" w:themeShade="95"/>
        <w:left w:val="single" w:sz="4" w:space="0" w:color="1A97E2" w:themeColor="accent5" w:themeShade="95"/>
        <w:bottom w:val="single" w:sz="4" w:space="0" w:color="1A97E2" w:themeColor="accent5" w:themeShade="95"/>
        <w:right w:val="single" w:sz="4" w:space="0" w:color="1A97E2" w:themeColor="accent5" w:themeShade="95"/>
        <w:insideH w:val="single" w:sz="4" w:space="0" w:color="1A97E2" w:themeColor="accent5" w:themeShade="95"/>
        <w:insideV w:val="single" w:sz="4" w:space="0" w:color="1A97E2" w:themeColor="accent5" w:themeShade="95"/>
      </w:tblBorders>
    </w:tblPr>
    <w:tblStylePr w:type="firstRow">
      <w:rPr>
        <w:rFonts w:ascii="Arial" w:hAnsi="Arial"/>
        <w:color w:val="F2F2F2"/>
        <w:sz w:val="22"/>
      </w:rPr>
      <w:tblPr/>
      <w:tcPr>
        <w:shd w:val="clear" w:color="FFFFFF" w:fill="B9E0F7" w:themeFill="accent5"/>
      </w:tcPr>
    </w:tblStylePr>
    <w:tblStylePr w:type="lastRow">
      <w:rPr>
        <w:rFonts w:ascii="Arial" w:hAnsi="Arial"/>
        <w:color w:val="F2F2F2"/>
        <w:sz w:val="22"/>
      </w:rPr>
      <w:tblPr/>
      <w:tcPr>
        <w:shd w:val="clear" w:color="FFFFFF" w:fill="B9E0F7" w:themeFill="accent5"/>
      </w:tcPr>
    </w:tblStylePr>
    <w:tblStylePr w:type="firstCol">
      <w:rPr>
        <w:rFonts w:ascii="Arial" w:hAnsi="Arial"/>
        <w:color w:val="F2F2F2"/>
        <w:sz w:val="22"/>
      </w:rPr>
      <w:tblPr/>
      <w:tcPr>
        <w:shd w:val="clear" w:color="FFFFFF" w:fill="B9E0F7" w:themeFill="accent5"/>
      </w:tcPr>
    </w:tblStylePr>
    <w:tblStylePr w:type="lastCol">
      <w:rPr>
        <w:rFonts w:ascii="Arial" w:hAnsi="Arial"/>
        <w:color w:val="F2F2F2"/>
        <w:sz w:val="22"/>
      </w:rPr>
      <w:tblPr/>
      <w:tcPr>
        <w:shd w:val="clear" w:color="FFFFFF" w:fill="B9E0F7"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F0F8F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0F8FD" w:themeFill="accent5" w:themeFillTint="34"/>
      </w:tcPr>
    </w:tblStylePr>
  </w:style>
  <w:style w:type="table" w:customStyle="1" w:styleId="BorderedLined-Accent6">
    <w:name w:val="Bordered &amp; Lined - Accent 6"/>
    <w:basedOn w:val="Normlntabulka"/>
    <w:uiPriority w:val="99"/>
    <w:pPr>
      <w:spacing w:after="0" w:line="240" w:lineRule="auto"/>
    </w:pPr>
    <w:rPr>
      <w:color w:val="404040"/>
      <w:sz w:val="20"/>
      <w:szCs w:val="20"/>
      <w:lang w:eastAsia="cs-CZ"/>
    </w:rPr>
    <w:tblPr>
      <w:tblStyleRowBandSize w:val="1"/>
      <w:tblStyleColBandSize w:val="1"/>
      <w:tblBorders>
        <w:top w:val="single" w:sz="4" w:space="0" w:color="0B6988" w:themeColor="accent6" w:themeShade="95"/>
        <w:left w:val="single" w:sz="4" w:space="0" w:color="0B6988" w:themeColor="accent6" w:themeShade="95"/>
        <w:bottom w:val="single" w:sz="4" w:space="0" w:color="0B6988" w:themeColor="accent6" w:themeShade="95"/>
        <w:right w:val="single" w:sz="4" w:space="0" w:color="0B6988" w:themeColor="accent6" w:themeShade="95"/>
        <w:insideH w:val="single" w:sz="4" w:space="0" w:color="0B6988" w:themeColor="accent6" w:themeShade="95"/>
        <w:insideV w:val="single" w:sz="4" w:space="0" w:color="0B6988" w:themeColor="accent6" w:themeShade="95"/>
      </w:tblBorders>
    </w:tblPr>
    <w:tblStylePr w:type="firstRow">
      <w:rPr>
        <w:rFonts w:ascii="Arial" w:hAnsi="Arial"/>
        <w:color w:val="F2F2F2"/>
        <w:sz w:val="22"/>
      </w:rPr>
      <w:tblPr/>
      <w:tcPr>
        <w:shd w:val="clear" w:color="FFFFFF" w:fill="13B5EA" w:themeFill="accent6"/>
      </w:tcPr>
    </w:tblStylePr>
    <w:tblStylePr w:type="lastRow">
      <w:rPr>
        <w:rFonts w:ascii="Arial" w:hAnsi="Arial"/>
        <w:color w:val="F2F2F2"/>
        <w:sz w:val="22"/>
      </w:rPr>
      <w:tblPr/>
      <w:tcPr>
        <w:shd w:val="clear" w:color="FFFFFF" w:fill="13B5EA" w:themeFill="accent6"/>
      </w:tcPr>
    </w:tblStylePr>
    <w:tblStylePr w:type="firstCol">
      <w:rPr>
        <w:rFonts w:ascii="Arial" w:hAnsi="Arial"/>
        <w:color w:val="F2F2F2"/>
        <w:sz w:val="22"/>
      </w:rPr>
      <w:tblPr/>
      <w:tcPr>
        <w:shd w:val="clear" w:color="FFFFFF" w:fill="13B5EA" w:themeFill="accent6"/>
      </w:tcPr>
    </w:tblStylePr>
    <w:tblStylePr w:type="lastCol">
      <w:rPr>
        <w:rFonts w:ascii="Arial" w:hAnsi="Arial"/>
        <w:color w:val="F2F2F2"/>
        <w:sz w:val="22"/>
      </w:rPr>
      <w:tblPr/>
      <w:tcPr>
        <w:shd w:val="clear" w:color="FFFFFF" w:fill="13B5EA"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CEF0FB"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CEF0FB" w:themeFill="accent6" w:themeFillTint="34"/>
      </w:tcPr>
    </w:tblStylePr>
  </w:style>
  <w:style w:type="table" w:customStyle="1" w:styleId="Bordered">
    <w:name w:val="Bordered"/>
    <w:basedOn w:val="Normlntabulka"/>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lntabulka"/>
    <w:uiPriority w:val="99"/>
    <w:pPr>
      <w:spacing w:after="0" w:line="240" w:lineRule="auto"/>
    </w:pPr>
    <w:tblPr>
      <w:tblStyleRowBandSize w:val="1"/>
      <w:tblStyleColBandSize w:val="1"/>
      <w:tblBorders>
        <w:top w:val="single" w:sz="4" w:space="0" w:color="F4A2A5" w:themeColor="accent1" w:themeTint="67"/>
        <w:left w:val="single" w:sz="4" w:space="0" w:color="F4A2A5" w:themeColor="accent1" w:themeTint="67"/>
        <w:bottom w:val="single" w:sz="4" w:space="0" w:color="F4A2A5" w:themeColor="accent1" w:themeTint="67"/>
        <w:right w:val="single" w:sz="4" w:space="0" w:color="F4A2A5" w:themeColor="accent1" w:themeTint="67"/>
        <w:insideH w:val="single" w:sz="4" w:space="0" w:color="F4A2A5" w:themeColor="accent1" w:themeTint="67"/>
        <w:insideV w:val="single" w:sz="4" w:space="0" w:color="F4A2A5" w:themeColor="accent1" w:themeTint="67"/>
      </w:tblBorders>
    </w:tblPr>
    <w:tblStylePr w:type="firstRow">
      <w:rPr>
        <w:rFonts w:ascii="Arial" w:hAnsi="Arial"/>
        <w:color w:val="404040"/>
        <w:sz w:val="22"/>
      </w:rPr>
      <w:tblPr/>
      <w:tcPr>
        <w:tcBorders>
          <w:bottom w:val="single" w:sz="12" w:space="0" w:color="E31B23" w:themeColor="accent1"/>
        </w:tcBorders>
      </w:tcPr>
    </w:tblStylePr>
    <w:tblStylePr w:type="lastRow">
      <w:rPr>
        <w:rFonts w:ascii="Arial" w:hAnsi="Arial"/>
        <w:color w:val="404040"/>
        <w:sz w:val="22"/>
      </w:rPr>
      <w:tblPr/>
      <w:tcPr>
        <w:tcBorders>
          <w:top w:val="single" w:sz="12" w:space="0" w:color="E31B23"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31B23" w:themeColor="accent1"/>
        </w:tcBorders>
      </w:tcPr>
    </w:tblStylePr>
    <w:tblStylePr w:type="band1Horz">
      <w:rPr>
        <w:rFonts w:ascii="Arial" w:hAnsi="Arial"/>
        <w:color w:val="404040"/>
        <w:sz w:val="22"/>
      </w:rPr>
      <w:tblPr/>
      <w:tcPr>
        <w:tcBorders>
          <w:top w:val="single" w:sz="4" w:space="0" w:color="F4A2A5" w:themeColor="accent1" w:themeTint="67"/>
          <w:left w:val="single" w:sz="4" w:space="0" w:color="F4A2A5" w:themeColor="accent1" w:themeTint="67"/>
          <w:bottom w:val="single" w:sz="4" w:space="0" w:color="F4A2A5" w:themeColor="accent1" w:themeTint="67"/>
          <w:right w:val="single" w:sz="4" w:space="0" w:color="F4A2A5" w:themeColor="accent1" w:themeTint="67"/>
        </w:tcBorders>
      </w:tcPr>
    </w:tblStylePr>
  </w:style>
  <w:style w:type="table" w:customStyle="1" w:styleId="Bordered-Accent2">
    <w:name w:val="Bordered - Accent 2"/>
    <w:basedOn w:val="Normlntabulka"/>
    <w:uiPriority w:val="99"/>
    <w:pPr>
      <w:spacing w:after="0" w:line="240" w:lineRule="auto"/>
    </w:pPr>
    <w:tblPr>
      <w:tblStyleRowBandSize w:val="1"/>
      <w:tblStyleColBandSize w:val="1"/>
      <w:tblBorders>
        <w:top w:val="single" w:sz="4" w:space="0" w:color="69B8FF" w:themeColor="accent2" w:themeTint="67"/>
        <w:left w:val="single" w:sz="4" w:space="0" w:color="69B8FF" w:themeColor="accent2" w:themeTint="67"/>
        <w:bottom w:val="single" w:sz="4" w:space="0" w:color="69B8FF" w:themeColor="accent2" w:themeTint="67"/>
        <w:right w:val="single" w:sz="4" w:space="0" w:color="69B8FF" w:themeColor="accent2" w:themeTint="67"/>
        <w:insideH w:val="single" w:sz="4" w:space="0" w:color="69B8FF" w:themeColor="accent2" w:themeTint="67"/>
        <w:insideV w:val="single" w:sz="4" w:space="0" w:color="69B8FF" w:themeColor="accent2" w:themeTint="67"/>
      </w:tblBorders>
    </w:tblPr>
    <w:tblStylePr w:type="firstRow">
      <w:rPr>
        <w:rFonts w:ascii="Arial" w:hAnsi="Arial"/>
        <w:color w:val="404040"/>
        <w:sz w:val="22"/>
      </w:rPr>
      <w:tblPr/>
      <w:tcPr>
        <w:tcBorders>
          <w:bottom w:val="single" w:sz="12" w:space="0" w:color="2498FF" w:themeColor="accent2" w:themeTint="97"/>
        </w:tcBorders>
      </w:tcPr>
    </w:tblStylePr>
    <w:tblStylePr w:type="lastRow">
      <w:rPr>
        <w:rFonts w:ascii="Arial" w:hAnsi="Arial"/>
        <w:color w:val="404040"/>
        <w:sz w:val="22"/>
      </w:rPr>
      <w:tblPr/>
      <w:tcPr>
        <w:tcBorders>
          <w:top w:val="single" w:sz="12" w:space="0" w:color="2498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2498FF" w:themeColor="accent2" w:themeTint="97"/>
        </w:tcBorders>
      </w:tcPr>
    </w:tblStylePr>
    <w:tblStylePr w:type="band1Horz">
      <w:rPr>
        <w:rFonts w:ascii="Arial" w:hAnsi="Arial"/>
        <w:color w:val="404040"/>
        <w:sz w:val="22"/>
      </w:rPr>
      <w:tblPr/>
      <w:tcPr>
        <w:tcBorders>
          <w:top w:val="single" w:sz="4" w:space="0" w:color="69B8FF" w:themeColor="accent2" w:themeTint="67"/>
          <w:left w:val="single" w:sz="4" w:space="0" w:color="69B8FF" w:themeColor="accent2" w:themeTint="67"/>
          <w:bottom w:val="single" w:sz="4" w:space="0" w:color="69B8FF" w:themeColor="accent2" w:themeTint="67"/>
          <w:right w:val="single" w:sz="4" w:space="0" w:color="69B8FF" w:themeColor="accent2" w:themeTint="67"/>
        </w:tcBorders>
      </w:tcPr>
    </w:tblStylePr>
  </w:style>
  <w:style w:type="table" w:customStyle="1" w:styleId="Bordered-Accent3">
    <w:name w:val="Bordered - Accent 3"/>
    <w:basedOn w:val="Normlntabulka"/>
    <w:uiPriority w:val="99"/>
    <w:pPr>
      <w:spacing w:after="0" w:line="240" w:lineRule="auto"/>
    </w:pPr>
    <w:tblPr>
      <w:tblStyleRowBandSize w:val="1"/>
      <w:tblStyleColBandSize w:val="1"/>
      <w:tblBorders>
        <w:top w:val="single" w:sz="4" w:space="0" w:color="87DAFF" w:themeColor="accent3" w:themeTint="67"/>
        <w:left w:val="single" w:sz="4" w:space="0" w:color="87DAFF" w:themeColor="accent3" w:themeTint="67"/>
        <w:bottom w:val="single" w:sz="4" w:space="0" w:color="87DAFF" w:themeColor="accent3" w:themeTint="67"/>
        <w:right w:val="single" w:sz="4" w:space="0" w:color="87DAFF" w:themeColor="accent3" w:themeTint="67"/>
        <w:insideH w:val="single" w:sz="4" w:space="0" w:color="87DAFF" w:themeColor="accent3" w:themeTint="67"/>
        <w:insideV w:val="single" w:sz="4" w:space="0" w:color="87DAFF" w:themeColor="accent3" w:themeTint="67"/>
      </w:tblBorders>
    </w:tblPr>
    <w:tblStylePr w:type="firstRow">
      <w:rPr>
        <w:rFonts w:ascii="Arial" w:hAnsi="Arial"/>
        <w:color w:val="404040"/>
        <w:sz w:val="22"/>
      </w:rPr>
      <w:tblPr/>
      <w:tcPr>
        <w:tcBorders>
          <w:bottom w:val="single" w:sz="12" w:space="0" w:color="4EC9FF" w:themeColor="accent3" w:themeTint="98"/>
        </w:tcBorders>
      </w:tcPr>
    </w:tblStylePr>
    <w:tblStylePr w:type="lastRow">
      <w:rPr>
        <w:rFonts w:ascii="Arial" w:hAnsi="Arial"/>
        <w:color w:val="404040"/>
        <w:sz w:val="22"/>
      </w:rPr>
      <w:tblPr/>
      <w:tcPr>
        <w:tcBorders>
          <w:top w:val="single" w:sz="12" w:space="0" w:color="4EC9FF"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EC9FF" w:themeColor="accent3" w:themeTint="98"/>
        </w:tcBorders>
      </w:tcPr>
    </w:tblStylePr>
    <w:tblStylePr w:type="band1Horz">
      <w:rPr>
        <w:rFonts w:ascii="Arial" w:hAnsi="Arial"/>
        <w:color w:val="404040"/>
        <w:sz w:val="22"/>
      </w:rPr>
      <w:tblPr/>
      <w:tcPr>
        <w:tcBorders>
          <w:top w:val="single" w:sz="4" w:space="0" w:color="87DAFF" w:themeColor="accent3" w:themeTint="67"/>
          <w:left w:val="single" w:sz="4" w:space="0" w:color="87DAFF" w:themeColor="accent3" w:themeTint="67"/>
          <w:bottom w:val="single" w:sz="4" w:space="0" w:color="87DAFF" w:themeColor="accent3" w:themeTint="67"/>
          <w:right w:val="single" w:sz="4" w:space="0" w:color="87DAFF" w:themeColor="accent3" w:themeTint="67"/>
        </w:tcBorders>
      </w:tcPr>
    </w:tblStylePr>
  </w:style>
  <w:style w:type="table" w:customStyle="1" w:styleId="Bordered-Accent4">
    <w:name w:val="Bordered - Accent 4"/>
    <w:basedOn w:val="Normlntabulka"/>
    <w:uiPriority w:val="99"/>
    <w:pPr>
      <w:spacing w:after="0" w:line="240" w:lineRule="auto"/>
    </w:pPr>
    <w:tblPr>
      <w:tblStyleRowBandSize w:val="1"/>
      <w:tblStyleColBandSize w:val="1"/>
      <w:tblBorders>
        <w:top w:val="single" w:sz="4" w:space="0" w:color="F38C92" w:themeColor="accent4" w:themeTint="67"/>
        <w:left w:val="single" w:sz="4" w:space="0" w:color="F38C92" w:themeColor="accent4" w:themeTint="67"/>
        <w:bottom w:val="single" w:sz="4" w:space="0" w:color="F38C92" w:themeColor="accent4" w:themeTint="67"/>
        <w:right w:val="single" w:sz="4" w:space="0" w:color="F38C92" w:themeColor="accent4" w:themeTint="67"/>
        <w:insideH w:val="single" w:sz="4" w:space="0" w:color="F38C92" w:themeColor="accent4" w:themeTint="67"/>
        <w:insideV w:val="single" w:sz="4" w:space="0" w:color="F38C92" w:themeColor="accent4" w:themeTint="67"/>
      </w:tblBorders>
    </w:tblPr>
    <w:tblStylePr w:type="firstRow">
      <w:rPr>
        <w:rFonts w:ascii="Arial" w:hAnsi="Arial"/>
        <w:color w:val="404040"/>
        <w:sz w:val="22"/>
      </w:rPr>
      <w:tblPr/>
      <w:tcPr>
        <w:tcBorders>
          <w:bottom w:val="single" w:sz="12" w:space="0" w:color="EE545C" w:themeColor="accent4" w:themeTint="9A"/>
        </w:tcBorders>
      </w:tcPr>
    </w:tblStylePr>
    <w:tblStylePr w:type="lastRow">
      <w:rPr>
        <w:rFonts w:ascii="Arial" w:hAnsi="Arial"/>
        <w:color w:val="404040"/>
        <w:sz w:val="22"/>
      </w:rPr>
      <w:tblPr/>
      <w:tcPr>
        <w:tcBorders>
          <w:top w:val="single" w:sz="12" w:space="0" w:color="EE545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545C" w:themeColor="accent4" w:themeTint="9A"/>
        </w:tcBorders>
      </w:tcPr>
    </w:tblStylePr>
    <w:tblStylePr w:type="band1Horz">
      <w:rPr>
        <w:rFonts w:ascii="Arial" w:hAnsi="Arial"/>
        <w:color w:val="404040"/>
        <w:sz w:val="22"/>
      </w:rPr>
      <w:tblPr/>
      <w:tcPr>
        <w:tcBorders>
          <w:top w:val="single" w:sz="4" w:space="0" w:color="F38C92" w:themeColor="accent4" w:themeTint="67"/>
          <w:left w:val="single" w:sz="4" w:space="0" w:color="F38C92" w:themeColor="accent4" w:themeTint="67"/>
          <w:bottom w:val="single" w:sz="4" w:space="0" w:color="F38C92" w:themeColor="accent4" w:themeTint="67"/>
          <w:right w:val="single" w:sz="4" w:space="0" w:color="F38C92" w:themeColor="accent4" w:themeTint="67"/>
        </w:tcBorders>
      </w:tcPr>
    </w:tblStylePr>
  </w:style>
  <w:style w:type="table" w:customStyle="1" w:styleId="Bordered-Accent5">
    <w:name w:val="Bordered - Accent 5"/>
    <w:basedOn w:val="Normlntabulka"/>
    <w:uiPriority w:val="99"/>
    <w:pPr>
      <w:spacing w:after="0" w:line="240" w:lineRule="auto"/>
    </w:pPr>
    <w:tblPr>
      <w:tblStyleRowBandSize w:val="1"/>
      <w:tblStyleColBandSize w:val="1"/>
      <w:tblBorders>
        <w:top w:val="single" w:sz="4" w:space="0" w:color="E2F2FB" w:themeColor="accent5" w:themeTint="67"/>
        <w:left w:val="single" w:sz="4" w:space="0" w:color="E2F2FB" w:themeColor="accent5" w:themeTint="67"/>
        <w:bottom w:val="single" w:sz="4" w:space="0" w:color="E2F2FB" w:themeColor="accent5" w:themeTint="67"/>
        <w:right w:val="single" w:sz="4" w:space="0" w:color="E2F2FB" w:themeColor="accent5" w:themeTint="67"/>
        <w:insideH w:val="single" w:sz="4" w:space="0" w:color="E2F2FB" w:themeColor="accent5" w:themeTint="67"/>
        <w:insideV w:val="single" w:sz="4" w:space="0" w:color="E2F2FB" w:themeColor="accent5" w:themeTint="67"/>
      </w:tblBorders>
    </w:tblPr>
    <w:tblStylePr w:type="firstRow">
      <w:rPr>
        <w:rFonts w:ascii="Arial" w:hAnsi="Arial"/>
        <w:color w:val="404040"/>
        <w:sz w:val="22"/>
      </w:rPr>
      <w:tblPr/>
      <w:tcPr>
        <w:tcBorders>
          <w:bottom w:val="single" w:sz="12" w:space="0" w:color="D4ECFA" w:themeColor="accent5" w:themeTint="9A"/>
        </w:tcBorders>
      </w:tcPr>
    </w:tblStylePr>
    <w:tblStylePr w:type="lastRow">
      <w:rPr>
        <w:rFonts w:ascii="Arial" w:hAnsi="Arial"/>
        <w:color w:val="404040"/>
        <w:sz w:val="22"/>
      </w:rPr>
      <w:tblPr/>
      <w:tcPr>
        <w:tcBorders>
          <w:top w:val="single" w:sz="12" w:space="0" w:color="D4ECFA"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4ECFA" w:themeColor="accent5" w:themeTint="9A"/>
        </w:tcBorders>
      </w:tcPr>
    </w:tblStylePr>
    <w:tblStylePr w:type="band1Horz">
      <w:rPr>
        <w:rFonts w:ascii="Arial" w:hAnsi="Arial"/>
        <w:color w:val="404040"/>
        <w:sz w:val="22"/>
      </w:rPr>
      <w:tblPr/>
      <w:tcPr>
        <w:tcBorders>
          <w:top w:val="single" w:sz="4" w:space="0" w:color="E2F2FB" w:themeColor="accent5" w:themeTint="67"/>
          <w:left w:val="single" w:sz="4" w:space="0" w:color="E2F2FB" w:themeColor="accent5" w:themeTint="67"/>
          <w:bottom w:val="single" w:sz="4" w:space="0" w:color="E2F2FB" w:themeColor="accent5" w:themeTint="67"/>
          <w:right w:val="single" w:sz="4" w:space="0" w:color="E2F2FB" w:themeColor="accent5" w:themeTint="67"/>
        </w:tcBorders>
      </w:tcPr>
    </w:tblStylePr>
  </w:style>
  <w:style w:type="table" w:customStyle="1" w:styleId="Bordered-Accent6">
    <w:name w:val="Bordered - Accent 6"/>
    <w:basedOn w:val="Normlntabulka"/>
    <w:uiPriority w:val="99"/>
    <w:pPr>
      <w:spacing w:after="0" w:line="240" w:lineRule="auto"/>
    </w:pPr>
    <w:tblPr>
      <w:tblStyleRowBandSize w:val="1"/>
      <w:tblStyleColBandSize w:val="1"/>
      <w:tblBorders>
        <w:top w:val="single" w:sz="4" w:space="0" w:color="9EE1F7" w:themeColor="accent6" w:themeTint="67"/>
        <w:left w:val="single" w:sz="4" w:space="0" w:color="9EE1F7" w:themeColor="accent6" w:themeTint="67"/>
        <w:bottom w:val="single" w:sz="4" w:space="0" w:color="9EE1F7" w:themeColor="accent6" w:themeTint="67"/>
        <w:right w:val="single" w:sz="4" w:space="0" w:color="9EE1F7" w:themeColor="accent6" w:themeTint="67"/>
        <w:insideH w:val="single" w:sz="4" w:space="0" w:color="9EE1F7" w:themeColor="accent6" w:themeTint="67"/>
        <w:insideV w:val="single" w:sz="4" w:space="0" w:color="9EE1F7" w:themeColor="accent6" w:themeTint="67"/>
      </w:tblBorders>
    </w:tblPr>
    <w:tblStylePr w:type="firstRow">
      <w:rPr>
        <w:rFonts w:ascii="Arial" w:hAnsi="Arial"/>
        <w:color w:val="404040"/>
        <w:sz w:val="22"/>
      </w:rPr>
      <w:tblPr/>
      <w:tcPr>
        <w:tcBorders>
          <w:bottom w:val="single" w:sz="12" w:space="0" w:color="71D3F3" w:themeColor="accent6" w:themeTint="98"/>
        </w:tcBorders>
      </w:tcPr>
    </w:tblStylePr>
    <w:tblStylePr w:type="lastRow">
      <w:rPr>
        <w:rFonts w:ascii="Arial" w:hAnsi="Arial"/>
        <w:color w:val="404040"/>
        <w:sz w:val="22"/>
      </w:rPr>
      <w:tblPr/>
      <w:tcPr>
        <w:tcBorders>
          <w:top w:val="single" w:sz="12" w:space="0" w:color="71D3F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1D3F3" w:themeColor="accent6" w:themeTint="98"/>
        </w:tcBorders>
      </w:tcPr>
    </w:tblStylePr>
    <w:tblStylePr w:type="band1Horz">
      <w:rPr>
        <w:rFonts w:ascii="Arial" w:hAnsi="Arial"/>
        <w:color w:val="404040"/>
        <w:sz w:val="22"/>
      </w:rPr>
      <w:tblPr/>
      <w:tcPr>
        <w:tcBorders>
          <w:top w:val="single" w:sz="4" w:space="0" w:color="9EE1F7" w:themeColor="accent6" w:themeTint="67"/>
          <w:left w:val="single" w:sz="4" w:space="0" w:color="9EE1F7" w:themeColor="accent6" w:themeTint="67"/>
          <w:bottom w:val="single" w:sz="4" w:space="0" w:color="9EE1F7" w:themeColor="accent6" w:themeTint="67"/>
          <w:right w:val="single" w:sz="4" w:space="0" w:color="9EE1F7" w:themeColor="accent6" w:themeTint="67"/>
        </w:tcBorders>
      </w:tcPr>
    </w:tblStylePr>
  </w:style>
  <w:style w:type="character" w:customStyle="1" w:styleId="FootnoteTextChar">
    <w:name w:val="Footnote Text Char"/>
    <w:uiPriority w:val="99"/>
    <w:rPr>
      <w:sz w:val="18"/>
    </w:rPr>
  </w:style>
  <w:style w:type="paragraph" w:styleId="Textvysvtlivek">
    <w:name w:val="endnote text"/>
    <w:basedOn w:val="Normln"/>
    <w:link w:val="TextvysvtlivekChar"/>
    <w:uiPriority w:val="99"/>
    <w:semiHidden/>
    <w:unhideWhenUsed/>
    <w:pPr>
      <w:spacing w:after="0" w:line="240" w:lineRule="auto"/>
    </w:pPr>
    <w:rPr>
      <w:sz w:val="20"/>
    </w:rPr>
  </w:style>
  <w:style w:type="character" w:customStyle="1" w:styleId="TextvysvtlivekChar">
    <w:name w:val="Text vysvětlivek Char"/>
    <w:link w:val="Textvysvtlivek"/>
    <w:uiPriority w:val="99"/>
    <w:rPr>
      <w:sz w:val="20"/>
    </w:rPr>
  </w:style>
  <w:style w:type="character" w:styleId="Odkaznavysvtlivky">
    <w:name w:val="endnote reference"/>
    <w:basedOn w:val="Standardnpsmoodstavce"/>
    <w:uiPriority w:val="99"/>
    <w:semiHidden/>
    <w:unhideWhenUsed/>
    <w:rPr>
      <w:vertAlign w:val="superscript"/>
    </w:rPr>
  </w:style>
  <w:style w:type="paragraph" w:styleId="Seznamobrzk">
    <w:name w:val="table of figures"/>
    <w:basedOn w:val="Normln"/>
    <w:next w:val="Normln"/>
    <w:uiPriority w:val="99"/>
    <w:unhideWhenUsed/>
    <w:pPr>
      <w:spacing w:after="0"/>
    </w:pPr>
  </w:style>
  <w:style w:type="paragraph" w:styleId="Odstavecseseznamem">
    <w:name w:val="List Paragraph"/>
    <w:basedOn w:val="Normln"/>
    <w:link w:val="OdstavecseseznamemChar"/>
    <w:uiPriority w:val="34"/>
    <w:unhideWhenUsed/>
    <w:qFormat/>
    <w:pPr>
      <w:ind w:left="720"/>
      <w:contextualSpacing/>
    </w:pPr>
  </w:style>
  <w:style w:type="numbering" w:customStyle="1" w:styleId="VariantaB-odrky">
    <w:name w:val="Varianta B - odrážky"/>
    <w:uiPriority w:val="99"/>
    <w:pPr>
      <w:numPr>
        <w:numId w:val="2"/>
      </w:numPr>
    </w:pPr>
  </w:style>
  <w:style w:type="character" w:customStyle="1" w:styleId="Nadpis1Char">
    <w:name w:val="Nadpis 1 Char"/>
    <w:basedOn w:val="Standardnpsmoodstavce"/>
    <w:link w:val="Nadpis1"/>
    <w:uiPriority w:val="7"/>
    <w:rPr>
      <w:rFonts w:ascii="Calibri" w:eastAsia="Calibri" w:hAnsi="Calibri" w:cs="Calibri"/>
      <w:b/>
      <w:color w:val="000000" w:themeColor="text1"/>
      <w:sz w:val="28"/>
      <w:szCs w:val="32"/>
    </w:rPr>
  </w:style>
  <w:style w:type="numbering" w:customStyle="1" w:styleId="VariantaA-odrky">
    <w:name w:val="Varianta A - odrážky"/>
    <w:uiPriority w:val="99"/>
    <w:pPr>
      <w:numPr>
        <w:numId w:val="3"/>
      </w:numPr>
    </w:pPr>
  </w:style>
  <w:style w:type="character" w:customStyle="1" w:styleId="Nadpis2Char">
    <w:name w:val="Nadpis 2 Char"/>
    <w:basedOn w:val="Standardnpsmoodstavce"/>
    <w:link w:val="Nadpis2"/>
    <w:uiPriority w:val="7"/>
    <w:rPr>
      <w:rFonts w:ascii="Calibri" w:eastAsia="Calibri" w:hAnsi="Calibri" w:cs="Calibri"/>
      <w:b/>
      <w:color w:val="000000" w:themeColor="text1"/>
      <w:sz w:val="26"/>
      <w:szCs w:val="26"/>
    </w:rPr>
  </w:style>
  <w:style w:type="numbering" w:customStyle="1" w:styleId="VariantaA-sla">
    <w:name w:val="Varianta A - čísla"/>
    <w:uiPriority w:val="99"/>
    <w:pPr>
      <w:numPr>
        <w:numId w:val="5"/>
      </w:numPr>
    </w:pPr>
  </w:style>
  <w:style w:type="numbering" w:customStyle="1" w:styleId="VariantaB-sla">
    <w:name w:val="Varianta B - čísla"/>
    <w:uiPriority w:val="99"/>
    <w:pPr>
      <w:numPr>
        <w:numId w:val="4"/>
      </w:numPr>
    </w:pPr>
  </w:style>
  <w:style w:type="character" w:customStyle="1" w:styleId="Nadpis3Char">
    <w:name w:val="Nadpis 3 Char"/>
    <w:basedOn w:val="Standardnpsmoodstavce"/>
    <w:link w:val="Nadpis3"/>
    <w:uiPriority w:val="7"/>
    <w:rPr>
      <w:rFonts w:ascii="Calibri" w:eastAsia="Calibri" w:hAnsi="Calibri" w:cs="Calibri"/>
      <w:b/>
      <w:color w:val="000000" w:themeColor="text1"/>
      <w:sz w:val="24"/>
      <w:szCs w:val="24"/>
    </w:rPr>
  </w:style>
  <w:style w:type="character" w:customStyle="1" w:styleId="Nadpis4Char">
    <w:name w:val="Nadpis 4 Char"/>
    <w:basedOn w:val="Standardnpsmoodstavce"/>
    <w:link w:val="Nadpis4"/>
    <w:uiPriority w:val="7"/>
    <w:rPr>
      <w:rFonts w:ascii="Calibri" w:eastAsia="Calibri" w:hAnsi="Calibri" w:cs="Calibri"/>
      <w:i/>
      <w:iCs/>
      <w:color w:val="000000" w:themeColor="text1"/>
      <w:sz w:val="24"/>
    </w:rPr>
  </w:style>
  <w:style w:type="character" w:customStyle="1" w:styleId="Nadpis5Char">
    <w:name w:val="Nadpis 5 Char"/>
    <w:basedOn w:val="Standardnpsmoodstavce"/>
    <w:link w:val="Nadpis5"/>
    <w:uiPriority w:val="7"/>
    <w:rPr>
      <w:rFonts w:ascii="Calibri" w:eastAsia="Calibri" w:hAnsi="Calibri" w:cs="Calibri"/>
      <w:b/>
      <w:color w:val="000000" w:themeColor="text1"/>
    </w:rPr>
  </w:style>
  <w:style w:type="character" w:customStyle="1" w:styleId="Nadpis6Char">
    <w:name w:val="Nadpis 6 Char"/>
    <w:basedOn w:val="Standardnpsmoodstavce"/>
    <w:link w:val="Nadpis6"/>
    <w:uiPriority w:val="7"/>
    <w:rPr>
      <w:rFonts w:ascii="Calibri" w:eastAsia="Calibri" w:hAnsi="Calibri" w:cs="Calibri"/>
      <w:i/>
      <w:color w:val="000000" w:themeColor="text1"/>
    </w:rPr>
  </w:style>
  <w:style w:type="character" w:customStyle="1" w:styleId="Nadpis7Char">
    <w:name w:val="Nadpis 7 Char"/>
    <w:basedOn w:val="Standardnpsmoodstavce"/>
    <w:link w:val="Nadpis7"/>
    <w:uiPriority w:val="7"/>
    <w:rPr>
      <w:rFonts w:ascii="Calibri" w:eastAsia="Calibri" w:hAnsi="Calibri" w:cs="Calibri"/>
      <w:iCs/>
      <w:color w:val="000000" w:themeColor="text1"/>
    </w:rPr>
  </w:style>
  <w:style w:type="character" w:customStyle="1" w:styleId="Nadpis8Char">
    <w:name w:val="Nadpis 8 Char"/>
    <w:basedOn w:val="Standardnpsmoodstavce"/>
    <w:link w:val="Nadpis8"/>
    <w:uiPriority w:val="7"/>
    <w:rPr>
      <w:rFonts w:ascii="Calibri" w:eastAsia="Calibri" w:hAnsi="Calibri" w:cs="Calibri"/>
      <w:b/>
      <w:color w:val="272727" w:themeColor="text1" w:themeTint="D8"/>
      <w:sz w:val="21"/>
      <w:szCs w:val="21"/>
    </w:rPr>
  </w:style>
  <w:style w:type="character" w:customStyle="1" w:styleId="Nadpis9Char">
    <w:name w:val="Nadpis 9 Char"/>
    <w:basedOn w:val="Standardnpsmoodstavce"/>
    <w:link w:val="Nadpis9"/>
    <w:uiPriority w:val="7"/>
    <w:rPr>
      <w:rFonts w:ascii="Calibri" w:eastAsia="Calibri" w:hAnsi="Calibri" w:cs="Calibri"/>
      <w:i/>
      <w:iCs/>
      <w:color w:val="272727" w:themeColor="text1" w:themeTint="D8"/>
      <w:sz w:val="21"/>
      <w:szCs w:val="21"/>
    </w:rPr>
  </w:style>
  <w:style w:type="paragraph" w:styleId="Nzev">
    <w:name w:val="Title"/>
    <w:basedOn w:val="Normln"/>
    <w:next w:val="Normln"/>
    <w:link w:val="NzevChar"/>
    <w:uiPriority w:val="4"/>
    <w:pPr>
      <w:keepNext/>
      <w:keepLines/>
      <w:spacing w:after="0" w:line="240" w:lineRule="auto"/>
      <w:contextualSpacing/>
    </w:pPr>
    <w:rPr>
      <w:spacing w:val="-10"/>
      <w:sz w:val="48"/>
      <w:szCs w:val="56"/>
    </w:rPr>
  </w:style>
  <w:style w:type="character" w:customStyle="1" w:styleId="NzevChar">
    <w:name w:val="Název Char"/>
    <w:basedOn w:val="Standardnpsmoodstavce"/>
    <w:link w:val="Nzev"/>
    <w:uiPriority w:val="4"/>
    <w:rPr>
      <w:rFonts w:ascii="Calibri" w:eastAsia="Calibri" w:hAnsi="Calibri" w:cs="Calibri"/>
      <w:color w:val="000000" w:themeColor="text1"/>
      <w:spacing w:val="-10"/>
      <w:sz w:val="48"/>
      <w:szCs w:val="56"/>
    </w:rPr>
  </w:style>
  <w:style w:type="character" w:styleId="Zdraznnintenzivn">
    <w:name w:val="Intense Emphasis"/>
    <w:basedOn w:val="Standardnpsmoodstavce"/>
    <w:uiPriority w:val="21"/>
    <w:rPr>
      <w:b/>
      <w:i/>
      <w:iCs/>
      <w:color w:val="000000" w:themeColor="text1"/>
    </w:rPr>
  </w:style>
  <w:style w:type="paragraph" w:styleId="Vrazncitt">
    <w:name w:val="Intense Quote"/>
    <w:basedOn w:val="Normln"/>
    <w:next w:val="Normln"/>
    <w:link w:val="VrazncittChar"/>
    <w:uiPriority w:val="28"/>
    <w:pPr>
      <w:keepLines/>
      <w:pBdr>
        <w:top w:val="single" w:sz="4" w:space="10" w:color="000000" w:themeColor="text1"/>
        <w:bottom w:val="single" w:sz="4" w:space="10" w:color="000000" w:themeColor="text1"/>
      </w:pBdr>
      <w:spacing w:before="240" w:after="240"/>
      <w:ind w:left="357" w:right="357"/>
    </w:pPr>
    <w:rPr>
      <w:i/>
      <w:iCs/>
    </w:rPr>
  </w:style>
  <w:style w:type="character" w:customStyle="1" w:styleId="VrazncittChar">
    <w:name w:val="Výrazný citát Char"/>
    <w:basedOn w:val="Standardnpsmoodstavce"/>
    <w:link w:val="Vrazncitt"/>
    <w:uiPriority w:val="28"/>
    <w:rPr>
      <w:i/>
      <w:iCs/>
      <w:color w:val="000000" w:themeColor="text1"/>
    </w:rPr>
  </w:style>
  <w:style w:type="character" w:styleId="Odkazintenzivn">
    <w:name w:val="Intense Reference"/>
    <w:basedOn w:val="Standardnpsmoodstavce"/>
    <w:uiPriority w:val="24"/>
    <w:rPr>
      <w:b/>
      <w:bCs/>
      <w:smallCaps/>
      <w:color w:val="000000" w:themeColor="text1"/>
      <w:spacing w:val="5"/>
    </w:rPr>
  </w:style>
  <w:style w:type="paragraph" w:styleId="slovanseznam">
    <w:name w:val="List Number"/>
    <w:basedOn w:val="Normln"/>
    <w:uiPriority w:val="15"/>
    <w:pPr>
      <w:numPr>
        <w:numId w:val="8"/>
      </w:numPr>
      <w:spacing w:after="0"/>
    </w:pPr>
  </w:style>
  <w:style w:type="paragraph" w:styleId="slovanseznam2">
    <w:name w:val="List Number 2"/>
    <w:basedOn w:val="Normln"/>
    <w:uiPriority w:val="15"/>
    <w:pPr>
      <w:numPr>
        <w:ilvl w:val="1"/>
        <w:numId w:val="8"/>
      </w:numPr>
      <w:spacing w:after="0"/>
      <w:contextualSpacing/>
    </w:pPr>
  </w:style>
  <w:style w:type="paragraph" w:styleId="slovanseznam3">
    <w:name w:val="List Number 3"/>
    <w:basedOn w:val="Normln"/>
    <w:uiPriority w:val="15"/>
    <w:pPr>
      <w:numPr>
        <w:ilvl w:val="2"/>
        <w:numId w:val="8"/>
      </w:numPr>
      <w:spacing w:after="0"/>
      <w:contextualSpacing/>
    </w:pPr>
  </w:style>
  <w:style w:type="paragraph" w:styleId="slovanseznam4">
    <w:name w:val="List Number 4"/>
    <w:basedOn w:val="Normln"/>
    <w:uiPriority w:val="15"/>
    <w:pPr>
      <w:numPr>
        <w:ilvl w:val="3"/>
        <w:numId w:val="8"/>
      </w:numPr>
      <w:spacing w:after="0"/>
      <w:contextualSpacing/>
    </w:pPr>
  </w:style>
  <w:style w:type="paragraph" w:styleId="slovanseznam5">
    <w:name w:val="List Number 5"/>
    <w:basedOn w:val="Normln"/>
    <w:uiPriority w:val="15"/>
    <w:pPr>
      <w:numPr>
        <w:ilvl w:val="4"/>
        <w:numId w:val="8"/>
      </w:numPr>
      <w:spacing w:after="0"/>
      <w:contextualSpacing/>
    </w:pPr>
  </w:style>
  <w:style w:type="paragraph" w:customStyle="1" w:styleId="slovanseznamB">
    <w:name w:val="Číslovaný seznam B"/>
    <w:basedOn w:val="Normln"/>
    <w:uiPriority w:val="16"/>
    <w:pPr>
      <w:numPr>
        <w:numId w:val="6"/>
      </w:numPr>
      <w:spacing w:after="0"/>
    </w:pPr>
  </w:style>
  <w:style w:type="paragraph" w:customStyle="1" w:styleId="slovanseznamB2">
    <w:name w:val="Číslovaný seznam B 2"/>
    <w:basedOn w:val="Normln"/>
    <w:uiPriority w:val="16"/>
    <w:pPr>
      <w:numPr>
        <w:ilvl w:val="1"/>
        <w:numId w:val="6"/>
      </w:numPr>
      <w:spacing w:after="0"/>
    </w:pPr>
  </w:style>
  <w:style w:type="paragraph" w:customStyle="1" w:styleId="slovanseznamB3">
    <w:name w:val="Číslovaný seznam B 3"/>
    <w:basedOn w:val="Normln"/>
    <w:uiPriority w:val="16"/>
    <w:pPr>
      <w:numPr>
        <w:ilvl w:val="2"/>
        <w:numId w:val="6"/>
      </w:numPr>
      <w:spacing w:after="0"/>
    </w:pPr>
  </w:style>
  <w:style w:type="paragraph" w:customStyle="1" w:styleId="slovanseznamB4">
    <w:name w:val="Číslovaný seznam B 4"/>
    <w:basedOn w:val="Normln"/>
    <w:uiPriority w:val="16"/>
    <w:pPr>
      <w:numPr>
        <w:ilvl w:val="3"/>
        <w:numId w:val="6"/>
      </w:numPr>
      <w:spacing w:after="0"/>
    </w:pPr>
  </w:style>
  <w:style w:type="paragraph" w:customStyle="1" w:styleId="slovanseznamB5">
    <w:name w:val="Číslovaný seznam B 5"/>
    <w:basedOn w:val="Normln"/>
    <w:uiPriority w:val="16"/>
    <w:pPr>
      <w:numPr>
        <w:ilvl w:val="4"/>
        <w:numId w:val="6"/>
      </w:numPr>
      <w:spacing w:after="0"/>
    </w:pPr>
  </w:style>
  <w:style w:type="paragraph" w:styleId="Seznamsodrkami3">
    <w:name w:val="List Bullet 3"/>
    <w:basedOn w:val="Normln"/>
    <w:uiPriority w:val="10"/>
    <w:pPr>
      <w:numPr>
        <w:ilvl w:val="2"/>
        <w:numId w:val="7"/>
      </w:numPr>
      <w:spacing w:after="0"/>
      <w:contextualSpacing/>
    </w:pPr>
  </w:style>
  <w:style w:type="paragraph" w:styleId="Seznamsodrkami4">
    <w:name w:val="List Bullet 4"/>
    <w:basedOn w:val="Normln"/>
    <w:uiPriority w:val="10"/>
    <w:pPr>
      <w:numPr>
        <w:ilvl w:val="3"/>
        <w:numId w:val="7"/>
      </w:numPr>
      <w:spacing w:after="0"/>
      <w:contextualSpacing/>
    </w:pPr>
  </w:style>
  <w:style w:type="paragraph" w:styleId="Seznamsodrkami5">
    <w:name w:val="List Bullet 5"/>
    <w:basedOn w:val="Normln"/>
    <w:uiPriority w:val="10"/>
    <w:pPr>
      <w:numPr>
        <w:ilvl w:val="4"/>
        <w:numId w:val="7"/>
      </w:numPr>
      <w:spacing w:after="0"/>
    </w:pPr>
  </w:style>
  <w:style w:type="paragraph" w:styleId="Seznamsodrkami">
    <w:name w:val="List Bullet"/>
    <w:basedOn w:val="Normln"/>
    <w:uiPriority w:val="10"/>
    <w:pPr>
      <w:numPr>
        <w:numId w:val="7"/>
      </w:numPr>
      <w:spacing w:after="0"/>
      <w:contextualSpacing/>
    </w:pPr>
  </w:style>
  <w:style w:type="paragraph" w:styleId="Seznamsodrkami2">
    <w:name w:val="List Bullet 2"/>
    <w:basedOn w:val="Normln"/>
    <w:uiPriority w:val="10"/>
    <w:pPr>
      <w:numPr>
        <w:ilvl w:val="1"/>
        <w:numId w:val="7"/>
      </w:numPr>
      <w:spacing w:after="0"/>
      <w:contextualSpacing/>
    </w:pPr>
  </w:style>
  <w:style w:type="paragraph" w:customStyle="1" w:styleId="Nadpis1-mimoobsah">
    <w:name w:val="Nadpis 1 - mimo obsah"/>
    <w:basedOn w:val="Normln"/>
    <w:next w:val="Normln"/>
    <w:uiPriority w:val="8"/>
    <w:pPr>
      <w:keepNext/>
      <w:keepLines/>
      <w:spacing w:before="160" w:after="0"/>
    </w:pPr>
    <w:rPr>
      <w:b/>
      <w:sz w:val="28"/>
    </w:rPr>
  </w:style>
  <w:style w:type="paragraph" w:customStyle="1" w:styleId="Nadpis2-mimoobsah">
    <w:name w:val="Nadpis 2 - mimo obsah"/>
    <w:basedOn w:val="Normln"/>
    <w:next w:val="Normln"/>
    <w:uiPriority w:val="8"/>
    <w:pPr>
      <w:keepNext/>
      <w:keepLines/>
      <w:spacing w:before="80" w:after="0"/>
    </w:pPr>
    <w:rPr>
      <w:b/>
      <w:sz w:val="26"/>
    </w:rPr>
  </w:style>
  <w:style w:type="paragraph" w:customStyle="1" w:styleId="Nadpis3-mimoobsah">
    <w:name w:val="Nadpis 3 - mimo obsah"/>
    <w:basedOn w:val="Normln"/>
    <w:next w:val="Normln"/>
    <w:uiPriority w:val="8"/>
    <w:pPr>
      <w:keepNext/>
      <w:keepLines/>
      <w:spacing w:before="40" w:after="0"/>
    </w:pPr>
    <w:rPr>
      <w:b/>
      <w:sz w:val="24"/>
    </w:rPr>
  </w:style>
  <w:style w:type="paragraph" w:customStyle="1" w:styleId="Nadpis4-mimoobsah">
    <w:name w:val="Nadpis 4 - mimo obsah"/>
    <w:basedOn w:val="Normln"/>
    <w:next w:val="Normln"/>
    <w:uiPriority w:val="8"/>
    <w:pPr>
      <w:keepNext/>
      <w:keepLines/>
      <w:spacing w:before="40" w:after="0"/>
    </w:pPr>
    <w:rPr>
      <w:i/>
      <w:sz w:val="24"/>
    </w:rPr>
  </w:style>
  <w:style w:type="paragraph" w:customStyle="1" w:styleId="Nadpis5-mimoobsah">
    <w:name w:val="Nadpis 5 - mimo obsah"/>
    <w:basedOn w:val="Normln"/>
    <w:next w:val="Normln"/>
    <w:uiPriority w:val="8"/>
    <w:pPr>
      <w:keepNext/>
      <w:keepLines/>
      <w:spacing w:before="40" w:after="0"/>
    </w:pPr>
    <w:rPr>
      <w:b/>
    </w:rPr>
  </w:style>
  <w:style w:type="paragraph" w:customStyle="1" w:styleId="Nadpis7mimoobsah">
    <w:name w:val="Nadpis 7 mimo obsah"/>
    <w:basedOn w:val="Normln"/>
    <w:next w:val="Normln"/>
    <w:uiPriority w:val="8"/>
    <w:pPr>
      <w:keepNext/>
      <w:keepLines/>
      <w:spacing w:before="40" w:after="0"/>
    </w:pPr>
  </w:style>
  <w:style w:type="paragraph" w:customStyle="1" w:styleId="Nadpis6mimoobsah">
    <w:name w:val="Nadpis 6 mimo obsah"/>
    <w:basedOn w:val="Normln"/>
    <w:next w:val="Normln"/>
    <w:uiPriority w:val="8"/>
    <w:pPr>
      <w:keepNext/>
      <w:keepLines/>
      <w:spacing w:before="40" w:after="0"/>
    </w:pPr>
    <w:rPr>
      <w:i/>
    </w:rPr>
  </w:style>
  <w:style w:type="paragraph" w:customStyle="1" w:styleId="Nadpis8mimoobsah">
    <w:name w:val="Nadpis 8 mimo obsah"/>
    <w:basedOn w:val="Normln"/>
    <w:next w:val="Normln"/>
    <w:uiPriority w:val="8"/>
    <w:pPr>
      <w:keepNext/>
      <w:keepLines/>
      <w:spacing w:before="40" w:after="0"/>
    </w:pPr>
    <w:rPr>
      <w:b/>
      <w:sz w:val="21"/>
      <w:szCs w:val="21"/>
    </w:rPr>
  </w:style>
  <w:style w:type="paragraph" w:customStyle="1" w:styleId="Nadpis9mimoobsah">
    <w:name w:val="Nadpis 9 mimo obsah"/>
    <w:basedOn w:val="Normln"/>
    <w:next w:val="Normln"/>
    <w:uiPriority w:val="8"/>
    <w:pPr>
      <w:keepNext/>
      <w:keepLines/>
      <w:spacing w:before="40" w:after="0"/>
    </w:pPr>
    <w:rPr>
      <w:i/>
      <w:sz w:val="21"/>
      <w:szCs w:val="21"/>
    </w:rPr>
  </w:style>
  <w:style w:type="paragraph" w:styleId="Podnadpis">
    <w:name w:val="Subtitle"/>
    <w:basedOn w:val="Normln"/>
    <w:next w:val="Normln"/>
    <w:link w:val="PodnadpisChar"/>
    <w:uiPriority w:val="5"/>
    <w:pPr>
      <w:numPr>
        <w:ilvl w:val="1"/>
      </w:numPr>
    </w:pPr>
    <w:rPr>
      <w:color w:val="595959" w:themeColor="text1" w:themeTint="A6"/>
      <w:spacing w:val="15"/>
      <w:sz w:val="28"/>
    </w:rPr>
  </w:style>
  <w:style w:type="character" w:customStyle="1" w:styleId="PodnadpisChar">
    <w:name w:val="Podnadpis Char"/>
    <w:basedOn w:val="Standardnpsmoodstavce"/>
    <w:link w:val="Podnadpis"/>
    <w:uiPriority w:val="5"/>
    <w:rPr>
      <w:rFonts w:eastAsia="Calibri"/>
      <w:color w:val="595959" w:themeColor="text1" w:themeTint="A6"/>
      <w:spacing w:val="15"/>
      <w:sz w:val="28"/>
    </w:rPr>
  </w:style>
  <w:style w:type="paragraph" w:styleId="Obsah1">
    <w:name w:val="toc 1"/>
    <w:basedOn w:val="Normln"/>
    <w:next w:val="Normln"/>
    <w:uiPriority w:val="39"/>
    <w:unhideWhenUsed/>
    <w:pPr>
      <w:spacing w:after="100"/>
    </w:pPr>
  </w:style>
  <w:style w:type="paragraph" w:styleId="Obsah2">
    <w:name w:val="toc 2"/>
    <w:basedOn w:val="Normln"/>
    <w:next w:val="Normln"/>
    <w:uiPriority w:val="39"/>
    <w:unhideWhenUsed/>
    <w:pPr>
      <w:spacing w:after="100"/>
      <w:ind w:left="220"/>
    </w:pPr>
  </w:style>
  <w:style w:type="paragraph" w:styleId="Obsah3">
    <w:name w:val="toc 3"/>
    <w:basedOn w:val="Normln"/>
    <w:next w:val="Normln"/>
    <w:uiPriority w:val="39"/>
    <w:unhideWhenUsed/>
    <w:pPr>
      <w:spacing w:after="100"/>
      <w:ind w:left="440"/>
    </w:pPr>
  </w:style>
  <w:style w:type="paragraph" w:styleId="Obsah4">
    <w:name w:val="toc 4"/>
    <w:basedOn w:val="Normln"/>
    <w:next w:val="Normln"/>
    <w:uiPriority w:val="39"/>
    <w:unhideWhenUsed/>
    <w:pPr>
      <w:spacing w:after="100"/>
      <w:ind w:left="660"/>
    </w:pPr>
  </w:style>
  <w:style w:type="paragraph" w:styleId="Obsah5">
    <w:name w:val="toc 5"/>
    <w:basedOn w:val="Normln"/>
    <w:next w:val="Normln"/>
    <w:uiPriority w:val="39"/>
    <w:unhideWhenUsed/>
    <w:pPr>
      <w:spacing w:after="100"/>
      <w:ind w:left="880"/>
    </w:pPr>
  </w:style>
  <w:style w:type="paragraph" w:styleId="Obsah6">
    <w:name w:val="toc 6"/>
    <w:basedOn w:val="Normln"/>
    <w:next w:val="Normln"/>
    <w:uiPriority w:val="39"/>
    <w:unhideWhenUsed/>
    <w:pPr>
      <w:spacing w:after="100"/>
      <w:ind w:left="1100"/>
    </w:pPr>
  </w:style>
  <w:style w:type="paragraph" w:styleId="Obsah7">
    <w:name w:val="toc 7"/>
    <w:basedOn w:val="Normln"/>
    <w:next w:val="Normln"/>
    <w:uiPriority w:val="39"/>
    <w:unhideWhenUsed/>
    <w:pPr>
      <w:spacing w:after="100"/>
      <w:ind w:left="1320"/>
    </w:pPr>
  </w:style>
  <w:style w:type="paragraph" w:styleId="Obsah8">
    <w:name w:val="toc 8"/>
    <w:basedOn w:val="Normln"/>
    <w:next w:val="Normln"/>
    <w:uiPriority w:val="39"/>
    <w:unhideWhenUsed/>
    <w:pPr>
      <w:spacing w:after="100"/>
      <w:ind w:left="1540"/>
    </w:pPr>
  </w:style>
  <w:style w:type="paragraph" w:styleId="Obsah9">
    <w:name w:val="toc 9"/>
    <w:basedOn w:val="Normln"/>
    <w:next w:val="Normln"/>
    <w:uiPriority w:val="39"/>
    <w:unhideWhenUsed/>
    <w:pPr>
      <w:spacing w:after="100"/>
      <w:ind w:left="1760"/>
    </w:pPr>
  </w:style>
  <w:style w:type="character" w:styleId="Hypertextovodkaz">
    <w:name w:val="Hyperlink"/>
    <w:basedOn w:val="Standardnpsmoodstavce"/>
    <w:uiPriority w:val="99"/>
    <w:unhideWhenUsed/>
    <w:rPr>
      <w:color w:val="004B8D" w:themeColor="hyperlink"/>
      <w:u w:val="single"/>
    </w:rPr>
  </w:style>
  <w:style w:type="character" w:styleId="Zdraznnjemn">
    <w:name w:val="Subtle Emphasis"/>
    <w:basedOn w:val="Standardnpsmoodstavce"/>
    <w:uiPriority w:val="19"/>
    <w:rPr>
      <w:i/>
      <w:iCs/>
      <w:color w:val="595959" w:themeColor="text1" w:themeTint="A6"/>
    </w:rPr>
  </w:style>
  <w:style w:type="character" w:styleId="Odkazjemn">
    <w:name w:val="Subtle Reference"/>
    <w:basedOn w:val="Standardnpsmoodstavce"/>
    <w:uiPriority w:val="23"/>
    <w:rPr>
      <w:smallCaps/>
      <w:color w:val="5A5A5A" w:themeColor="text1" w:themeTint="A5"/>
    </w:rPr>
  </w:style>
  <w:style w:type="paragraph" w:styleId="Citt">
    <w:name w:val="Quote"/>
    <w:basedOn w:val="Normln"/>
    <w:next w:val="Normln"/>
    <w:link w:val="CittChar"/>
    <w:uiPriority w:val="27"/>
    <w:pPr>
      <w:keepLines/>
      <w:spacing w:before="240"/>
      <w:ind w:left="357" w:right="357"/>
    </w:pPr>
    <w:rPr>
      <w:i/>
      <w:iCs/>
      <w:color w:val="595959" w:themeColor="text1" w:themeTint="A6"/>
    </w:rPr>
  </w:style>
  <w:style w:type="character" w:customStyle="1" w:styleId="CittChar">
    <w:name w:val="Citát Char"/>
    <w:basedOn w:val="Standardnpsmoodstavce"/>
    <w:link w:val="Citt"/>
    <w:uiPriority w:val="27"/>
    <w:rPr>
      <w:i/>
      <w:iCs/>
      <w:color w:val="595959" w:themeColor="text1" w:themeTint="A6"/>
    </w:rPr>
  </w:style>
  <w:style w:type="character" w:styleId="Zdraznn">
    <w:name w:val="Emphasis"/>
    <w:basedOn w:val="Standardnpsmoodstavce"/>
    <w:uiPriority w:val="20"/>
    <w:rPr>
      <w:i/>
      <w:iCs/>
    </w:rPr>
  </w:style>
  <w:style w:type="paragraph" w:styleId="Nadpisobsahu">
    <w:name w:val="TOC Heading"/>
    <w:basedOn w:val="Nadpis1-mimoobsah"/>
    <w:next w:val="Normln"/>
    <w:uiPriority w:val="6"/>
    <w:unhideWhenUsed/>
  </w:style>
  <w:style w:type="paragraph" w:styleId="Datum">
    <w:name w:val="Date"/>
    <w:basedOn w:val="Normln"/>
    <w:next w:val="Normln"/>
    <w:link w:val="DatumChar"/>
    <w:uiPriority w:val="31"/>
    <w:unhideWhenUsed/>
  </w:style>
  <w:style w:type="character" w:customStyle="1" w:styleId="DatumChar">
    <w:name w:val="Datum Char"/>
    <w:basedOn w:val="Standardnpsmoodstavce"/>
    <w:link w:val="Datum"/>
    <w:uiPriority w:val="31"/>
    <w:rPr>
      <w:color w:val="000000" w:themeColor="text1"/>
    </w:rPr>
  </w:style>
  <w:style w:type="paragraph" w:styleId="Textvbloku">
    <w:name w:val="Block Text"/>
    <w:basedOn w:val="Normln"/>
    <w:uiPriority w:val="29"/>
    <w:unhideWhenUsed/>
    <w:pPr>
      <w:pBdr>
        <w:top w:val="single" w:sz="2" w:space="10" w:color="000000" w:themeColor="text1"/>
        <w:left w:val="single" w:sz="2" w:space="10" w:color="000000" w:themeColor="text1"/>
        <w:bottom w:val="single" w:sz="2" w:space="10" w:color="000000" w:themeColor="text1"/>
        <w:right w:val="single" w:sz="2" w:space="10" w:color="000000" w:themeColor="text1"/>
      </w:pBdr>
      <w:ind w:left="357" w:right="357"/>
    </w:pPr>
    <w:rPr>
      <w:i/>
      <w:iCs/>
    </w:rPr>
  </w:style>
  <w:style w:type="character" w:styleId="Sledovanodkaz">
    <w:name w:val="FollowedHyperlink"/>
    <w:basedOn w:val="Standardnpsmoodstavce"/>
    <w:uiPriority w:val="34"/>
    <w:semiHidden/>
    <w:unhideWhenUsed/>
    <w:rPr>
      <w:color w:val="595959" w:themeColor="text1" w:themeTint="A6"/>
      <w:u w:val="single"/>
    </w:rPr>
  </w:style>
  <w:style w:type="paragraph" w:styleId="Zkladntext">
    <w:name w:val="Body Text"/>
    <w:basedOn w:val="Normln"/>
    <w:link w:val="ZkladntextChar"/>
    <w:uiPriority w:val="1"/>
  </w:style>
  <w:style w:type="character" w:customStyle="1" w:styleId="ZkladntextChar">
    <w:name w:val="Základní text Char"/>
    <w:basedOn w:val="Standardnpsmoodstavce"/>
    <w:link w:val="Zkladntext"/>
    <w:uiPriority w:val="1"/>
    <w:rPr>
      <w:color w:val="000000" w:themeColor="text1"/>
    </w:rPr>
  </w:style>
  <w:style w:type="paragraph" w:styleId="Zkladntext-prvnodsazen">
    <w:name w:val="Body Text First Indent"/>
    <w:basedOn w:val="Zkladntext"/>
    <w:link w:val="Zkladntext-prvnodsazenChar"/>
    <w:uiPriority w:val="1"/>
    <w:pPr>
      <w:ind w:firstLine="357"/>
    </w:pPr>
  </w:style>
  <w:style w:type="character" w:customStyle="1" w:styleId="Zkladntext-prvnodsazenChar">
    <w:name w:val="Základní text - první odsazený Char"/>
    <w:basedOn w:val="ZkladntextChar"/>
    <w:link w:val="Zkladntext-prvnodsazen"/>
    <w:uiPriority w:val="1"/>
    <w:rPr>
      <w:color w:val="000000" w:themeColor="text1"/>
    </w:rPr>
  </w:style>
  <w:style w:type="paragraph" w:styleId="Zkladntextodsazen">
    <w:name w:val="Body Text Indent"/>
    <w:basedOn w:val="Normln"/>
    <w:link w:val="ZkladntextodsazenChar"/>
    <w:uiPriority w:val="1"/>
    <w:pPr>
      <w:ind w:left="357"/>
    </w:pPr>
  </w:style>
  <w:style w:type="character" w:customStyle="1" w:styleId="ZkladntextodsazenChar">
    <w:name w:val="Základní text odsazený Char"/>
    <w:basedOn w:val="Standardnpsmoodstavce"/>
    <w:link w:val="Zkladntextodsazen"/>
    <w:uiPriority w:val="1"/>
    <w:rPr>
      <w:color w:val="000000" w:themeColor="text1"/>
    </w:rPr>
  </w:style>
  <w:style w:type="paragraph" w:customStyle="1" w:styleId="SeznamsodrkamiB">
    <w:name w:val="Seznam s odrážkami B"/>
    <w:basedOn w:val="Normln"/>
    <w:uiPriority w:val="11"/>
    <w:pPr>
      <w:numPr>
        <w:numId w:val="9"/>
      </w:numPr>
      <w:spacing w:after="0"/>
    </w:pPr>
  </w:style>
  <w:style w:type="paragraph" w:customStyle="1" w:styleId="SeznamsodrkamiB2">
    <w:name w:val="Seznam s odrážkami B 2"/>
    <w:basedOn w:val="Normln"/>
    <w:uiPriority w:val="11"/>
    <w:pPr>
      <w:numPr>
        <w:ilvl w:val="1"/>
        <w:numId w:val="9"/>
      </w:numPr>
      <w:spacing w:after="0"/>
    </w:pPr>
  </w:style>
  <w:style w:type="paragraph" w:customStyle="1" w:styleId="SeznamsodrkamiB3">
    <w:name w:val="Seznam s odrážkami B 3"/>
    <w:basedOn w:val="Normln"/>
    <w:uiPriority w:val="11"/>
    <w:pPr>
      <w:numPr>
        <w:ilvl w:val="2"/>
        <w:numId w:val="9"/>
      </w:numPr>
      <w:spacing w:after="0"/>
    </w:pPr>
  </w:style>
  <w:style w:type="paragraph" w:customStyle="1" w:styleId="SeznamsodrkamiB4">
    <w:name w:val="Seznam s odrážkami B 4"/>
    <w:basedOn w:val="Normln"/>
    <w:uiPriority w:val="11"/>
    <w:pPr>
      <w:numPr>
        <w:ilvl w:val="3"/>
        <w:numId w:val="9"/>
      </w:numPr>
      <w:spacing w:after="0"/>
    </w:pPr>
  </w:style>
  <w:style w:type="paragraph" w:customStyle="1" w:styleId="SeznamsodrkamiB5">
    <w:name w:val="Seznam s odrážkami B 5"/>
    <w:basedOn w:val="Normln"/>
    <w:uiPriority w:val="11"/>
    <w:pPr>
      <w:numPr>
        <w:ilvl w:val="4"/>
        <w:numId w:val="9"/>
      </w:numPr>
      <w:spacing w:after="0"/>
    </w:pPr>
  </w:style>
  <w:style w:type="paragraph" w:styleId="Zhlav">
    <w:name w:val="header"/>
    <w:basedOn w:val="Normln"/>
    <w:link w:val="ZhlavChar"/>
    <w:uiPriority w:val="99"/>
    <w:unhideWhenUsed/>
    <w:pPr>
      <w:tabs>
        <w:tab w:val="center" w:pos="4536"/>
        <w:tab w:val="right" w:pos="9072"/>
      </w:tabs>
      <w:spacing w:after="0" w:line="240" w:lineRule="auto"/>
    </w:pPr>
  </w:style>
  <w:style w:type="character" w:customStyle="1" w:styleId="ZhlavChar">
    <w:name w:val="Záhlaví Char"/>
    <w:basedOn w:val="Standardnpsmoodstavce"/>
    <w:link w:val="Zhlav"/>
    <w:uiPriority w:val="99"/>
    <w:rPr>
      <w:color w:val="000000" w:themeColor="text1"/>
    </w:rPr>
  </w:style>
  <w:style w:type="paragraph" w:styleId="Zpat">
    <w:name w:val="footer"/>
    <w:basedOn w:val="Normln"/>
    <w:link w:val="ZpatChar"/>
    <w:uiPriority w:val="99"/>
    <w:unhideWhenUsed/>
    <w:pPr>
      <w:tabs>
        <w:tab w:val="center" w:pos="4536"/>
        <w:tab w:val="right" w:pos="9072"/>
      </w:tabs>
      <w:spacing w:after="0" w:line="240" w:lineRule="auto"/>
    </w:pPr>
  </w:style>
  <w:style w:type="character" w:customStyle="1" w:styleId="ZpatChar">
    <w:name w:val="Zápatí Char"/>
    <w:basedOn w:val="Standardnpsmoodstavce"/>
    <w:link w:val="Zpat"/>
    <w:uiPriority w:val="99"/>
    <w:rPr>
      <w:color w:val="000000" w:themeColor="text1"/>
    </w:rPr>
  </w:style>
  <w:style w:type="paragraph" w:customStyle="1" w:styleId="Default">
    <w:name w:val="Default"/>
    <w:link w:val="DefaultChar"/>
    <w:pPr>
      <w:spacing w:after="0" w:line="240" w:lineRule="auto"/>
    </w:pPr>
    <w:rPr>
      <w:rFonts w:ascii="Times New Roman" w:hAnsi="Times New Roman" w:cs="Times New Roman"/>
      <w:color w:val="000000"/>
      <w:sz w:val="24"/>
      <w:szCs w:val="24"/>
    </w:rPr>
  </w:style>
  <w:style w:type="paragraph" w:styleId="Textpoznpodarou">
    <w:name w:val="footnote text"/>
    <w:basedOn w:val="Normln"/>
    <w:link w:val="TextpoznpodarouChar"/>
    <w:uiPriority w:val="99"/>
    <w:semiHidden/>
    <w:unhideWhenUsed/>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Pr>
      <w:color w:val="000000" w:themeColor="text1"/>
      <w:sz w:val="20"/>
      <w:szCs w:val="20"/>
    </w:rPr>
  </w:style>
  <w:style w:type="character" w:styleId="Znakapoznpodarou">
    <w:name w:val="footnote reference"/>
    <w:basedOn w:val="Standardnpsmoodstavce"/>
    <w:uiPriority w:val="99"/>
    <w:semiHidden/>
    <w:unhideWhenUsed/>
    <w:rPr>
      <w:vertAlign w:val="superscript"/>
    </w:rPr>
  </w:style>
  <w:style w:type="character" w:customStyle="1" w:styleId="Nevyeenzmnka1">
    <w:name w:val="Nevyřešená zmínka1"/>
    <w:basedOn w:val="Standardnpsmoodstavce"/>
    <w:uiPriority w:val="99"/>
    <w:semiHidden/>
    <w:unhideWhenUsed/>
    <w:rPr>
      <w:color w:val="605E5C"/>
      <w:shd w:val="clear" w:color="E1DFDD" w:fill="E1DFDD"/>
    </w:rPr>
  </w:style>
  <w:style w:type="paragraph" w:customStyle="1" w:styleId="K-Nadpis1">
    <w:name w:val="K-Nadpis1"/>
    <w:basedOn w:val="Nadpis1"/>
    <w:link w:val="K-Nadpis1Char"/>
    <w:qFormat/>
    <w:rPr>
      <w:rFonts w:ascii="Times New Roman" w:hAnsi="Times New Roman" w:cs="Times New Roman"/>
      <w:sz w:val="32"/>
    </w:rPr>
  </w:style>
  <w:style w:type="paragraph" w:customStyle="1" w:styleId="K-Nadpis2">
    <w:name w:val="K-Nadpis2"/>
    <w:basedOn w:val="Nadpis2"/>
    <w:link w:val="K-Nadpis2Char"/>
    <w:qFormat/>
    <w:rPr>
      <w:rFonts w:ascii="Times New Roman" w:hAnsi="Times New Roman" w:cs="Times New Roman"/>
      <w:sz w:val="28"/>
      <w:szCs w:val="28"/>
    </w:rPr>
  </w:style>
  <w:style w:type="character" w:customStyle="1" w:styleId="K-Nadpis1Char">
    <w:name w:val="K-Nadpis1 Char"/>
    <w:basedOn w:val="Nadpis1Char"/>
    <w:link w:val="K-Nadpis1"/>
    <w:rPr>
      <w:rFonts w:ascii="Times New Roman" w:eastAsia="Calibri" w:hAnsi="Times New Roman" w:cs="Times New Roman"/>
      <w:b/>
      <w:color w:val="000000" w:themeColor="text1"/>
      <w:sz w:val="32"/>
      <w:szCs w:val="32"/>
    </w:rPr>
  </w:style>
  <w:style w:type="paragraph" w:customStyle="1" w:styleId="K-Nadpis3">
    <w:name w:val="K-Nadpis3"/>
    <w:basedOn w:val="Default"/>
    <w:link w:val="K-Nadpis3Char"/>
    <w:qFormat/>
    <w:pPr>
      <w:spacing w:after="120"/>
      <w:jc w:val="both"/>
    </w:pPr>
    <w:rPr>
      <w:b/>
      <w:sz w:val="23"/>
      <w:szCs w:val="23"/>
    </w:rPr>
  </w:style>
  <w:style w:type="character" w:customStyle="1" w:styleId="K-Nadpis2Char">
    <w:name w:val="K-Nadpis2 Char"/>
    <w:basedOn w:val="Nadpis2Char"/>
    <w:link w:val="K-Nadpis2"/>
    <w:rPr>
      <w:rFonts w:ascii="Times New Roman" w:eastAsia="Calibri" w:hAnsi="Times New Roman" w:cs="Times New Roman"/>
      <w:b/>
      <w:color w:val="000000" w:themeColor="text1"/>
      <w:sz w:val="28"/>
      <w:szCs w:val="28"/>
    </w:rPr>
  </w:style>
  <w:style w:type="paragraph" w:customStyle="1" w:styleId="K-Text">
    <w:name w:val="K-Text"/>
    <w:basedOn w:val="Normln"/>
    <w:link w:val="K-TextChar"/>
    <w:qFormat/>
    <w:pPr>
      <w:spacing w:after="120"/>
      <w:jc w:val="both"/>
    </w:pPr>
    <w:rPr>
      <w:rFonts w:ascii="Times New Roman" w:hAnsi="Times New Roman" w:cs="Times New Roman"/>
      <w:iCs/>
      <w:color w:val="auto"/>
      <w:sz w:val="23"/>
      <w:szCs w:val="23"/>
    </w:rPr>
  </w:style>
  <w:style w:type="character" w:customStyle="1" w:styleId="DefaultChar">
    <w:name w:val="Default Char"/>
    <w:basedOn w:val="Standardnpsmoodstavce"/>
    <w:link w:val="Default"/>
    <w:rPr>
      <w:rFonts w:ascii="Times New Roman" w:hAnsi="Times New Roman" w:cs="Times New Roman"/>
      <w:color w:val="000000"/>
      <w:sz w:val="24"/>
      <w:szCs w:val="24"/>
    </w:rPr>
  </w:style>
  <w:style w:type="character" w:customStyle="1" w:styleId="K-Nadpis3Char">
    <w:name w:val="K-Nadpis3 Char"/>
    <w:basedOn w:val="DefaultChar"/>
    <w:link w:val="K-Nadpis3"/>
    <w:rPr>
      <w:rFonts w:ascii="Times New Roman" w:hAnsi="Times New Roman" w:cs="Times New Roman"/>
      <w:b/>
      <w:color w:val="000000"/>
      <w:sz w:val="24"/>
      <w:szCs w:val="23"/>
    </w:rPr>
  </w:style>
  <w:style w:type="paragraph" w:customStyle="1" w:styleId="K-TextInfo">
    <w:name w:val="K-Text_Info"/>
    <w:basedOn w:val="Default"/>
    <w:link w:val="K-TextInfoChar"/>
    <w:qFormat/>
    <w:pPr>
      <w:spacing w:after="120"/>
      <w:jc w:val="both"/>
    </w:pPr>
    <w:rPr>
      <w:i/>
      <w:iCs/>
      <w:color w:val="2196FF" w:themeColor="text2" w:themeTint="99"/>
      <w:sz w:val="23"/>
      <w:szCs w:val="23"/>
    </w:rPr>
  </w:style>
  <w:style w:type="character" w:customStyle="1" w:styleId="K-TextChar">
    <w:name w:val="K-Text Char"/>
    <w:basedOn w:val="Standardnpsmoodstavce"/>
    <w:link w:val="K-Text"/>
    <w:rPr>
      <w:rFonts w:ascii="Times New Roman" w:hAnsi="Times New Roman" w:cs="Times New Roman"/>
      <w:iCs/>
      <w:sz w:val="23"/>
      <w:szCs w:val="23"/>
    </w:rPr>
  </w:style>
  <w:style w:type="paragraph" w:customStyle="1" w:styleId="K-Tabulka">
    <w:name w:val="K-Tabulka"/>
    <w:basedOn w:val="Default"/>
    <w:link w:val="K-TabulkaChar"/>
    <w:qFormat/>
    <w:pPr>
      <w:spacing w:after="120"/>
      <w:jc w:val="both"/>
    </w:pPr>
    <w:rPr>
      <w:b/>
      <w:bCs/>
      <w:color w:val="auto"/>
      <w:sz w:val="23"/>
      <w:szCs w:val="23"/>
    </w:rPr>
  </w:style>
  <w:style w:type="character" w:customStyle="1" w:styleId="K-TextInfoChar">
    <w:name w:val="K-Text_Info Char"/>
    <w:basedOn w:val="DefaultChar"/>
    <w:link w:val="K-TextInfo"/>
    <w:rPr>
      <w:rFonts w:ascii="Times New Roman" w:hAnsi="Times New Roman" w:cs="Times New Roman"/>
      <w:i/>
      <w:iCs/>
      <w:color w:val="2196FF" w:themeColor="text2" w:themeTint="99"/>
      <w:sz w:val="23"/>
      <w:szCs w:val="23"/>
    </w:rPr>
  </w:style>
  <w:style w:type="paragraph" w:customStyle="1" w:styleId="K-TextPozn">
    <w:name w:val="K-Text_Pozn"/>
    <w:basedOn w:val="Textpoznpodarou"/>
    <w:link w:val="K-TextPoznChar"/>
    <w:qFormat/>
    <w:rPr>
      <w:rFonts w:ascii="Times New Roman" w:hAnsi="Times New Roman" w:cs="Times New Roman"/>
    </w:rPr>
  </w:style>
  <w:style w:type="character" w:customStyle="1" w:styleId="K-TabulkaChar">
    <w:name w:val="K-Tabulka Char"/>
    <w:basedOn w:val="DefaultChar"/>
    <w:link w:val="K-Tabulka"/>
    <w:rPr>
      <w:rFonts w:ascii="Times New Roman" w:hAnsi="Times New Roman" w:cs="Times New Roman"/>
      <w:b/>
      <w:bCs/>
      <w:color w:val="000000"/>
      <w:sz w:val="23"/>
      <w:szCs w:val="23"/>
    </w:rPr>
  </w:style>
  <w:style w:type="character" w:customStyle="1" w:styleId="K-TextPoznChar">
    <w:name w:val="K-Text_Pozn Char"/>
    <w:basedOn w:val="TextpoznpodarouChar"/>
    <w:link w:val="K-TextPozn"/>
    <w:rPr>
      <w:rFonts w:ascii="Times New Roman" w:hAnsi="Times New Roman" w:cs="Times New Roman"/>
      <w:color w:val="000000" w:themeColor="text1"/>
      <w:sz w:val="20"/>
      <w:szCs w:val="20"/>
    </w:rPr>
  </w:style>
  <w:style w:type="character" w:styleId="Odkaznakoment">
    <w:name w:val="annotation reference"/>
    <w:basedOn w:val="Standardnpsmoodstavce"/>
    <w:uiPriority w:val="99"/>
    <w:semiHidden/>
    <w:unhideWhenUsed/>
    <w:rPr>
      <w:sz w:val="16"/>
      <w:szCs w:val="16"/>
    </w:r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color w:val="000000" w:themeColor="text1"/>
      <w:sz w:val="20"/>
      <w:szCs w:val="20"/>
    </w:rPr>
  </w:style>
  <w:style w:type="paragraph" w:styleId="Pedmtkomente">
    <w:name w:val="annotation subject"/>
    <w:basedOn w:val="Textkomente"/>
    <w:next w:val="Textkomente"/>
    <w:link w:val="PedmtkomenteChar"/>
    <w:uiPriority w:val="99"/>
    <w:semiHidden/>
    <w:unhideWhenUsed/>
    <w:rPr>
      <w:b/>
      <w:bCs/>
    </w:rPr>
  </w:style>
  <w:style w:type="character" w:customStyle="1" w:styleId="PedmtkomenteChar">
    <w:name w:val="Předmět komentáře Char"/>
    <w:basedOn w:val="TextkomenteChar"/>
    <w:link w:val="Pedmtkomente"/>
    <w:uiPriority w:val="99"/>
    <w:semiHidden/>
    <w:rPr>
      <w:b/>
      <w:bCs/>
      <w:color w:val="000000" w:themeColor="text1"/>
      <w:sz w:val="20"/>
      <w:szCs w:val="20"/>
    </w:rPr>
  </w:style>
  <w:style w:type="paragraph" w:styleId="Textbubliny">
    <w:name w:val="Balloon Text"/>
    <w:basedOn w:val="Normln"/>
    <w:link w:val="TextbublinyChar"/>
    <w:uiPriority w:val="99"/>
    <w:semiHidden/>
    <w:unhideWhenUse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Pr>
      <w:rFonts w:ascii="Segoe UI" w:hAnsi="Segoe UI" w:cs="Segoe UI"/>
      <w:color w:val="000000" w:themeColor="text1"/>
      <w:sz w:val="18"/>
      <w:szCs w:val="18"/>
    </w:rPr>
  </w:style>
  <w:style w:type="table" w:styleId="Mkatabulky">
    <w:name w:val="Table Grid"/>
    <w:basedOn w:val="Normlntabulka"/>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0Body">
    <w:name w:val="00 Body"/>
    <w:basedOn w:val="Normln"/>
    <w:link w:val="00BodyChar"/>
    <w:qFormat/>
    <w:pPr>
      <w:spacing w:before="180" w:after="180" w:line="264" w:lineRule="auto"/>
    </w:pPr>
    <w:rPr>
      <w:rFonts w:ascii="Arial (Body)" w:eastAsia="Times New Roman" w:hAnsi="Arial (Body)" w:cs="Times New Roman"/>
      <w:color w:val="auto"/>
      <w:sz w:val="20"/>
      <w:szCs w:val="20"/>
      <w:lang w:val="en-US"/>
    </w:rPr>
  </w:style>
  <w:style w:type="character" w:customStyle="1" w:styleId="00BodyChar">
    <w:name w:val="00 Body Char"/>
    <w:basedOn w:val="Standardnpsmoodstavce"/>
    <w:link w:val="00Body"/>
    <w:rPr>
      <w:rFonts w:ascii="Arial (Body)" w:eastAsia="Times New Roman" w:hAnsi="Arial (Body)" w:cs="Times New Roman"/>
      <w:sz w:val="20"/>
      <w:szCs w:val="20"/>
      <w:lang w:val="en-US"/>
    </w:rPr>
  </w:style>
  <w:style w:type="character" w:customStyle="1" w:styleId="tlid-translation">
    <w:name w:val="tlid-translation"/>
    <w:basedOn w:val="Standardnpsmoodstavce"/>
  </w:style>
  <w:style w:type="character" w:customStyle="1" w:styleId="OdstavecseseznamemChar">
    <w:name w:val="Odstavec se seznamem Char"/>
    <w:link w:val="Odstavecseseznamem"/>
    <w:uiPriority w:val="34"/>
    <w:qFormat/>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1.Zajistit"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1.Zajistit" TargetMode="External"/><Relationship Id="rId7" Type="http://schemas.openxmlformats.org/officeDocument/2006/relationships/settings" Target="settings.xml"/><Relationship Id="rId12" Type="http://schemas.openxmlformats.org/officeDocument/2006/relationships/hyperlink" Target="http://1.Zajistit" TargetMode="Externa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1.Zajistit"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1.Zajistit"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31.12"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MPO colors">
      <a:dk1>
        <a:srgbClr val="000000"/>
      </a:dk1>
      <a:lt1>
        <a:sysClr val="window" lastClr="FFFFFF"/>
      </a:lt1>
      <a:dk2>
        <a:srgbClr val="004B8D"/>
      </a:dk2>
      <a:lt2>
        <a:srgbClr val="B9E0F7"/>
      </a:lt2>
      <a:accent1>
        <a:srgbClr val="E31B23"/>
      </a:accent1>
      <a:accent2>
        <a:srgbClr val="004B8D"/>
      </a:accent2>
      <a:accent3>
        <a:srgbClr val="0096D6"/>
      </a:accent3>
      <a:accent4>
        <a:srgbClr val="B5121B"/>
      </a:accent4>
      <a:accent5>
        <a:srgbClr val="B9E0F7"/>
      </a:accent5>
      <a:accent6>
        <a:srgbClr val="13B5EA"/>
      </a:accent6>
      <a:hlink>
        <a:srgbClr val="004B8D"/>
      </a:hlink>
      <a:folHlink>
        <a:srgbClr val="B5121B"/>
      </a:folHlink>
    </a:clrScheme>
    <a:fontScheme name="MPO fonts">
      <a:majorFont>
        <a:latin typeface="Calibri"/>
        <a:ea typeface="Arial"/>
        <a:cs typeface="Arial"/>
      </a:majorFont>
      <a:minorFont>
        <a:latin typeface="Calibri"/>
        <a:ea typeface="Arial"/>
        <a:cs typeface="Arial"/>
      </a:minorFont>
    </a:fontScheme>
    <a:fmtScheme name="Kancelář">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E0668E3FACC0A4D909754AED2896FA5" ma:contentTypeVersion="10" ma:contentTypeDescription="Vytvoří nový dokument" ma:contentTypeScope="" ma:versionID="98d6cc77a46b5b92d15fcdff8b361900">
  <xsd:schema xmlns:xsd="http://www.w3.org/2001/XMLSchema" xmlns:xs="http://www.w3.org/2001/XMLSchema" xmlns:p="http://schemas.microsoft.com/office/2006/metadata/properties" xmlns:ns2="c901dcab-5c60-4e8e-adc9-0c7b361f0e15" xmlns:ns3="513a4330-68e5-46ad-8e16-8cb7e185a001" targetNamespace="http://schemas.microsoft.com/office/2006/metadata/properties" ma:root="true" ma:fieldsID="1a18521a795ce75b392771daa3c97262" ns2:_="" ns3:_="">
    <xsd:import namespace="c901dcab-5c60-4e8e-adc9-0c7b361f0e15"/>
    <xsd:import namespace="513a4330-68e5-46ad-8e16-8cb7e185a0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1dcab-5c60-4e8e-adc9-0c7b361f0e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3a4330-68e5-46ad-8e16-8cb7e185a001"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w:settings xmlns:w="http://schemas.openxmlformats.org/wordprocessingml/2006/main">
  <w:SpecialFormsHighlight w:val="c9c8ff"/>
</w:setting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EC3083-CE10-4061-B8AD-5D896D69A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1dcab-5c60-4e8e-adc9-0c7b361f0e15"/>
    <ds:schemaRef ds:uri="513a4330-68e5-46ad-8e16-8cb7e185a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3.xml><?xml version="1.0" encoding="utf-8"?>
<ds:datastoreItem xmlns:ds="http://schemas.openxmlformats.org/officeDocument/2006/customXml" ds:itemID="{C1BB726A-7FF1-43CB-A2FC-20584A8F498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3FC0F6-3677-4FFD-8B22-D1E5C18D03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882F6EB8.dotm</Template>
  <TotalTime>5</TotalTime>
  <Pages>17</Pages>
  <Words>9176</Words>
  <Characters>54144</Characters>
  <Application>Microsoft Office Word</Application>
  <DocSecurity>0</DocSecurity>
  <Lines>451</Lines>
  <Paragraphs>126</Paragraphs>
  <ScaleCrop>false</ScaleCrop>
  <Company>Ministerstvo průmyslu a obchodu</Company>
  <LinksUpToDate>false</LinksUpToDate>
  <CharactersWithSpaces>63194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Pápai Adam</dc:creator>
  <cp:keywords/>
  <dc:description/>
  <cp:lastModifiedBy>Pápai Adam</cp:lastModifiedBy>
  <cp:revision>3</cp:revision>
  <dcterms:created xsi:type="dcterms:W3CDTF">2021-08-20T11:12:00Z</dcterms:created>
  <dcterms:modified xsi:type="dcterms:W3CDTF">2021-09-06T11:08:00Z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0x0101008E0668E3FACC0A4D909754AED2896FA5</vt:lpwstr>
  </property>
  <property fmtid="{D5CDD505-2E9C-101B-9397-08002B2CF9AE}" pid="3" name="ClassificationContentMarkingHeaderShapeIds">
    <vt:lpwstr>6,7,8</vt:lpwstr>
  </property>
  <property fmtid="{D5CDD505-2E9C-101B-9397-08002B2CF9AE}" pid="4" name="ClassificationContentMarkingHeaderFontProps">
    <vt:lpwstr>#000000,10,Calibri</vt:lpwstr>
  </property>
  <property fmtid="{D5CDD505-2E9C-101B-9397-08002B2CF9AE}" pid="5" name="ClassificationContentMarkingHeaderText">
    <vt:lpwstr>Veřejně přístupné informace</vt:lpwstr>
  </property>
  <property fmtid="{D5CDD505-2E9C-101B-9397-08002B2CF9AE}" pid="6" name="MSIP_Label_8d94c5f0-83f8-4bf2-af20-ac59dfc3b7e2_Enabled">
    <vt:lpwstr>True</vt:lpwstr>
  </property>
  <property fmtid="{D5CDD505-2E9C-101B-9397-08002B2CF9AE}" pid="7" name="MSIP_Label_8d94c5f0-83f8-4bf2-af20-ac59dfc3b7e2_SiteId">
    <vt:lpwstr>1f9775f0-c6d0-40f3-b27c-91cb5bbd294a</vt:lpwstr>
  </property>
  <property fmtid="{D5CDD505-2E9C-101B-9397-08002B2CF9AE}" pid="8" name="MSIP_Label_8d94c5f0-83f8-4bf2-af20-ac59dfc3b7e2_ActionId">
    <vt:lpwstr>76f8b869-42a5-4189-842f-734c330f8886</vt:lpwstr>
  </property>
  <property fmtid="{D5CDD505-2E9C-101B-9397-08002B2CF9AE}" pid="9" name="MSIP_Label_8d94c5f0-83f8-4bf2-af20-ac59dfc3b7e2_Method">
    <vt:lpwstr>Privileged</vt:lpwstr>
  </property>
  <property fmtid="{D5CDD505-2E9C-101B-9397-08002B2CF9AE}" pid="10" name="MSIP_Label_8d94c5f0-83f8-4bf2-af20-ac59dfc3b7e2_SetDate">
    <vt:lpwstr>2021-05-14T12:17:29Z</vt:lpwstr>
  </property>
  <property fmtid="{D5CDD505-2E9C-101B-9397-08002B2CF9AE}" pid="11" name="MSIP_Label_8d94c5f0-83f8-4bf2-af20-ac59dfc3b7e2_Name">
    <vt:lpwstr>Veřejné</vt:lpwstr>
  </property>
  <property fmtid="{D5CDD505-2E9C-101B-9397-08002B2CF9AE}" pid="12" name="MSIP_Label_8d94c5f0-83f8-4bf2-af20-ac59dfc3b7e2_ContentBits">
    <vt:lpwstr>1</vt:lpwstr>
  </property>
</Properties>
</file>