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E7EC5" w14:textId="721E7314" w:rsidR="002C20CF" w:rsidRPr="00992741" w:rsidRDefault="3DE45ADF" w:rsidP="3A4C9812">
      <w:pPr>
        <w:pStyle w:val="K-Nadpis1"/>
        <w:spacing w:line="240" w:lineRule="auto"/>
        <w:rPr>
          <w:rFonts w:asciiTheme="minorHAnsi" w:eastAsiaTheme="minorEastAsia" w:hAnsiTheme="minorHAnsi" w:cstheme="minorBidi"/>
          <w:color w:val="auto"/>
          <w:sz w:val="28"/>
          <w:szCs w:val="28"/>
        </w:rPr>
      </w:pPr>
      <w:bookmarkStart w:id="0" w:name="_Hlk58912991"/>
      <w:r w:rsidRPr="3A4C9812">
        <w:rPr>
          <w:rFonts w:asciiTheme="minorHAnsi" w:eastAsiaTheme="minorEastAsia" w:hAnsiTheme="minorHAnsi" w:cstheme="minorBidi"/>
          <w:color w:val="auto"/>
          <w:sz w:val="28"/>
          <w:szCs w:val="28"/>
        </w:rPr>
        <w:t>5</w:t>
      </w:r>
      <w:r w:rsidR="7FEDB2C9" w:rsidRPr="3A4C9812">
        <w:rPr>
          <w:rFonts w:asciiTheme="minorHAnsi" w:eastAsiaTheme="minorEastAsia" w:hAnsiTheme="minorHAnsi" w:cstheme="minorBidi"/>
          <w:color w:val="auto"/>
          <w:sz w:val="28"/>
          <w:szCs w:val="28"/>
        </w:rPr>
        <w:t>.</w:t>
      </w:r>
      <w:r w:rsidRPr="3A4C9812">
        <w:rPr>
          <w:rFonts w:asciiTheme="minorHAnsi" w:eastAsiaTheme="minorEastAsia" w:hAnsiTheme="minorHAnsi" w:cstheme="minorBidi"/>
          <w:color w:val="auto"/>
          <w:sz w:val="28"/>
          <w:szCs w:val="28"/>
        </w:rPr>
        <w:t>1</w:t>
      </w:r>
      <w:r w:rsidR="7FEDB2C9" w:rsidRPr="3A4C9812">
        <w:rPr>
          <w:rFonts w:asciiTheme="minorHAnsi" w:eastAsiaTheme="minorEastAsia" w:hAnsiTheme="minorHAnsi" w:cstheme="minorBidi"/>
          <w:color w:val="auto"/>
          <w:sz w:val="28"/>
          <w:szCs w:val="28"/>
        </w:rPr>
        <w:t xml:space="preserve"> </w:t>
      </w:r>
      <w:r w:rsidR="1EC921FF" w:rsidRPr="3A4C9812">
        <w:rPr>
          <w:rFonts w:asciiTheme="minorHAnsi" w:eastAsiaTheme="minorEastAsia" w:hAnsiTheme="minorHAnsi" w:cstheme="minorBidi"/>
          <w:color w:val="auto"/>
          <w:sz w:val="28"/>
          <w:szCs w:val="28"/>
        </w:rPr>
        <w:t>E</w:t>
      </w:r>
      <w:r w:rsidR="00B839FB" w:rsidRPr="3A4C9812">
        <w:rPr>
          <w:rFonts w:asciiTheme="minorHAnsi" w:eastAsiaTheme="minorEastAsia" w:hAnsiTheme="minorHAnsi" w:cstheme="minorBidi"/>
          <w:color w:val="auto"/>
          <w:sz w:val="28"/>
          <w:szCs w:val="28"/>
        </w:rPr>
        <w:t>xcelentní výzkum a vývoj v prioritních oblastech veřejného zájmu ve zdravotnictví</w:t>
      </w:r>
      <w:r w:rsidR="6C1239F5" w:rsidRPr="3A4C9812">
        <w:rPr>
          <w:rFonts w:asciiTheme="minorHAnsi" w:eastAsiaTheme="minorEastAsia" w:hAnsiTheme="minorHAnsi" w:cstheme="minorBidi"/>
          <w:color w:val="auto"/>
          <w:sz w:val="28"/>
          <w:szCs w:val="28"/>
        </w:rPr>
        <w:t xml:space="preserve"> </w:t>
      </w:r>
      <w:r w:rsidR="2DB997A7" w:rsidRPr="3A4C9812">
        <w:rPr>
          <w:rFonts w:asciiTheme="minorHAnsi" w:eastAsiaTheme="minorEastAsia" w:hAnsiTheme="minorHAnsi" w:cstheme="minorBidi"/>
          <w:color w:val="auto"/>
          <w:sz w:val="28"/>
          <w:szCs w:val="28"/>
        </w:rPr>
        <w:t xml:space="preserve"> </w:t>
      </w:r>
    </w:p>
    <w:bookmarkEnd w:id="0"/>
    <w:p w14:paraId="00F5B6F2" w14:textId="570D07A4" w:rsidR="002C20CF" w:rsidRPr="00992741" w:rsidRDefault="2DB997A7" w:rsidP="6C54F3A7">
      <w:pPr>
        <w:pStyle w:val="Nadpis2"/>
        <w:spacing w:line="240" w:lineRule="auto"/>
        <w:rPr>
          <w:rStyle w:val="K-Nadpis2Char"/>
          <w:rFonts w:asciiTheme="minorHAnsi" w:eastAsiaTheme="minorEastAsia" w:hAnsiTheme="minorHAnsi" w:cstheme="minorBidi"/>
          <w:b/>
          <w:bCs/>
          <w:color w:val="auto"/>
          <w:sz w:val="20"/>
          <w:szCs w:val="20"/>
        </w:rPr>
      </w:pPr>
      <w:r w:rsidRPr="6C54F3A7">
        <w:rPr>
          <w:rStyle w:val="K-Nadpis2Char"/>
          <w:rFonts w:asciiTheme="minorHAnsi" w:eastAsiaTheme="minorEastAsia" w:hAnsiTheme="minorHAnsi" w:cstheme="minorBidi"/>
          <w:b/>
          <w:bCs/>
          <w:color w:val="auto"/>
          <w:sz w:val="20"/>
          <w:szCs w:val="20"/>
        </w:rPr>
        <w:t xml:space="preserve">1. </w:t>
      </w:r>
      <w:r w:rsidR="5ED66E3C" w:rsidRPr="6C54F3A7">
        <w:rPr>
          <w:rStyle w:val="K-Nadpis2Char"/>
          <w:rFonts w:asciiTheme="minorHAnsi" w:eastAsiaTheme="minorEastAsia" w:hAnsiTheme="minorHAnsi" w:cstheme="minorBidi"/>
          <w:b/>
          <w:bCs/>
          <w:color w:val="auto"/>
          <w:sz w:val="20"/>
          <w:szCs w:val="20"/>
        </w:rPr>
        <w:t>Popis</w:t>
      </w:r>
      <w:r w:rsidRPr="6C54F3A7">
        <w:rPr>
          <w:rStyle w:val="K-Nadpis2Char"/>
          <w:rFonts w:asciiTheme="minorHAnsi" w:eastAsiaTheme="minorEastAsia" w:hAnsiTheme="minorHAnsi" w:cstheme="minorBidi"/>
          <w:b/>
          <w:bCs/>
          <w:color w:val="auto"/>
          <w:sz w:val="20"/>
          <w:szCs w:val="20"/>
        </w:rPr>
        <w:t xml:space="preserve"> </w:t>
      </w:r>
      <w:r w:rsidR="5ED66E3C" w:rsidRPr="6C54F3A7">
        <w:rPr>
          <w:rStyle w:val="K-Nadpis2Char"/>
          <w:rFonts w:asciiTheme="minorHAnsi" w:eastAsiaTheme="minorEastAsia" w:hAnsiTheme="minorHAnsi" w:cstheme="minorBidi"/>
          <w:b/>
          <w:bCs/>
          <w:color w:val="auto"/>
          <w:sz w:val="20"/>
          <w:szCs w:val="20"/>
        </w:rPr>
        <w:t>komponenty</w:t>
      </w:r>
    </w:p>
    <w:tbl>
      <w:tblPr>
        <w:tblStyle w:val="Mkatabulky"/>
        <w:tblW w:w="9771" w:type="dxa"/>
        <w:tblLayout w:type="fixed"/>
        <w:tblLook w:val="04A0" w:firstRow="1" w:lastRow="0" w:firstColumn="1" w:lastColumn="0" w:noHBand="0" w:noVBand="1"/>
      </w:tblPr>
      <w:tblGrid>
        <w:gridCol w:w="9771"/>
      </w:tblGrid>
      <w:tr w:rsidR="71E36747" w14:paraId="61769403" w14:textId="77777777" w:rsidTr="00B839FB">
        <w:tc>
          <w:tcPr>
            <w:tcW w:w="9771" w:type="dxa"/>
            <w:tcBorders>
              <w:top w:val="single" w:sz="8" w:space="0" w:color="auto"/>
              <w:left w:val="single" w:sz="8" w:space="0" w:color="auto"/>
              <w:bottom w:val="single" w:sz="8" w:space="0" w:color="auto"/>
              <w:right w:val="single" w:sz="8" w:space="0" w:color="auto"/>
            </w:tcBorders>
          </w:tcPr>
          <w:p w14:paraId="72F935E3" w14:textId="4B35D054" w:rsidR="5A301A6E" w:rsidRDefault="5A301A6E" w:rsidP="6C54F3A7">
            <w:pPr>
              <w:pStyle w:val="Default"/>
              <w:spacing w:after="120"/>
              <w:jc w:val="both"/>
              <w:rPr>
                <w:rFonts w:asciiTheme="minorHAnsi" w:eastAsiaTheme="minorEastAsia" w:hAnsiTheme="minorHAnsi" w:cstheme="minorBidi"/>
                <w:b/>
                <w:bCs/>
                <w:color w:val="auto"/>
                <w:sz w:val="20"/>
                <w:szCs w:val="20"/>
              </w:rPr>
            </w:pPr>
            <w:r w:rsidRPr="6C54F3A7">
              <w:rPr>
                <w:rStyle w:val="K-TabulkaChar"/>
                <w:rFonts w:asciiTheme="minorHAnsi" w:eastAsiaTheme="minorEastAsia" w:hAnsiTheme="minorHAnsi" w:cstheme="minorBidi"/>
                <w:color w:val="auto"/>
                <w:sz w:val="20"/>
                <w:szCs w:val="20"/>
              </w:rPr>
              <w:t>Excelentní výzkum a vývoj v prioritních oblastech veřejného zájmu ve zdravotnictví</w:t>
            </w:r>
          </w:p>
          <w:p w14:paraId="7F318B63" w14:textId="72D7D156" w:rsidR="71E36747" w:rsidRDefault="71E36747" w:rsidP="6C54F3A7">
            <w:pPr>
              <w:pStyle w:val="Default"/>
              <w:spacing w:after="120"/>
              <w:jc w:val="both"/>
              <w:rPr>
                <w:rStyle w:val="K-TextChar"/>
                <w:rFonts w:asciiTheme="minorHAnsi" w:eastAsiaTheme="minorEastAsia" w:hAnsiTheme="minorHAnsi" w:cstheme="minorBidi"/>
                <w:b/>
                <w:bCs/>
                <w:color w:val="auto"/>
                <w:sz w:val="20"/>
                <w:szCs w:val="20"/>
              </w:rPr>
            </w:pPr>
            <w:r w:rsidRPr="6C54F3A7">
              <w:rPr>
                <w:rFonts w:asciiTheme="minorHAnsi" w:eastAsiaTheme="minorEastAsia" w:hAnsiTheme="minorHAnsi" w:cstheme="minorBidi"/>
                <w:b/>
                <w:bCs/>
                <w:color w:val="000000" w:themeColor="text1"/>
                <w:sz w:val="20"/>
                <w:szCs w:val="20"/>
              </w:rPr>
              <w:t xml:space="preserve">Oblast politiky: </w:t>
            </w:r>
            <w:r w:rsidR="6D533520" w:rsidRPr="6C54F3A7">
              <w:rPr>
                <w:rStyle w:val="K-TextChar"/>
                <w:rFonts w:asciiTheme="minorHAnsi" w:eastAsiaTheme="minorEastAsia" w:hAnsiTheme="minorHAnsi" w:cstheme="minorBidi"/>
                <w:i/>
                <w:color w:val="auto"/>
                <w:sz w:val="20"/>
                <w:szCs w:val="20"/>
                <w:lang w:val="en-GB"/>
              </w:rPr>
              <w:t>Skills, Research policy, Multidisciplinary, Health</w:t>
            </w:r>
          </w:p>
          <w:p w14:paraId="1D087C38" w14:textId="78802B36" w:rsidR="508D6641" w:rsidRDefault="508D6641" w:rsidP="6C54F3A7">
            <w:pPr>
              <w:spacing w:line="240" w:lineRule="auto"/>
              <w:jc w:val="both"/>
              <w:rPr>
                <w:rStyle w:val="K-TextInfoChar"/>
                <w:rFonts w:asciiTheme="minorHAnsi" w:eastAsiaTheme="minorEastAsia" w:hAnsiTheme="minorHAnsi" w:cstheme="minorBidi"/>
                <w:i w:val="0"/>
                <w:iCs w:val="0"/>
                <w:color w:val="000000" w:themeColor="text1"/>
                <w:sz w:val="20"/>
                <w:szCs w:val="20"/>
              </w:rPr>
            </w:pPr>
            <w:r w:rsidRPr="6C54F3A7">
              <w:rPr>
                <w:rStyle w:val="K-TextInfoChar"/>
                <w:rFonts w:asciiTheme="minorHAnsi" w:eastAsiaTheme="minorEastAsia" w:hAnsiTheme="minorHAnsi" w:cstheme="minorBidi"/>
                <w:i w:val="0"/>
                <w:iCs w:val="0"/>
                <w:color w:val="auto"/>
                <w:sz w:val="20"/>
                <w:szCs w:val="20"/>
              </w:rPr>
              <w:t xml:space="preserve">Excelentní výzkum a vývoj v prioritních oblastech ve veřejném zájmu ve zdravotnictví je nyní jednou z priorit ČR, která je součástí gesce Ministerstva školství, mládeže a tělovýchovy (MŠMT/MEYS) v oblasti výzkumu a vývoje. Očekává se, že výstupy částečně budou přispívat k zvyšování odolnosti a ke krizové připravenosti zdravotnického výzkumu a částečně také k naplňování některých dalších evropských doporučení a iniciativ. Patří mezi ně např. renovace a modernizace, prohlubování dovedností a vědecká výchova. Tato komponenta je investicí do základního zdravotnického výzkumu. Tato komponenta </w:t>
            </w:r>
            <w:r w:rsidRPr="6C54F3A7">
              <w:rPr>
                <w:rFonts w:eastAsiaTheme="minorEastAsia"/>
                <w:color w:val="auto"/>
                <w:sz w:val="20"/>
                <w:szCs w:val="20"/>
              </w:rPr>
              <w:t>neřeší přímo aktuální ekonomický problém, ale sleduje dlouhodobější cíle vybudováním excelentní vědecké platformy, nezbytné pro inovace i pro zvyšování odolnosti celého zdravotnického systému</w:t>
            </w:r>
          </w:p>
          <w:p w14:paraId="435B12B2" w14:textId="218DA4FA" w:rsidR="71E36747" w:rsidRDefault="71E36747" w:rsidP="6C54F3A7">
            <w:pPr>
              <w:spacing w:line="240" w:lineRule="auto"/>
              <w:jc w:val="both"/>
              <w:rPr>
                <w:rFonts w:eastAsiaTheme="minorEastAsia"/>
                <w:b/>
                <w:bCs/>
                <w:sz w:val="20"/>
                <w:szCs w:val="20"/>
              </w:rPr>
            </w:pPr>
            <w:r w:rsidRPr="6C54F3A7">
              <w:rPr>
                <w:rFonts w:eastAsiaTheme="minorEastAsia"/>
                <w:b/>
                <w:bCs/>
                <w:sz w:val="20"/>
                <w:szCs w:val="20"/>
              </w:rPr>
              <w:t xml:space="preserve">Cíl: </w:t>
            </w:r>
          </w:p>
          <w:p w14:paraId="7E0D4DAE" w14:textId="21C4BC9E" w:rsidR="6DFA14E1" w:rsidRDefault="6DFA14E1" w:rsidP="6C54F3A7">
            <w:pPr>
              <w:pStyle w:val="Default"/>
              <w:spacing w:after="120"/>
              <w:jc w:val="both"/>
              <w:rPr>
                <w:rStyle w:val="K-TextInfoChar"/>
                <w:rFonts w:asciiTheme="minorHAnsi" w:eastAsiaTheme="minorEastAsia" w:hAnsiTheme="minorHAnsi" w:cstheme="minorBidi"/>
                <w:i w:val="0"/>
                <w:iCs w:val="0"/>
                <w:color w:val="auto"/>
                <w:sz w:val="20"/>
                <w:szCs w:val="20"/>
              </w:rPr>
            </w:pPr>
            <w:r w:rsidRPr="6C54F3A7">
              <w:rPr>
                <w:rStyle w:val="K-TextInfoChar"/>
                <w:rFonts w:asciiTheme="minorHAnsi" w:eastAsiaTheme="minorEastAsia" w:hAnsiTheme="minorHAnsi" w:cstheme="minorBidi"/>
                <w:i w:val="0"/>
                <w:iCs w:val="0"/>
                <w:color w:val="auto"/>
                <w:sz w:val="20"/>
                <w:szCs w:val="20"/>
              </w:rPr>
              <w:t xml:space="preserve">Cílem zvolené investice, tj. „Systémové podpory </w:t>
            </w:r>
            <w:proofErr w:type="spellStart"/>
            <w:r w:rsidRPr="6C54F3A7">
              <w:rPr>
                <w:rStyle w:val="K-TextInfoChar"/>
                <w:rFonts w:asciiTheme="minorHAnsi" w:eastAsiaTheme="minorEastAsia" w:hAnsiTheme="minorHAnsi" w:cstheme="minorBidi"/>
                <w:i w:val="0"/>
                <w:iCs w:val="0"/>
                <w:color w:val="auto"/>
                <w:sz w:val="20"/>
                <w:szCs w:val="20"/>
              </w:rPr>
              <w:t>VaVaI</w:t>
            </w:r>
            <w:proofErr w:type="spellEnd"/>
            <w:r w:rsidRPr="6C54F3A7">
              <w:rPr>
                <w:rStyle w:val="K-TextInfoChar"/>
                <w:rFonts w:asciiTheme="minorHAnsi" w:eastAsiaTheme="minorEastAsia" w:hAnsiTheme="minorHAnsi" w:cstheme="minorBidi"/>
                <w:i w:val="0"/>
                <w:iCs w:val="0"/>
                <w:color w:val="auto"/>
                <w:sz w:val="20"/>
                <w:szCs w:val="20"/>
              </w:rPr>
              <w:t xml:space="preserve"> pro prioritní oblasti lékařských věd a související společenskovědní disciplíny“, je podpořit primárně základní výzkum v konkrétních, státem vymezených zdravotnických oborech. Tato primární investice do vědecké základny v prioritních oblastech zdravotnického výzkumu přinese i systémovou změnu v podobě vzniku 4-5 funkčních národních výzkumných autorit, které se soustředí na obory s vysokou smrtností, zejména na výzkum v oblasti </w:t>
            </w:r>
            <w:r w:rsidRPr="6C54F3A7">
              <w:rPr>
                <w:rFonts w:asciiTheme="minorHAnsi" w:eastAsiaTheme="minorEastAsia" w:hAnsiTheme="minorHAnsi" w:cstheme="minorBidi"/>
                <w:sz w:val="20"/>
                <w:szCs w:val="20"/>
              </w:rPr>
              <w:t xml:space="preserve">infekčních chorob a virologie, onkologický výzkum, výzkum metabolických onemocnění a kardiovaskulárních chorob, vč., výzkumu v oblasti neurověd, </w:t>
            </w:r>
            <w:proofErr w:type="spellStart"/>
            <w:r w:rsidRPr="6C54F3A7">
              <w:rPr>
                <w:rFonts w:asciiTheme="minorHAnsi" w:eastAsiaTheme="minorEastAsia" w:hAnsiTheme="minorHAnsi" w:cstheme="minorBidi"/>
                <w:sz w:val="20"/>
                <w:szCs w:val="20"/>
              </w:rPr>
              <w:t>neurodegenerativních</w:t>
            </w:r>
            <w:proofErr w:type="spellEnd"/>
            <w:r w:rsidRPr="6C54F3A7">
              <w:rPr>
                <w:rFonts w:asciiTheme="minorHAnsi" w:eastAsiaTheme="minorEastAsia" w:hAnsiTheme="minorHAnsi" w:cstheme="minorBidi"/>
                <w:sz w:val="20"/>
                <w:szCs w:val="20"/>
              </w:rPr>
              <w:t xml:space="preserve"> chorob a psychiatrie, a společenskovědní výzkum studujících socioekonomické dopady systémových zdravotních rizik</w:t>
            </w:r>
            <w:r w:rsidRPr="6C54F3A7">
              <w:rPr>
                <w:rStyle w:val="K-TextInfoChar"/>
                <w:rFonts w:asciiTheme="minorHAnsi" w:eastAsiaTheme="minorEastAsia" w:hAnsiTheme="minorHAnsi" w:cstheme="minorBidi"/>
                <w:i w:val="0"/>
                <w:iCs w:val="0"/>
                <w:color w:val="auto"/>
                <w:sz w:val="20"/>
                <w:szCs w:val="20"/>
              </w:rPr>
              <w:t xml:space="preserve"> (dále jen „prioritní oblasti </w:t>
            </w:r>
            <w:proofErr w:type="spellStart"/>
            <w:r w:rsidRPr="6C54F3A7">
              <w:rPr>
                <w:rStyle w:val="K-TextInfoChar"/>
                <w:rFonts w:asciiTheme="minorHAnsi" w:eastAsiaTheme="minorEastAsia" w:hAnsiTheme="minorHAnsi" w:cstheme="minorBidi"/>
                <w:i w:val="0"/>
                <w:iCs w:val="0"/>
                <w:color w:val="auto"/>
                <w:sz w:val="20"/>
                <w:szCs w:val="20"/>
              </w:rPr>
              <w:t>VaV</w:t>
            </w:r>
            <w:proofErr w:type="spellEnd"/>
            <w:r w:rsidRPr="6C54F3A7">
              <w:rPr>
                <w:rStyle w:val="K-TextInfoChar"/>
                <w:rFonts w:asciiTheme="minorHAnsi" w:eastAsiaTheme="minorEastAsia" w:hAnsiTheme="minorHAnsi" w:cstheme="minorBidi"/>
                <w:i w:val="0"/>
                <w:iCs w:val="0"/>
                <w:color w:val="auto"/>
                <w:sz w:val="20"/>
                <w:szCs w:val="20"/>
              </w:rPr>
              <w:t>“).</w:t>
            </w:r>
          </w:p>
          <w:p w14:paraId="5F9B9FC5" w14:textId="5400B1C4" w:rsidR="71E36747" w:rsidRDefault="71E36747" w:rsidP="6C54F3A7">
            <w:pPr>
              <w:spacing w:line="240" w:lineRule="auto"/>
              <w:jc w:val="both"/>
              <w:rPr>
                <w:rFonts w:eastAsiaTheme="minorEastAsia"/>
                <w:b/>
                <w:bCs/>
                <w:sz w:val="20"/>
                <w:szCs w:val="20"/>
              </w:rPr>
            </w:pPr>
            <w:r w:rsidRPr="6C54F3A7">
              <w:rPr>
                <w:rFonts w:eastAsiaTheme="minorEastAsia"/>
                <w:b/>
                <w:bCs/>
                <w:sz w:val="20"/>
                <w:szCs w:val="20"/>
              </w:rPr>
              <w:t xml:space="preserve">Reformy a investice: </w:t>
            </w:r>
          </w:p>
          <w:p w14:paraId="47C863F2" w14:textId="04444A49" w:rsidR="7A294DE1" w:rsidRDefault="7A294DE1" w:rsidP="6C54F3A7">
            <w:pPr>
              <w:pStyle w:val="Default"/>
              <w:spacing w:after="120"/>
              <w:jc w:val="both"/>
              <w:rPr>
                <w:rStyle w:val="K-TextInfoChar"/>
                <w:rFonts w:asciiTheme="minorHAnsi" w:eastAsiaTheme="minorEastAsia" w:hAnsiTheme="minorHAnsi" w:cstheme="minorBidi"/>
                <w:color w:val="auto"/>
                <w:sz w:val="20"/>
                <w:szCs w:val="20"/>
              </w:rPr>
            </w:pPr>
            <w:proofErr w:type="spellStart"/>
            <w:r w:rsidRPr="6C54F3A7">
              <w:rPr>
                <w:rStyle w:val="K-TextInfoChar"/>
                <w:rFonts w:asciiTheme="minorHAnsi" w:eastAsiaTheme="minorEastAsia" w:hAnsiTheme="minorHAnsi" w:cstheme="minorBidi"/>
                <w:color w:val="auto"/>
                <w:sz w:val="20"/>
                <w:szCs w:val="20"/>
              </w:rPr>
              <w:t>Flagships</w:t>
            </w:r>
            <w:proofErr w:type="spellEnd"/>
            <w:r w:rsidRPr="6C54F3A7">
              <w:rPr>
                <w:rStyle w:val="K-TextInfoChar"/>
                <w:rFonts w:asciiTheme="minorHAnsi" w:eastAsiaTheme="minorEastAsia" w:hAnsiTheme="minorHAnsi" w:cstheme="minorBidi"/>
                <w:color w:val="auto"/>
                <w:sz w:val="20"/>
                <w:szCs w:val="20"/>
              </w:rPr>
              <w:t xml:space="preserve">: </w:t>
            </w:r>
            <w:proofErr w:type="spellStart"/>
            <w:r w:rsidRPr="6C54F3A7">
              <w:rPr>
                <w:rStyle w:val="K-TextInfoChar"/>
                <w:rFonts w:asciiTheme="minorHAnsi" w:eastAsiaTheme="minorEastAsia" w:hAnsiTheme="minorHAnsi" w:cstheme="minorBidi"/>
                <w:color w:val="auto"/>
                <w:sz w:val="20"/>
                <w:szCs w:val="20"/>
              </w:rPr>
              <w:t>Reskill</w:t>
            </w:r>
            <w:proofErr w:type="spellEnd"/>
            <w:r w:rsidRPr="6C54F3A7">
              <w:rPr>
                <w:rStyle w:val="K-TextInfoChar"/>
                <w:rFonts w:asciiTheme="minorHAnsi" w:eastAsiaTheme="minorEastAsia" w:hAnsiTheme="minorHAnsi" w:cstheme="minorBidi"/>
                <w:color w:val="auto"/>
                <w:sz w:val="20"/>
                <w:szCs w:val="20"/>
              </w:rPr>
              <w:t xml:space="preserve"> and </w:t>
            </w:r>
            <w:proofErr w:type="spellStart"/>
            <w:r w:rsidRPr="6C54F3A7">
              <w:rPr>
                <w:rStyle w:val="K-TextInfoChar"/>
                <w:rFonts w:asciiTheme="minorHAnsi" w:eastAsiaTheme="minorEastAsia" w:hAnsiTheme="minorHAnsi" w:cstheme="minorBidi"/>
                <w:color w:val="auto"/>
                <w:sz w:val="20"/>
                <w:szCs w:val="20"/>
              </w:rPr>
              <w:t>upskill</w:t>
            </w:r>
            <w:proofErr w:type="spellEnd"/>
          </w:p>
          <w:p w14:paraId="28FBE345" w14:textId="1DDF481D" w:rsidR="7A294DE1" w:rsidRDefault="7A294DE1" w:rsidP="6C54F3A7">
            <w:pPr>
              <w:pStyle w:val="Default"/>
              <w:spacing w:after="120"/>
              <w:jc w:val="both"/>
              <w:rPr>
                <w:rStyle w:val="K-TextInfoChar"/>
                <w:rFonts w:asciiTheme="minorHAnsi" w:eastAsiaTheme="minorEastAsia" w:hAnsiTheme="minorHAnsi" w:cstheme="minorBidi"/>
                <w:i w:val="0"/>
                <w:iCs w:val="0"/>
                <w:color w:val="auto"/>
                <w:sz w:val="20"/>
                <w:szCs w:val="20"/>
              </w:rPr>
            </w:pPr>
            <w:r w:rsidRPr="6C54F3A7">
              <w:rPr>
                <w:rStyle w:val="K-TextInfoChar"/>
                <w:rFonts w:asciiTheme="minorHAnsi" w:eastAsiaTheme="minorEastAsia" w:hAnsiTheme="minorHAnsi" w:cstheme="minorBidi"/>
                <w:i w:val="0"/>
                <w:iCs w:val="0"/>
                <w:color w:val="auto"/>
                <w:sz w:val="20"/>
                <w:szCs w:val="20"/>
              </w:rPr>
              <w:t xml:space="preserve">MŠMT/MEYS zvolilo jedinou cílenou investici do základního výzkumu v oblasti zdravotnictví v podobě „Systémové podpory </w:t>
            </w:r>
            <w:proofErr w:type="spellStart"/>
            <w:r w:rsidRPr="6C54F3A7">
              <w:rPr>
                <w:rStyle w:val="K-TextInfoChar"/>
                <w:rFonts w:asciiTheme="minorHAnsi" w:eastAsiaTheme="minorEastAsia" w:hAnsiTheme="minorHAnsi" w:cstheme="minorBidi"/>
                <w:i w:val="0"/>
                <w:iCs w:val="0"/>
                <w:color w:val="auto"/>
                <w:sz w:val="20"/>
                <w:szCs w:val="20"/>
              </w:rPr>
              <w:t>VaVaI</w:t>
            </w:r>
            <w:proofErr w:type="spellEnd"/>
            <w:r w:rsidRPr="6C54F3A7">
              <w:rPr>
                <w:rStyle w:val="K-TextInfoChar"/>
                <w:rFonts w:asciiTheme="minorHAnsi" w:eastAsiaTheme="minorEastAsia" w:hAnsiTheme="minorHAnsi" w:cstheme="minorBidi"/>
                <w:i w:val="0"/>
                <w:iCs w:val="0"/>
                <w:color w:val="auto"/>
                <w:sz w:val="20"/>
                <w:szCs w:val="20"/>
              </w:rPr>
              <w:t xml:space="preserve"> pro prioritní oblasti lékařských věd a souvisejících společenskovědních disciplín“. Vědecké disciplíny byly vymezeny na základě analytických a statistických dat, a dále komplementárně k existujícím národním opatřením, která naplněním svého základního cíle, vznikem 4 až 5 národních výzkumných autorit přinese do prioritních oblastí </w:t>
            </w:r>
            <w:proofErr w:type="spellStart"/>
            <w:r w:rsidRPr="6C54F3A7">
              <w:rPr>
                <w:rStyle w:val="K-TextInfoChar"/>
                <w:rFonts w:asciiTheme="minorHAnsi" w:eastAsiaTheme="minorEastAsia" w:hAnsiTheme="minorHAnsi" w:cstheme="minorBidi"/>
                <w:i w:val="0"/>
                <w:iCs w:val="0"/>
                <w:color w:val="auto"/>
                <w:sz w:val="20"/>
                <w:szCs w:val="20"/>
              </w:rPr>
              <w:t>VaV</w:t>
            </w:r>
            <w:proofErr w:type="spellEnd"/>
            <w:r w:rsidRPr="6C54F3A7">
              <w:rPr>
                <w:rStyle w:val="K-TextInfoChar"/>
                <w:rFonts w:asciiTheme="minorHAnsi" w:eastAsiaTheme="minorEastAsia" w:hAnsiTheme="minorHAnsi" w:cstheme="minorBidi"/>
                <w:i w:val="0"/>
                <w:iCs w:val="0"/>
                <w:color w:val="auto"/>
                <w:sz w:val="20"/>
                <w:szCs w:val="20"/>
              </w:rPr>
              <w:t xml:space="preserve"> kvalitativní změnu s celospolečenským dopadem jak do oblasti fungování státní správy České republiky (ČR) v krizových situacích obdobných krizi spojené s epidemickou situací COVID-19, tak i trvalejšími pozitivními přínosy pro výzkum a tedy i pro odbornou a širší laickou veřejnost zejména produkcí mezinárodně konkurenceschopných </w:t>
            </w:r>
            <w:proofErr w:type="spellStart"/>
            <w:r w:rsidRPr="6C54F3A7">
              <w:rPr>
                <w:rStyle w:val="K-TextInfoChar"/>
                <w:rFonts w:asciiTheme="minorHAnsi" w:eastAsiaTheme="minorEastAsia" w:hAnsiTheme="minorHAnsi" w:cstheme="minorBidi"/>
                <w:i w:val="0"/>
                <w:iCs w:val="0"/>
                <w:color w:val="auto"/>
                <w:sz w:val="20"/>
                <w:szCs w:val="20"/>
              </w:rPr>
              <w:t>VaV</w:t>
            </w:r>
            <w:proofErr w:type="spellEnd"/>
            <w:r w:rsidRPr="6C54F3A7">
              <w:rPr>
                <w:rStyle w:val="K-TextInfoChar"/>
                <w:rFonts w:asciiTheme="minorHAnsi" w:eastAsiaTheme="minorEastAsia" w:hAnsiTheme="minorHAnsi" w:cstheme="minorBidi"/>
                <w:i w:val="0"/>
                <w:iCs w:val="0"/>
                <w:color w:val="auto"/>
                <w:sz w:val="20"/>
                <w:szCs w:val="20"/>
              </w:rPr>
              <w:t xml:space="preserve"> výsledků a zrychlením transferu znalostí v předmětných prioritních oblastech </w:t>
            </w:r>
            <w:proofErr w:type="spellStart"/>
            <w:r w:rsidRPr="6C54F3A7">
              <w:rPr>
                <w:rStyle w:val="K-TextInfoChar"/>
                <w:rFonts w:asciiTheme="minorHAnsi" w:eastAsiaTheme="minorEastAsia" w:hAnsiTheme="minorHAnsi" w:cstheme="minorBidi"/>
                <w:i w:val="0"/>
                <w:iCs w:val="0"/>
                <w:color w:val="auto"/>
                <w:sz w:val="20"/>
                <w:szCs w:val="20"/>
              </w:rPr>
              <w:t>VaV</w:t>
            </w:r>
            <w:proofErr w:type="spellEnd"/>
            <w:r w:rsidRPr="6C54F3A7">
              <w:rPr>
                <w:rStyle w:val="K-TextInfoChar"/>
                <w:rFonts w:asciiTheme="minorHAnsi" w:eastAsiaTheme="minorEastAsia" w:hAnsiTheme="minorHAnsi" w:cstheme="minorBidi"/>
                <w:i w:val="0"/>
                <w:iCs w:val="0"/>
                <w:color w:val="auto"/>
                <w:sz w:val="20"/>
                <w:szCs w:val="20"/>
              </w:rPr>
              <w:t>.</w:t>
            </w:r>
          </w:p>
          <w:p w14:paraId="611EBAC5" w14:textId="4D021F31" w:rsidR="7A294DE1" w:rsidRDefault="7A294DE1" w:rsidP="6C54F3A7">
            <w:pPr>
              <w:pStyle w:val="Default"/>
              <w:spacing w:after="120"/>
              <w:jc w:val="both"/>
              <w:rPr>
                <w:rStyle w:val="K-TextInfoChar"/>
                <w:rFonts w:asciiTheme="minorHAnsi" w:eastAsiaTheme="minorEastAsia" w:hAnsiTheme="minorHAnsi" w:cstheme="minorBidi"/>
                <w:i w:val="0"/>
                <w:iCs w:val="0"/>
                <w:color w:val="auto"/>
                <w:sz w:val="20"/>
                <w:szCs w:val="20"/>
              </w:rPr>
            </w:pPr>
            <w:r w:rsidRPr="6C54F3A7">
              <w:rPr>
                <w:rStyle w:val="K-TextInfoChar"/>
                <w:rFonts w:asciiTheme="minorHAnsi" w:eastAsiaTheme="minorEastAsia" w:hAnsiTheme="minorHAnsi" w:cstheme="minorBidi"/>
                <w:i w:val="0"/>
                <w:iCs w:val="0"/>
                <w:color w:val="auto"/>
                <w:sz w:val="20"/>
                <w:szCs w:val="20"/>
              </w:rPr>
              <w:t>Finanční podpora musí eliminovat stávající roztříštěnost, motivovat dlouhodobému sdružení a stmelení existujících výzkumných ohnisek, k jejich vzájemné kooperaci a sdílení kapacit napříč ČR</w:t>
            </w:r>
            <w:r w:rsidRPr="71E36747">
              <w:rPr>
                <w:rStyle w:val="Znakapoznpodarou"/>
                <w:rFonts w:asciiTheme="minorHAnsi" w:eastAsiaTheme="minorEastAsia" w:hAnsiTheme="minorHAnsi" w:cstheme="minorBidi"/>
                <w:color w:val="auto"/>
                <w:sz w:val="20"/>
                <w:szCs w:val="20"/>
              </w:rPr>
              <w:footnoteReference w:id="1"/>
            </w:r>
            <w:r w:rsidRPr="6C54F3A7">
              <w:rPr>
                <w:rStyle w:val="K-TextInfoChar"/>
                <w:rFonts w:asciiTheme="minorHAnsi" w:eastAsiaTheme="minorEastAsia" w:hAnsiTheme="minorHAnsi" w:cstheme="minorBidi"/>
                <w:i w:val="0"/>
                <w:iCs w:val="0"/>
                <w:color w:val="auto"/>
                <w:sz w:val="20"/>
                <w:szCs w:val="20"/>
              </w:rPr>
              <w:t>, a k modernizaci těchto kapacit. Výsledkem bude vytvoření jednotné národní platformy(„</w:t>
            </w:r>
            <w:proofErr w:type="spellStart"/>
            <w:r w:rsidRPr="6C54F3A7">
              <w:rPr>
                <w:rStyle w:val="K-TextInfoChar"/>
                <w:rFonts w:asciiTheme="minorHAnsi" w:eastAsiaTheme="minorEastAsia" w:hAnsiTheme="minorHAnsi" w:cstheme="minorBidi"/>
                <w:i w:val="0"/>
                <w:iCs w:val="0"/>
                <w:color w:val="auto"/>
                <w:sz w:val="20"/>
                <w:szCs w:val="20"/>
              </w:rPr>
              <w:t>one</w:t>
            </w:r>
            <w:proofErr w:type="spellEnd"/>
            <w:r w:rsidRPr="6C54F3A7">
              <w:rPr>
                <w:rStyle w:val="K-TextInfoChar"/>
                <w:rFonts w:asciiTheme="minorHAnsi" w:eastAsiaTheme="minorEastAsia" w:hAnsiTheme="minorHAnsi" w:cstheme="minorBidi"/>
                <w:i w:val="0"/>
                <w:iCs w:val="0"/>
                <w:color w:val="auto"/>
                <w:sz w:val="20"/>
                <w:szCs w:val="20"/>
              </w:rPr>
              <w:t xml:space="preserve"> </w:t>
            </w:r>
            <w:proofErr w:type="spellStart"/>
            <w:r w:rsidRPr="6C54F3A7">
              <w:rPr>
                <w:rStyle w:val="K-TextInfoChar"/>
                <w:rFonts w:asciiTheme="minorHAnsi" w:eastAsiaTheme="minorEastAsia" w:hAnsiTheme="minorHAnsi" w:cstheme="minorBidi"/>
                <w:i w:val="0"/>
                <w:iCs w:val="0"/>
                <w:color w:val="auto"/>
                <w:sz w:val="20"/>
                <w:szCs w:val="20"/>
              </w:rPr>
              <w:t>integrated</w:t>
            </w:r>
            <w:proofErr w:type="spellEnd"/>
            <w:r w:rsidRPr="6C54F3A7">
              <w:rPr>
                <w:rStyle w:val="K-TextInfoChar"/>
                <w:rFonts w:asciiTheme="minorHAnsi" w:eastAsiaTheme="minorEastAsia" w:hAnsiTheme="minorHAnsi" w:cstheme="minorBidi"/>
                <w:i w:val="0"/>
                <w:iCs w:val="0"/>
                <w:color w:val="auto"/>
                <w:sz w:val="20"/>
                <w:szCs w:val="20"/>
              </w:rPr>
              <w:t xml:space="preserve"> </w:t>
            </w:r>
            <w:proofErr w:type="spellStart"/>
            <w:r w:rsidRPr="6C54F3A7">
              <w:rPr>
                <w:rStyle w:val="K-TextInfoChar"/>
                <w:rFonts w:asciiTheme="minorHAnsi" w:eastAsiaTheme="minorEastAsia" w:hAnsiTheme="minorHAnsi" w:cstheme="minorBidi"/>
                <w:i w:val="0"/>
                <w:iCs w:val="0"/>
                <w:color w:val="auto"/>
                <w:sz w:val="20"/>
                <w:szCs w:val="20"/>
              </w:rPr>
              <w:t>national</w:t>
            </w:r>
            <w:proofErr w:type="spellEnd"/>
            <w:r w:rsidRPr="6C54F3A7">
              <w:rPr>
                <w:rStyle w:val="K-TextInfoChar"/>
                <w:rFonts w:asciiTheme="minorHAnsi" w:eastAsiaTheme="minorEastAsia" w:hAnsiTheme="minorHAnsi" w:cstheme="minorBidi"/>
                <w:i w:val="0"/>
                <w:iCs w:val="0"/>
                <w:color w:val="auto"/>
                <w:sz w:val="20"/>
                <w:szCs w:val="20"/>
              </w:rPr>
              <w:t xml:space="preserve"> </w:t>
            </w:r>
            <w:proofErr w:type="spellStart"/>
            <w:r w:rsidRPr="6C54F3A7">
              <w:rPr>
                <w:rStyle w:val="K-TextInfoChar"/>
                <w:rFonts w:asciiTheme="minorHAnsi" w:eastAsiaTheme="minorEastAsia" w:hAnsiTheme="minorHAnsi" w:cstheme="minorBidi"/>
                <w:i w:val="0"/>
                <w:iCs w:val="0"/>
                <w:color w:val="auto"/>
                <w:sz w:val="20"/>
                <w:szCs w:val="20"/>
              </w:rPr>
              <w:t>platform</w:t>
            </w:r>
            <w:proofErr w:type="spellEnd"/>
            <w:r w:rsidRPr="6C54F3A7">
              <w:rPr>
                <w:rStyle w:val="K-TextInfoChar"/>
                <w:rFonts w:asciiTheme="minorHAnsi" w:eastAsiaTheme="minorEastAsia" w:hAnsiTheme="minorHAnsi" w:cstheme="minorBidi"/>
                <w:i w:val="0"/>
                <w:iCs w:val="0"/>
                <w:color w:val="auto"/>
                <w:sz w:val="20"/>
                <w:szCs w:val="20"/>
              </w:rPr>
              <w:t xml:space="preserve">“) na úrovni národních vědeckých autorit, které budou organicky začleněny do existující struktury výzkumných organizací a univerzit v ČR, které systematicky zajistí nezbytné odborné, vědecké zázemí pro potřeby státní správy, odborné i širší veřejnosti, umožní rychlejší a transparentnější sdílení relevantních a vědecky ověřených informací a výsledků </w:t>
            </w:r>
            <w:proofErr w:type="spellStart"/>
            <w:r w:rsidRPr="6C54F3A7">
              <w:rPr>
                <w:rStyle w:val="K-TextInfoChar"/>
                <w:rFonts w:asciiTheme="minorHAnsi" w:eastAsiaTheme="minorEastAsia" w:hAnsiTheme="minorHAnsi" w:cstheme="minorBidi"/>
                <w:i w:val="0"/>
                <w:iCs w:val="0"/>
                <w:color w:val="auto"/>
                <w:sz w:val="20"/>
                <w:szCs w:val="20"/>
              </w:rPr>
              <w:t>VaVaI</w:t>
            </w:r>
            <w:proofErr w:type="spellEnd"/>
            <w:r w:rsidRPr="6C54F3A7">
              <w:rPr>
                <w:rStyle w:val="K-TextInfoChar"/>
                <w:rFonts w:asciiTheme="minorHAnsi" w:eastAsiaTheme="minorEastAsia" w:hAnsiTheme="minorHAnsi" w:cstheme="minorBidi"/>
                <w:i w:val="0"/>
                <w:iCs w:val="0"/>
                <w:color w:val="auto"/>
                <w:sz w:val="20"/>
                <w:szCs w:val="20"/>
              </w:rPr>
              <w:t xml:space="preserve"> nové kvality v prioritních oblastech zdravotnického výzkumu i napříč obory. Podpoření excelentní vědecké základny současně umožní rychlejší reakce a odbornou podporu pro vlastní řízení státní správy v krizových obdobích v prioritní oblasti jejího zájmu a zvýší odolnost celého zdravotnického systému. </w:t>
            </w:r>
            <w:proofErr w:type="spellStart"/>
            <w:r w:rsidRPr="6C54F3A7">
              <w:rPr>
                <w:rStyle w:val="K-TextInfoChar"/>
                <w:rFonts w:asciiTheme="minorHAnsi" w:eastAsiaTheme="minorEastAsia" w:hAnsiTheme="minorHAnsi" w:cstheme="minorBidi"/>
                <w:i w:val="0"/>
                <w:iCs w:val="0"/>
                <w:color w:val="auto"/>
                <w:sz w:val="20"/>
                <w:szCs w:val="20"/>
              </w:rPr>
              <w:t>Covidová</w:t>
            </w:r>
            <w:proofErr w:type="spellEnd"/>
            <w:r w:rsidRPr="6C54F3A7">
              <w:rPr>
                <w:rStyle w:val="K-TextInfoChar"/>
                <w:rFonts w:asciiTheme="minorHAnsi" w:eastAsiaTheme="minorEastAsia" w:hAnsiTheme="minorHAnsi" w:cstheme="minorBidi"/>
                <w:i w:val="0"/>
                <w:iCs w:val="0"/>
                <w:color w:val="auto"/>
                <w:sz w:val="20"/>
                <w:szCs w:val="20"/>
              </w:rPr>
              <w:t xml:space="preserve"> krize se stala výzvou i impulsem urychleně řešit národní potřeby ČR ve vědních oborech směřujících do zdravotnictví a ukázala nedostatečnost vědecké základny v některých oblastech se statisticky vysokou smrtností, jako je oblast infekčních chorob, onkologických nebo metabolických, </w:t>
            </w:r>
            <w:proofErr w:type="spellStart"/>
            <w:r w:rsidRPr="6C54F3A7">
              <w:rPr>
                <w:rStyle w:val="K-TextInfoChar"/>
                <w:rFonts w:asciiTheme="minorHAnsi" w:eastAsiaTheme="minorEastAsia" w:hAnsiTheme="minorHAnsi" w:cstheme="minorBidi"/>
                <w:i w:val="0"/>
                <w:iCs w:val="0"/>
                <w:color w:val="auto"/>
                <w:sz w:val="20"/>
                <w:szCs w:val="20"/>
              </w:rPr>
              <w:t>neurodegenerativních</w:t>
            </w:r>
            <w:proofErr w:type="spellEnd"/>
            <w:r w:rsidRPr="6C54F3A7">
              <w:rPr>
                <w:rStyle w:val="K-TextInfoChar"/>
                <w:rFonts w:asciiTheme="minorHAnsi" w:eastAsiaTheme="minorEastAsia" w:hAnsiTheme="minorHAnsi" w:cstheme="minorBidi"/>
                <w:i w:val="0"/>
                <w:iCs w:val="0"/>
                <w:color w:val="auto"/>
                <w:sz w:val="20"/>
                <w:szCs w:val="20"/>
              </w:rPr>
              <w:t xml:space="preserve">, cerebrovaskulárních a kardiovaskulárních poruch. Celosvětová pandemie COVID-19 zasáhla zdraví občanů i v oblasti neurologických a duševních onemocnění, které dobře identifikují i zahraniční </w:t>
            </w:r>
            <w:r w:rsidRPr="6C54F3A7">
              <w:rPr>
                <w:rStyle w:val="K-TextInfoChar"/>
                <w:rFonts w:asciiTheme="minorHAnsi" w:eastAsiaTheme="minorEastAsia" w:hAnsiTheme="minorHAnsi" w:cstheme="minorBidi"/>
                <w:i w:val="0"/>
                <w:iCs w:val="0"/>
                <w:color w:val="auto"/>
                <w:sz w:val="20"/>
                <w:szCs w:val="20"/>
              </w:rPr>
              <w:lastRenderedPageBreak/>
              <w:t xml:space="preserve">studie. Dobře zdokumentovány jsou např. dopady COVID-19 právě na oblast </w:t>
            </w:r>
            <w:proofErr w:type="spellStart"/>
            <w:r w:rsidRPr="6C54F3A7">
              <w:rPr>
                <w:rStyle w:val="K-TextInfoChar"/>
                <w:rFonts w:asciiTheme="minorHAnsi" w:eastAsiaTheme="minorEastAsia" w:hAnsiTheme="minorHAnsi" w:cstheme="minorBidi"/>
                <w:i w:val="0"/>
                <w:iCs w:val="0"/>
                <w:color w:val="auto"/>
                <w:sz w:val="20"/>
                <w:szCs w:val="20"/>
              </w:rPr>
              <w:t>neurodegenerativních</w:t>
            </w:r>
            <w:proofErr w:type="spellEnd"/>
            <w:r w:rsidRPr="6C54F3A7">
              <w:rPr>
                <w:rStyle w:val="K-TextInfoChar"/>
                <w:rFonts w:asciiTheme="minorHAnsi" w:eastAsiaTheme="minorEastAsia" w:hAnsiTheme="minorHAnsi" w:cstheme="minorBidi"/>
                <w:i w:val="0"/>
                <w:iCs w:val="0"/>
                <w:color w:val="auto"/>
                <w:sz w:val="20"/>
                <w:szCs w:val="20"/>
              </w:rPr>
              <w:t xml:space="preserve"> poruch, cévních a autoimunitních onemocnění centrální nervové soustavy, ale také na oblast duševních onemocnění.</w:t>
            </w:r>
            <w:r w:rsidRPr="71E36747">
              <w:rPr>
                <w:rStyle w:val="Znakapoznpodarou"/>
                <w:rFonts w:asciiTheme="minorHAnsi" w:eastAsiaTheme="minorEastAsia" w:hAnsiTheme="minorHAnsi" w:cstheme="minorBidi"/>
                <w:color w:val="auto"/>
                <w:sz w:val="20"/>
                <w:szCs w:val="20"/>
              </w:rPr>
              <w:footnoteReference w:id="2"/>
            </w:r>
            <w:r w:rsidRPr="6C54F3A7">
              <w:rPr>
                <w:rStyle w:val="K-TextInfoChar"/>
                <w:rFonts w:asciiTheme="minorHAnsi" w:eastAsiaTheme="minorEastAsia" w:hAnsiTheme="minorHAnsi" w:cstheme="minorBidi"/>
                <w:i w:val="0"/>
                <w:iCs w:val="0"/>
                <w:color w:val="auto"/>
                <w:sz w:val="20"/>
                <w:szCs w:val="20"/>
              </w:rPr>
              <w:t xml:space="preserve"> Klíčovou potřebou je také podpora specifické průřezové oblasti socioekonomických dopadů takovýchto typů nemocí a dopadů systémových zdravotních rizik.</w:t>
            </w:r>
            <w:r w:rsidRPr="71E36747">
              <w:rPr>
                <w:rStyle w:val="Znakapoznpodarou"/>
                <w:rFonts w:asciiTheme="minorHAnsi" w:eastAsiaTheme="minorEastAsia" w:hAnsiTheme="minorHAnsi" w:cstheme="minorBidi"/>
                <w:color w:val="auto"/>
                <w:sz w:val="20"/>
                <w:szCs w:val="20"/>
              </w:rPr>
              <w:t xml:space="preserve"> </w:t>
            </w:r>
            <w:r w:rsidRPr="71E36747">
              <w:rPr>
                <w:rStyle w:val="Znakapoznpodarou"/>
                <w:rFonts w:asciiTheme="minorHAnsi" w:eastAsiaTheme="minorEastAsia" w:hAnsiTheme="minorHAnsi" w:cstheme="minorBidi"/>
                <w:color w:val="auto"/>
                <w:sz w:val="20"/>
                <w:szCs w:val="20"/>
              </w:rPr>
              <w:footnoteReference w:id="3"/>
            </w:r>
            <w:r w:rsidRPr="6C54F3A7">
              <w:rPr>
                <w:rStyle w:val="K-TextInfoChar"/>
                <w:rFonts w:asciiTheme="minorHAnsi" w:eastAsiaTheme="minorEastAsia" w:hAnsiTheme="minorHAnsi" w:cstheme="minorBidi"/>
                <w:i w:val="0"/>
                <w:iCs w:val="0"/>
                <w:color w:val="auto"/>
                <w:sz w:val="20"/>
                <w:szCs w:val="20"/>
              </w:rPr>
              <w:t xml:space="preserve"> </w:t>
            </w:r>
          </w:p>
          <w:p w14:paraId="6BA7D2E0" w14:textId="080911D6" w:rsidR="7A294DE1" w:rsidRDefault="7A294DE1" w:rsidP="6C54F3A7">
            <w:pPr>
              <w:pStyle w:val="Default"/>
              <w:spacing w:after="120"/>
              <w:jc w:val="both"/>
              <w:rPr>
                <w:rStyle w:val="K-TextInfoChar"/>
                <w:rFonts w:asciiTheme="minorHAnsi" w:eastAsiaTheme="minorEastAsia" w:hAnsiTheme="minorHAnsi" w:cstheme="minorBidi"/>
                <w:i w:val="0"/>
                <w:iCs w:val="0"/>
                <w:color w:val="auto"/>
                <w:sz w:val="20"/>
                <w:szCs w:val="20"/>
              </w:rPr>
            </w:pPr>
            <w:r w:rsidRPr="6C54F3A7">
              <w:rPr>
                <w:rStyle w:val="K-TextInfoChar"/>
                <w:rFonts w:asciiTheme="minorHAnsi" w:eastAsiaTheme="minorEastAsia" w:hAnsiTheme="minorHAnsi" w:cstheme="minorBidi"/>
                <w:i w:val="0"/>
                <w:iCs w:val="0"/>
                <w:color w:val="auto"/>
                <w:sz w:val="20"/>
                <w:szCs w:val="20"/>
              </w:rPr>
              <w:t>Ze základního charakteru výše identifikované celospolečenské potřeby zde vyplývá návaznost na některé vlajkové iniciativy:</w:t>
            </w:r>
          </w:p>
          <w:p w14:paraId="03C320D9" w14:textId="2938EB86" w:rsidR="7A294DE1" w:rsidRDefault="7A294DE1" w:rsidP="6C54F3A7">
            <w:pPr>
              <w:pStyle w:val="Textkomente"/>
              <w:jc w:val="both"/>
              <w:rPr>
                <w:rStyle w:val="K-TextInfoChar"/>
                <w:rFonts w:asciiTheme="minorHAnsi" w:eastAsiaTheme="minorEastAsia" w:hAnsiTheme="minorHAnsi" w:cstheme="minorBidi"/>
                <w:i w:val="0"/>
                <w:iCs w:val="0"/>
                <w:color w:val="auto"/>
                <w:sz w:val="20"/>
                <w:szCs w:val="20"/>
              </w:rPr>
            </w:pPr>
            <w:r w:rsidRPr="6C54F3A7">
              <w:rPr>
                <w:rStyle w:val="K-TextInfoChar"/>
                <w:rFonts w:asciiTheme="minorHAnsi" w:eastAsiaTheme="minorEastAsia" w:hAnsiTheme="minorHAnsi" w:cstheme="minorBidi"/>
                <w:i w:val="0"/>
                <w:iCs w:val="0"/>
                <w:color w:val="auto"/>
                <w:sz w:val="20"/>
                <w:szCs w:val="20"/>
              </w:rPr>
              <w:t>První z nich je „renovace“. Jak bylo výše zmíněno, plánuje se eliminovat přetrvávající roztříštěnost v uvedených prioritních oborech a přeměnit existující, ne vždy zcela vyhovující výzkumné kapacity v moderní konsolidovaná, konsorciálně propojená a kooperující vědecká zařízení a pracoviště evropského standardu s vysoce kvalifikovanou odbornou obsluhou, která bude dlouhodobě poskytovat R&amp;D služby v ČR na jednotné celostátní platformě a pro obecnější využití i v Open Access režimu, aby došlo k efektivnějšímu využívání a zúročení vložených veřejných prostředků, obdobně, jak je tomu např. u velkých výzkumných infrastruktur z cestovní mapy ČR</w:t>
            </w:r>
            <w:r w:rsidRPr="71E36747">
              <w:rPr>
                <w:rStyle w:val="Znakapoznpodarou"/>
                <w:rFonts w:eastAsiaTheme="minorEastAsia"/>
                <w:color w:val="auto"/>
              </w:rPr>
              <w:footnoteReference w:id="4"/>
            </w:r>
            <w:r w:rsidRPr="6C54F3A7">
              <w:rPr>
                <w:rStyle w:val="K-TextInfoChar"/>
                <w:rFonts w:asciiTheme="minorHAnsi" w:eastAsiaTheme="minorEastAsia" w:hAnsiTheme="minorHAnsi" w:cstheme="minorBidi"/>
                <w:i w:val="0"/>
                <w:iCs w:val="0"/>
                <w:color w:val="auto"/>
                <w:sz w:val="20"/>
                <w:szCs w:val="20"/>
              </w:rPr>
              <w:t xml:space="preserve">. </w:t>
            </w:r>
          </w:p>
          <w:p w14:paraId="0C6C2608" w14:textId="5F218768" w:rsidR="7A294DE1" w:rsidRDefault="7A294DE1" w:rsidP="6C54F3A7">
            <w:pPr>
              <w:pStyle w:val="Default"/>
              <w:spacing w:after="120"/>
              <w:jc w:val="both"/>
              <w:rPr>
                <w:rStyle w:val="K-TextInfoChar"/>
                <w:rFonts w:asciiTheme="minorHAnsi" w:eastAsiaTheme="minorEastAsia" w:hAnsiTheme="minorHAnsi" w:cstheme="minorBidi"/>
                <w:i w:val="0"/>
                <w:iCs w:val="0"/>
                <w:color w:val="auto"/>
                <w:sz w:val="20"/>
                <w:szCs w:val="20"/>
              </w:rPr>
            </w:pPr>
            <w:r w:rsidRPr="6C54F3A7">
              <w:rPr>
                <w:rStyle w:val="K-TextInfoChar"/>
                <w:rFonts w:asciiTheme="minorHAnsi" w:eastAsiaTheme="minorEastAsia" w:hAnsiTheme="minorHAnsi" w:cstheme="minorBidi"/>
                <w:i w:val="0"/>
                <w:iCs w:val="0"/>
                <w:color w:val="auto"/>
                <w:sz w:val="20"/>
                <w:szCs w:val="20"/>
              </w:rPr>
              <w:t xml:space="preserve">S tím úzce souvisí iniciativa „modernizovat“. Modernizace celého systému, který v ČR za stávajícího stavu dosud není ve výše identifikovaných prioritních oblastech schopen poskytovat v potřebném rozsahu komplexní informace o výsledcích </w:t>
            </w:r>
            <w:proofErr w:type="spellStart"/>
            <w:r w:rsidRPr="6C54F3A7">
              <w:rPr>
                <w:rStyle w:val="K-TextInfoChar"/>
                <w:rFonts w:asciiTheme="minorHAnsi" w:eastAsiaTheme="minorEastAsia" w:hAnsiTheme="minorHAnsi" w:cstheme="minorBidi"/>
                <w:i w:val="0"/>
                <w:iCs w:val="0"/>
                <w:color w:val="auto"/>
                <w:sz w:val="20"/>
                <w:szCs w:val="20"/>
              </w:rPr>
              <w:t>VaVaI</w:t>
            </w:r>
            <w:proofErr w:type="spellEnd"/>
            <w:r w:rsidRPr="6C54F3A7">
              <w:rPr>
                <w:rStyle w:val="K-TextInfoChar"/>
                <w:rFonts w:asciiTheme="minorHAnsi" w:eastAsiaTheme="minorEastAsia" w:hAnsiTheme="minorHAnsi" w:cstheme="minorBidi"/>
                <w:i w:val="0"/>
                <w:iCs w:val="0"/>
                <w:color w:val="auto"/>
                <w:sz w:val="20"/>
                <w:szCs w:val="20"/>
              </w:rPr>
              <w:t xml:space="preserve"> v oblasti zdravotnického výzkumu, vědecká data nebo interoperabilní, personalizované a uživatelsky vstřícné digitální veřejné služby pro výzkum a vývoj, odborné univerzitní vzdělávání, i pro potřeby státní správy a širší veřejnosti. </w:t>
            </w:r>
            <w:proofErr w:type="spellStart"/>
            <w:r w:rsidRPr="6C54F3A7">
              <w:rPr>
                <w:rStyle w:val="K-TextInfoChar"/>
                <w:rFonts w:asciiTheme="minorHAnsi" w:eastAsiaTheme="minorEastAsia" w:hAnsiTheme="minorHAnsi" w:cstheme="minorBidi"/>
                <w:i w:val="0"/>
                <w:iCs w:val="0"/>
                <w:color w:val="auto"/>
                <w:sz w:val="20"/>
                <w:szCs w:val="20"/>
              </w:rPr>
              <w:t>Covidová</w:t>
            </w:r>
            <w:proofErr w:type="spellEnd"/>
            <w:r w:rsidRPr="6C54F3A7">
              <w:rPr>
                <w:rStyle w:val="K-TextInfoChar"/>
                <w:rFonts w:asciiTheme="minorHAnsi" w:eastAsiaTheme="minorEastAsia" w:hAnsiTheme="minorHAnsi" w:cstheme="minorBidi"/>
                <w:i w:val="0"/>
                <w:iCs w:val="0"/>
                <w:color w:val="auto"/>
                <w:sz w:val="20"/>
                <w:szCs w:val="20"/>
              </w:rPr>
              <w:t xml:space="preserve"> krize též odhalila, že v některých směrech jsou relevantní vědecké informace sdíleny a poskytovány často jen lokálně, v omezeném rozsahu a směřují jen k odborné veřejnosti. Očekává se, že pro danou oblast svěřených kompetencí toto v ČR zajistí nové národní vědecké autority</w:t>
            </w:r>
            <w:r w:rsidRPr="71E36747">
              <w:rPr>
                <w:rStyle w:val="Znakapoznpodarou"/>
                <w:rFonts w:asciiTheme="minorHAnsi" w:eastAsiaTheme="minorEastAsia" w:hAnsiTheme="minorHAnsi" w:cstheme="minorBidi"/>
                <w:color w:val="auto"/>
                <w:sz w:val="20"/>
                <w:szCs w:val="20"/>
              </w:rPr>
              <w:footnoteReference w:id="5"/>
            </w:r>
            <w:r w:rsidRPr="71E36747">
              <w:rPr>
                <w:rStyle w:val="K-TextInfoChar"/>
                <w:rFonts w:asciiTheme="minorHAnsi" w:eastAsiaTheme="minorEastAsia" w:hAnsiTheme="minorHAnsi" w:cstheme="minorBidi"/>
                <w:color w:val="auto"/>
                <w:sz w:val="20"/>
                <w:szCs w:val="20"/>
              </w:rPr>
              <w:t>.</w:t>
            </w:r>
            <w:r w:rsidRPr="6C54F3A7">
              <w:rPr>
                <w:rStyle w:val="K-TextInfoChar"/>
                <w:rFonts w:asciiTheme="minorHAnsi" w:eastAsiaTheme="minorEastAsia" w:hAnsiTheme="minorHAnsi" w:cstheme="minorBidi"/>
                <w:i w:val="0"/>
                <w:iCs w:val="0"/>
                <w:color w:val="auto"/>
                <w:sz w:val="20"/>
                <w:szCs w:val="20"/>
              </w:rPr>
              <w:t xml:space="preserve"> </w:t>
            </w:r>
          </w:p>
          <w:p w14:paraId="4D56C882" w14:textId="10EF8668" w:rsidR="71E36747" w:rsidRDefault="0573FEC3" w:rsidP="6C54F3A7">
            <w:pPr>
              <w:pStyle w:val="Default"/>
              <w:spacing w:after="120"/>
              <w:jc w:val="both"/>
              <w:rPr>
                <w:rStyle w:val="K-TextInfoChar"/>
                <w:rFonts w:asciiTheme="minorHAnsi" w:eastAsiaTheme="minorEastAsia" w:hAnsiTheme="minorHAnsi" w:cstheme="minorBidi"/>
                <w:i w:val="0"/>
                <w:iCs w:val="0"/>
                <w:color w:val="000000" w:themeColor="text1"/>
                <w:sz w:val="20"/>
                <w:szCs w:val="20"/>
              </w:rPr>
            </w:pPr>
            <w:r w:rsidRPr="6C54F3A7">
              <w:rPr>
                <w:rStyle w:val="K-TextInfoChar"/>
                <w:rFonts w:asciiTheme="minorHAnsi" w:eastAsiaTheme="minorEastAsia" w:hAnsiTheme="minorHAnsi" w:cstheme="minorBidi"/>
                <w:i w:val="0"/>
                <w:iCs w:val="0"/>
                <w:color w:val="auto"/>
                <w:sz w:val="20"/>
                <w:szCs w:val="20"/>
              </w:rPr>
              <w:t>Investice podpoří částečně i další z iniciativ, kterou je „změna kvalifikace a prohlubování dovedností”: Současný stav v ČR lze mimo jiné charakterizovat i odbornou názorovou roztříštěností, některými významnými, ale ojedinělými úspěchy jednotlivců, ne vždy komplexně spolupracujících v rámci ČR transferem znalostí nebo s ne vždy dostatečnou pokročilou vědeckou výchovou v prioritních oblastech, která by zajistila vysoce kvalifikované nástupce a kontinuitu v rozvoji progresívních témat. Jedním z požadavků kladených na nové národní vědecké autority bude zajistit mezinárodní konkurenceschopnost výsledků v podpořených prioritních oblastech a současně se aktivně podílet na kvalitní vědecké výchově a transferu znalostí ve v podpořených prioritních oblastech.</w:t>
            </w:r>
          </w:p>
          <w:p w14:paraId="20743AF7" w14:textId="610826FB" w:rsidR="71E36747" w:rsidRDefault="71E36747" w:rsidP="6C54F3A7">
            <w:pPr>
              <w:spacing w:line="240" w:lineRule="auto"/>
              <w:jc w:val="both"/>
              <w:rPr>
                <w:rFonts w:eastAsiaTheme="minorEastAsia"/>
                <w:b/>
                <w:bCs/>
                <w:sz w:val="20"/>
                <w:szCs w:val="20"/>
              </w:rPr>
            </w:pPr>
            <w:r w:rsidRPr="6C54F3A7">
              <w:rPr>
                <w:rFonts w:eastAsiaTheme="minorEastAsia"/>
                <w:b/>
                <w:bCs/>
                <w:sz w:val="20"/>
                <w:szCs w:val="20"/>
              </w:rPr>
              <w:t xml:space="preserve">Odhadované náklady: </w:t>
            </w:r>
          </w:p>
          <w:p w14:paraId="4C10D0B1" w14:textId="12D7D011" w:rsidR="0E39E90C" w:rsidRPr="00B839FB" w:rsidRDefault="0E39E90C" w:rsidP="6C54F3A7">
            <w:pPr>
              <w:spacing w:line="240" w:lineRule="auto"/>
              <w:jc w:val="both"/>
              <w:rPr>
                <w:rFonts w:eastAsiaTheme="minorEastAsia"/>
                <w:sz w:val="20"/>
                <w:szCs w:val="20"/>
              </w:rPr>
            </w:pPr>
            <w:r w:rsidRPr="00B839FB">
              <w:rPr>
                <w:rStyle w:val="K-TextChar"/>
                <w:rFonts w:asciiTheme="minorHAnsi" w:eastAsiaTheme="minorEastAsia" w:hAnsiTheme="minorHAnsi" w:cstheme="minorBidi"/>
                <w:bCs/>
                <w:color w:val="auto"/>
                <w:sz w:val="20"/>
                <w:szCs w:val="20"/>
              </w:rPr>
              <w:t>5 000 </w:t>
            </w:r>
            <w:r w:rsidR="00B839FB" w:rsidRPr="00B839FB">
              <w:rPr>
                <w:rStyle w:val="K-TextChar"/>
                <w:rFonts w:asciiTheme="minorHAnsi" w:eastAsiaTheme="minorEastAsia" w:hAnsiTheme="minorHAnsi" w:cstheme="minorBidi"/>
                <w:bCs/>
                <w:color w:val="auto"/>
                <w:sz w:val="20"/>
                <w:szCs w:val="20"/>
              </w:rPr>
              <w:t>mil. Kč (plně zahrnuto do RRF)</w:t>
            </w:r>
            <w:r w:rsidRPr="00B839FB">
              <w:br/>
            </w:r>
          </w:p>
        </w:tc>
      </w:tr>
    </w:tbl>
    <w:p w14:paraId="412BD804" w14:textId="78785759" w:rsidR="005307DD" w:rsidRPr="00992741" w:rsidRDefault="2DB997A7" w:rsidP="6C54F3A7">
      <w:pPr>
        <w:pStyle w:val="Default"/>
        <w:spacing w:after="120"/>
        <w:jc w:val="both"/>
        <w:rPr>
          <w:rStyle w:val="K-TextChar"/>
          <w:rFonts w:asciiTheme="minorHAnsi" w:eastAsiaTheme="minorEastAsia" w:hAnsiTheme="minorHAnsi" w:cstheme="minorBidi"/>
          <w:b/>
          <w:bCs/>
          <w:color w:val="auto"/>
          <w:sz w:val="20"/>
          <w:szCs w:val="20"/>
        </w:rPr>
      </w:pPr>
      <w:r w:rsidRPr="6C54F3A7">
        <w:rPr>
          <w:rStyle w:val="K-TextChar"/>
          <w:rFonts w:asciiTheme="minorHAnsi" w:eastAsiaTheme="minorEastAsia" w:hAnsiTheme="minorHAnsi" w:cstheme="minorBidi"/>
          <w:b/>
          <w:bCs/>
          <w:color w:val="auto"/>
          <w:sz w:val="20"/>
          <w:szCs w:val="20"/>
        </w:rPr>
        <w:lastRenderedPageBreak/>
        <w:t xml:space="preserve"> </w:t>
      </w:r>
    </w:p>
    <w:p w14:paraId="6C11699D" w14:textId="2611B01B" w:rsidR="009350FB" w:rsidRPr="00992741" w:rsidRDefault="413064BE" w:rsidP="6C54F3A7">
      <w:pPr>
        <w:pStyle w:val="Default"/>
        <w:spacing w:after="120"/>
        <w:jc w:val="both"/>
        <w:rPr>
          <w:rStyle w:val="K-TextInfoChar"/>
          <w:rFonts w:asciiTheme="minorHAnsi" w:eastAsiaTheme="minorEastAsia" w:hAnsiTheme="minorHAnsi" w:cstheme="minorBidi"/>
          <w:i w:val="0"/>
          <w:iCs w:val="0"/>
          <w:color w:val="auto"/>
          <w:sz w:val="20"/>
          <w:szCs w:val="20"/>
        </w:rPr>
      </w:pPr>
      <w:r w:rsidRPr="6C54F3A7">
        <w:rPr>
          <w:rStyle w:val="K-TextInfoChar"/>
          <w:rFonts w:asciiTheme="minorHAnsi" w:eastAsiaTheme="minorEastAsia" w:hAnsiTheme="minorHAnsi" w:cstheme="minorBidi"/>
          <w:i w:val="0"/>
          <w:iCs w:val="0"/>
          <w:color w:val="auto"/>
          <w:sz w:val="20"/>
          <w:szCs w:val="20"/>
        </w:rPr>
        <w:t xml:space="preserve">Náklady </w:t>
      </w:r>
      <w:r w:rsidR="493FFFF7" w:rsidRPr="6C54F3A7">
        <w:rPr>
          <w:rStyle w:val="K-TextInfoChar"/>
          <w:rFonts w:asciiTheme="minorHAnsi" w:eastAsiaTheme="minorEastAsia" w:hAnsiTheme="minorHAnsi" w:cstheme="minorBidi"/>
          <w:i w:val="0"/>
          <w:iCs w:val="0"/>
          <w:color w:val="auto"/>
          <w:sz w:val="20"/>
          <w:szCs w:val="20"/>
        </w:rPr>
        <w:t xml:space="preserve">na celou komponentu </w:t>
      </w:r>
      <w:r w:rsidRPr="6C54F3A7">
        <w:rPr>
          <w:rStyle w:val="K-TextInfoChar"/>
          <w:rFonts w:asciiTheme="minorHAnsi" w:eastAsiaTheme="minorEastAsia" w:hAnsiTheme="minorHAnsi" w:cstheme="minorBidi"/>
          <w:i w:val="0"/>
          <w:iCs w:val="0"/>
          <w:color w:val="auto"/>
          <w:sz w:val="20"/>
          <w:szCs w:val="20"/>
        </w:rPr>
        <w:t>se odhadují v celkové výši 5</w:t>
      </w:r>
      <w:r w:rsidR="6EDF4BC5" w:rsidRPr="6C54F3A7">
        <w:rPr>
          <w:rStyle w:val="K-TextInfoChar"/>
          <w:rFonts w:asciiTheme="minorHAnsi" w:eastAsiaTheme="minorEastAsia" w:hAnsiTheme="minorHAnsi" w:cstheme="minorBidi"/>
          <w:i w:val="0"/>
          <w:iCs w:val="0"/>
          <w:color w:val="auto"/>
          <w:sz w:val="20"/>
          <w:szCs w:val="20"/>
        </w:rPr>
        <w:t xml:space="preserve"> 000 </w:t>
      </w:r>
      <w:r w:rsidRPr="6C54F3A7">
        <w:rPr>
          <w:rStyle w:val="K-TextInfoChar"/>
          <w:rFonts w:asciiTheme="minorHAnsi" w:eastAsiaTheme="minorEastAsia" w:hAnsiTheme="minorHAnsi" w:cstheme="minorBidi"/>
          <w:i w:val="0"/>
          <w:iCs w:val="0"/>
          <w:color w:val="auto"/>
          <w:sz w:val="20"/>
          <w:szCs w:val="20"/>
        </w:rPr>
        <w:t>m</w:t>
      </w:r>
      <w:r w:rsidR="6EDF4BC5" w:rsidRPr="6C54F3A7">
        <w:rPr>
          <w:rStyle w:val="K-TextInfoChar"/>
          <w:rFonts w:asciiTheme="minorHAnsi" w:eastAsiaTheme="minorEastAsia" w:hAnsiTheme="minorHAnsi" w:cstheme="minorBidi"/>
          <w:i w:val="0"/>
          <w:iCs w:val="0"/>
          <w:color w:val="auto"/>
          <w:sz w:val="20"/>
          <w:szCs w:val="20"/>
        </w:rPr>
        <w:t>i</w:t>
      </w:r>
      <w:r w:rsidR="753AE0EF" w:rsidRPr="6C54F3A7">
        <w:rPr>
          <w:rStyle w:val="K-TextInfoChar"/>
          <w:rFonts w:asciiTheme="minorHAnsi" w:eastAsiaTheme="minorEastAsia" w:hAnsiTheme="minorHAnsi" w:cstheme="minorBidi"/>
          <w:i w:val="0"/>
          <w:iCs w:val="0"/>
          <w:color w:val="auto"/>
          <w:sz w:val="20"/>
          <w:szCs w:val="20"/>
        </w:rPr>
        <w:t>l</w:t>
      </w:r>
      <w:r w:rsidR="6EDF4BC5" w:rsidRPr="6C54F3A7">
        <w:rPr>
          <w:rStyle w:val="K-TextInfoChar"/>
          <w:rFonts w:asciiTheme="minorHAnsi" w:eastAsiaTheme="minorEastAsia" w:hAnsiTheme="minorHAnsi" w:cstheme="minorBidi"/>
          <w:i w:val="0"/>
          <w:iCs w:val="0"/>
          <w:color w:val="auto"/>
          <w:sz w:val="20"/>
          <w:szCs w:val="20"/>
        </w:rPr>
        <w:t xml:space="preserve"> </w:t>
      </w:r>
      <w:r w:rsidR="567210E2" w:rsidRPr="6C54F3A7">
        <w:rPr>
          <w:rStyle w:val="K-TextInfoChar"/>
          <w:rFonts w:asciiTheme="minorHAnsi" w:eastAsiaTheme="minorEastAsia" w:hAnsiTheme="minorHAnsi" w:cstheme="minorBidi"/>
          <w:i w:val="0"/>
          <w:iCs w:val="0"/>
          <w:color w:val="auto"/>
          <w:sz w:val="20"/>
          <w:szCs w:val="20"/>
        </w:rPr>
        <w:t>Kč</w:t>
      </w:r>
      <w:r w:rsidR="6EDF4BC5" w:rsidRPr="6C54F3A7">
        <w:rPr>
          <w:rStyle w:val="K-TextInfoChar"/>
          <w:rFonts w:asciiTheme="minorHAnsi" w:eastAsiaTheme="minorEastAsia" w:hAnsiTheme="minorHAnsi" w:cstheme="minorBidi"/>
          <w:i w:val="0"/>
          <w:iCs w:val="0"/>
          <w:color w:val="auto"/>
          <w:sz w:val="20"/>
          <w:szCs w:val="20"/>
        </w:rPr>
        <w:t xml:space="preserve">; </w:t>
      </w:r>
      <w:r w:rsidRPr="6C54F3A7">
        <w:rPr>
          <w:rStyle w:val="K-TextInfoChar"/>
          <w:rFonts w:asciiTheme="minorHAnsi" w:eastAsiaTheme="minorEastAsia" w:hAnsiTheme="minorHAnsi" w:cstheme="minorBidi"/>
          <w:i w:val="0"/>
          <w:iCs w:val="0"/>
          <w:color w:val="auto"/>
          <w:sz w:val="20"/>
          <w:szCs w:val="20"/>
        </w:rPr>
        <w:t xml:space="preserve">z toho </w:t>
      </w:r>
      <w:r w:rsidR="6EDF4BC5" w:rsidRPr="6C54F3A7">
        <w:rPr>
          <w:rStyle w:val="K-TextInfoChar"/>
          <w:rFonts w:asciiTheme="minorHAnsi" w:eastAsiaTheme="minorEastAsia" w:hAnsiTheme="minorHAnsi" w:cstheme="minorBidi"/>
          <w:i w:val="0"/>
          <w:iCs w:val="0"/>
          <w:color w:val="auto"/>
          <w:sz w:val="20"/>
          <w:szCs w:val="20"/>
        </w:rPr>
        <w:t xml:space="preserve">se plánuje </w:t>
      </w:r>
      <w:r w:rsidRPr="6C54F3A7">
        <w:rPr>
          <w:rStyle w:val="K-TextInfoChar"/>
          <w:rFonts w:asciiTheme="minorHAnsi" w:eastAsiaTheme="minorEastAsia" w:hAnsiTheme="minorHAnsi" w:cstheme="minorBidi"/>
          <w:i w:val="0"/>
          <w:iCs w:val="0"/>
          <w:color w:val="auto"/>
          <w:sz w:val="20"/>
          <w:szCs w:val="20"/>
        </w:rPr>
        <w:t>v</w:t>
      </w:r>
      <w:r w:rsidR="6EDF4BC5" w:rsidRPr="6C54F3A7">
        <w:rPr>
          <w:rStyle w:val="K-TextInfoChar"/>
          <w:rFonts w:asciiTheme="minorHAnsi" w:eastAsiaTheme="minorEastAsia" w:hAnsiTheme="minorHAnsi" w:cstheme="minorBidi"/>
          <w:i w:val="0"/>
          <w:iCs w:val="0"/>
          <w:color w:val="auto"/>
          <w:sz w:val="20"/>
          <w:szCs w:val="20"/>
        </w:rPr>
        <w:t xml:space="preserve"> roce 2022 vyčerpat </w:t>
      </w:r>
      <w:r w:rsidRPr="6C54F3A7">
        <w:rPr>
          <w:rStyle w:val="K-TextInfoChar"/>
          <w:rFonts w:asciiTheme="minorHAnsi" w:eastAsiaTheme="minorEastAsia" w:hAnsiTheme="minorHAnsi" w:cstheme="minorBidi"/>
          <w:i w:val="0"/>
          <w:iCs w:val="0"/>
          <w:color w:val="auto"/>
          <w:sz w:val="20"/>
          <w:szCs w:val="20"/>
        </w:rPr>
        <w:t>1</w:t>
      </w:r>
      <w:r w:rsidR="6EDF4BC5" w:rsidRPr="6C54F3A7">
        <w:rPr>
          <w:rStyle w:val="K-TextInfoChar"/>
          <w:rFonts w:asciiTheme="minorHAnsi" w:eastAsiaTheme="minorEastAsia" w:hAnsiTheme="minorHAnsi" w:cstheme="minorBidi"/>
          <w:i w:val="0"/>
          <w:iCs w:val="0"/>
          <w:color w:val="auto"/>
          <w:sz w:val="20"/>
          <w:szCs w:val="20"/>
        </w:rPr>
        <w:t xml:space="preserve"> 000 </w:t>
      </w:r>
      <w:r w:rsidRPr="6C54F3A7">
        <w:rPr>
          <w:rStyle w:val="K-TextInfoChar"/>
          <w:rFonts w:asciiTheme="minorHAnsi" w:eastAsiaTheme="minorEastAsia" w:hAnsiTheme="minorHAnsi" w:cstheme="minorBidi"/>
          <w:i w:val="0"/>
          <w:iCs w:val="0"/>
          <w:color w:val="auto"/>
          <w:sz w:val="20"/>
          <w:szCs w:val="20"/>
        </w:rPr>
        <w:t>m</w:t>
      </w:r>
      <w:r w:rsidR="6EDF4BC5" w:rsidRPr="6C54F3A7">
        <w:rPr>
          <w:rStyle w:val="K-TextInfoChar"/>
          <w:rFonts w:asciiTheme="minorHAnsi" w:eastAsiaTheme="minorEastAsia" w:hAnsiTheme="minorHAnsi" w:cstheme="minorBidi"/>
          <w:i w:val="0"/>
          <w:iCs w:val="0"/>
          <w:color w:val="auto"/>
          <w:sz w:val="20"/>
          <w:szCs w:val="20"/>
        </w:rPr>
        <w:t>i</w:t>
      </w:r>
      <w:r w:rsidR="753AE0EF" w:rsidRPr="6C54F3A7">
        <w:rPr>
          <w:rStyle w:val="K-TextInfoChar"/>
          <w:rFonts w:asciiTheme="minorHAnsi" w:eastAsiaTheme="minorEastAsia" w:hAnsiTheme="minorHAnsi" w:cstheme="minorBidi"/>
          <w:i w:val="0"/>
          <w:iCs w:val="0"/>
          <w:color w:val="auto"/>
          <w:sz w:val="20"/>
          <w:szCs w:val="20"/>
        </w:rPr>
        <w:t>l</w:t>
      </w:r>
      <w:r w:rsidR="6EDF4BC5" w:rsidRPr="6C54F3A7">
        <w:rPr>
          <w:rStyle w:val="K-TextInfoChar"/>
          <w:rFonts w:asciiTheme="minorHAnsi" w:eastAsiaTheme="minorEastAsia" w:hAnsiTheme="minorHAnsi" w:cstheme="minorBidi"/>
          <w:i w:val="0"/>
          <w:iCs w:val="0"/>
          <w:color w:val="auto"/>
          <w:sz w:val="20"/>
          <w:szCs w:val="20"/>
        </w:rPr>
        <w:t xml:space="preserve"> </w:t>
      </w:r>
      <w:r w:rsidR="567210E2" w:rsidRPr="6C54F3A7">
        <w:rPr>
          <w:rStyle w:val="K-TextInfoChar"/>
          <w:rFonts w:asciiTheme="minorHAnsi" w:eastAsiaTheme="minorEastAsia" w:hAnsiTheme="minorHAnsi" w:cstheme="minorBidi"/>
          <w:i w:val="0"/>
          <w:iCs w:val="0"/>
          <w:color w:val="auto"/>
          <w:sz w:val="20"/>
          <w:szCs w:val="20"/>
        </w:rPr>
        <w:t>Kč</w:t>
      </w:r>
      <w:r w:rsidRPr="6C54F3A7">
        <w:rPr>
          <w:rStyle w:val="K-TextInfoChar"/>
          <w:rFonts w:asciiTheme="minorHAnsi" w:eastAsiaTheme="minorEastAsia" w:hAnsiTheme="minorHAnsi" w:cstheme="minorBidi"/>
          <w:i w:val="0"/>
          <w:iCs w:val="0"/>
          <w:color w:val="auto"/>
          <w:sz w:val="20"/>
          <w:szCs w:val="20"/>
        </w:rPr>
        <w:t xml:space="preserve">. </w:t>
      </w:r>
      <w:r w:rsidR="753AE0EF" w:rsidRPr="6C54F3A7">
        <w:rPr>
          <w:rStyle w:val="K-TextInfoChar"/>
          <w:rFonts w:asciiTheme="minorHAnsi" w:eastAsiaTheme="minorEastAsia" w:hAnsiTheme="minorHAnsi" w:cstheme="minorBidi"/>
          <w:i w:val="0"/>
          <w:iCs w:val="0"/>
          <w:color w:val="auto"/>
          <w:sz w:val="20"/>
          <w:szCs w:val="20"/>
        </w:rPr>
        <w:t>V</w:t>
      </w:r>
      <w:r w:rsidRPr="6C54F3A7">
        <w:rPr>
          <w:rStyle w:val="K-TextInfoChar"/>
          <w:rFonts w:asciiTheme="minorHAnsi" w:eastAsiaTheme="minorEastAsia" w:hAnsiTheme="minorHAnsi" w:cstheme="minorBidi"/>
          <w:i w:val="0"/>
          <w:iCs w:val="0"/>
          <w:color w:val="auto"/>
          <w:sz w:val="20"/>
          <w:szCs w:val="20"/>
        </w:rPr>
        <w:t> roce 202</w:t>
      </w:r>
      <w:r w:rsidR="6EDF4BC5" w:rsidRPr="6C54F3A7">
        <w:rPr>
          <w:rStyle w:val="K-TextInfoChar"/>
          <w:rFonts w:asciiTheme="minorHAnsi" w:eastAsiaTheme="minorEastAsia" w:hAnsiTheme="minorHAnsi" w:cstheme="minorBidi"/>
          <w:i w:val="0"/>
          <w:iCs w:val="0"/>
          <w:color w:val="auto"/>
          <w:sz w:val="20"/>
          <w:szCs w:val="20"/>
        </w:rPr>
        <w:t>3</w:t>
      </w:r>
      <w:r w:rsidRPr="6C54F3A7">
        <w:rPr>
          <w:rStyle w:val="K-TextInfoChar"/>
          <w:rFonts w:asciiTheme="minorHAnsi" w:eastAsiaTheme="minorEastAsia" w:hAnsiTheme="minorHAnsi" w:cstheme="minorBidi"/>
          <w:i w:val="0"/>
          <w:iCs w:val="0"/>
          <w:color w:val="auto"/>
          <w:sz w:val="20"/>
          <w:szCs w:val="20"/>
        </w:rPr>
        <w:t xml:space="preserve"> </w:t>
      </w:r>
      <w:r w:rsidR="6EDF4BC5" w:rsidRPr="6C54F3A7">
        <w:rPr>
          <w:rStyle w:val="K-TextInfoChar"/>
          <w:rFonts w:asciiTheme="minorHAnsi" w:eastAsiaTheme="minorEastAsia" w:hAnsiTheme="minorHAnsi" w:cstheme="minorBidi"/>
          <w:i w:val="0"/>
          <w:iCs w:val="0"/>
          <w:color w:val="auto"/>
          <w:sz w:val="20"/>
          <w:szCs w:val="20"/>
        </w:rPr>
        <w:t xml:space="preserve">se plánuje vyčerpat </w:t>
      </w:r>
      <w:r w:rsidRPr="6C54F3A7">
        <w:rPr>
          <w:rStyle w:val="K-TextInfoChar"/>
          <w:rFonts w:asciiTheme="minorHAnsi" w:eastAsiaTheme="minorEastAsia" w:hAnsiTheme="minorHAnsi" w:cstheme="minorBidi"/>
          <w:i w:val="0"/>
          <w:iCs w:val="0"/>
          <w:color w:val="auto"/>
          <w:sz w:val="20"/>
          <w:szCs w:val="20"/>
        </w:rPr>
        <w:t>1</w:t>
      </w:r>
      <w:r w:rsidR="753AE0EF" w:rsidRPr="6C54F3A7">
        <w:rPr>
          <w:rStyle w:val="K-TextInfoChar"/>
          <w:rFonts w:asciiTheme="minorHAnsi" w:eastAsiaTheme="minorEastAsia" w:hAnsiTheme="minorHAnsi" w:cstheme="minorBidi"/>
          <w:i w:val="0"/>
          <w:iCs w:val="0"/>
          <w:color w:val="auto"/>
          <w:sz w:val="20"/>
          <w:szCs w:val="20"/>
        </w:rPr>
        <w:t xml:space="preserve"> </w:t>
      </w:r>
      <w:r w:rsidRPr="6C54F3A7">
        <w:rPr>
          <w:rStyle w:val="K-TextInfoChar"/>
          <w:rFonts w:asciiTheme="minorHAnsi" w:eastAsiaTheme="minorEastAsia" w:hAnsiTheme="minorHAnsi" w:cstheme="minorBidi"/>
          <w:i w:val="0"/>
          <w:iCs w:val="0"/>
          <w:color w:val="auto"/>
          <w:sz w:val="20"/>
          <w:szCs w:val="20"/>
        </w:rPr>
        <w:t>25</w:t>
      </w:r>
      <w:r w:rsidR="6EDF4BC5" w:rsidRPr="6C54F3A7">
        <w:rPr>
          <w:rStyle w:val="K-TextInfoChar"/>
          <w:rFonts w:asciiTheme="minorHAnsi" w:eastAsiaTheme="minorEastAsia" w:hAnsiTheme="minorHAnsi" w:cstheme="minorBidi"/>
          <w:i w:val="0"/>
          <w:iCs w:val="0"/>
          <w:color w:val="auto"/>
          <w:sz w:val="20"/>
          <w:szCs w:val="20"/>
        </w:rPr>
        <w:t>0</w:t>
      </w:r>
      <w:r w:rsidRPr="6C54F3A7">
        <w:rPr>
          <w:rStyle w:val="K-TextInfoChar"/>
          <w:rFonts w:asciiTheme="minorHAnsi" w:eastAsiaTheme="minorEastAsia" w:hAnsiTheme="minorHAnsi" w:cstheme="minorBidi"/>
          <w:i w:val="0"/>
          <w:iCs w:val="0"/>
          <w:color w:val="auto"/>
          <w:sz w:val="20"/>
          <w:szCs w:val="20"/>
        </w:rPr>
        <w:t xml:space="preserve"> m</w:t>
      </w:r>
      <w:r w:rsidR="6EDF4BC5" w:rsidRPr="6C54F3A7">
        <w:rPr>
          <w:rStyle w:val="K-TextInfoChar"/>
          <w:rFonts w:asciiTheme="minorHAnsi" w:eastAsiaTheme="minorEastAsia" w:hAnsiTheme="minorHAnsi" w:cstheme="minorBidi"/>
          <w:i w:val="0"/>
          <w:iCs w:val="0"/>
          <w:color w:val="auto"/>
          <w:sz w:val="20"/>
          <w:szCs w:val="20"/>
        </w:rPr>
        <w:t>i</w:t>
      </w:r>
      <w:r w:rsidR="753AE0EF" w:rsidRPr="6C54F3A7">
        <w:rPr>
          <w:rStyle w:val="K-TextInfoChar"/>
          <w:rFonts w:asciiTheme="minorHAnsi" w:eastAsiaTheme="minorEastAsia" w:hAnsiTheme="minorHAnsi" w:cstheme="minorBidi"/>
          <w:i w:val="0"/>
          <w:iCs w:val="0"/>
          <w:color w:val="auto"/>
          <w:sz w:val="20"/>
          <w:szCs w:val="20"/>
        </w:rPr>
        <w:t>l</w:t>
      </w:r>
      <w:r w:rsidR="6EDF4BC5" w:rsidRPr="6C54F3A7">
        <w:rPr>
          <w:rStyle w:val="K-TextInfoChar"/>
          <w:rFonts w:asciiTheme="minorHAnsi" w:eastAsiaTheme="minorEastAsia" w:hAnsiTheme="minorHAnsi" w:cstheme="minorBidi"/>
          <w:i w:val="0"/>
          <w:iCs w:val="0"/>
          <w:color w:val="auto"/>
          <w:sz w:val="20"/>
          <w:szCs w:val="20"/>
        </w:rPr>
        <w:t xml:space="preserve"> </w:t>
      </w:r>
      <w:r w:rsidR="567210E2" w:rsidRPr="6C54F3A7">
        <w:rPr>
          <w:rStyle w:val="K-TextInfoChar"/>
          <w:rFonts w:asciiTheme="minorHAnsi" w:eastAsiaTheme="minorEastAsia" w:hAnsiTheme="minorHAnsi" w:cstheme="minorBidi"/>
          <w:i w:val="0"/>
          <w:iCs w:val="0"/>
          <w:color w:val="auto"/>
          <w:sz w:val="20"/>
          <w:szCs w:val="20"/>
        </w:rPr>
        <w:t>Kč</w:t>
      </w:r>
      <w:r w:rsidR="6EDF4BC5" w:rsidRPr="6C54F3A7">
        <w:rPr>
          <w:rStyle w:val="K-TextInfoChar"/>
          <w:rFonts w:asciiTheme="minorHAnsi" w:eastAsiaTheme="minorEastAsia" w:hAnsiTheme="minorHAnsi" w:cstheme="minorBidi"/>
          <w:i w:val="0"/>
          <w:iCs w:val="0"/>
          <w:color w:val="auto"/>
          <w:sz w:val="20"/>
          <w:szCs w:val="20"/>
        </w:rPr>
        <w:t>, v roce 2024 se plánuje čerpat 1 000 mi</w:t>
      </w:r>
      <w:r w:rsidR="753AE0EF" w:rsidRPr="6C54F3A7">
        <w:rPr>
          <w:rStyle w:val="K-TextInfoChar"/>
          <w:rFonts w:asciiTheme="minorHAnsi" w:eastAsiaTheme="minorEastAsia" w:hAnsiTheme="minorHAnsi" w:cstheme="minorBidi"/>
          <w:i w:val="0"/>
          <w:iCs w:val="0"/>
          <w:color w:val="auto"/>
          <w:sz w:val="20"/>
          <w:szCs w:val="20"/>
        </w:rPr>
        <w:t>l</w:t>
      </w:r>
      <w:r w:rsidR="6EDF4BC5" w:rsidRPr="6C54F3A7">
        <w:rPr>
          <w:rStyle w:val="K-TextInfoChar"/>
          <w:rFonts w:asciiTheme="minorHAnsi" w:eastAsiaTheme="minorEastAsia" w:hAnsiTheme="minorHAnsi" w:cstheme="minorBidi"/>
          <w:i w:val="0"/>
          <w:iCs w:val="0"/>
          <w:color w:val="auto"/>
          <w:sz w:val="20"/>
          <w:szCs w:val="20"/>
        </w:rPr>
        <w:t xml:space="preserve"> </w:t>
      </w:r>
      <w:r w:rsidR="567210E2" w:rsidRPr="6C54F3A7">
        <w:rPr>
          <w:rStyle w:val="K-TextInfoChar"/>
          <w:rFonts w:asciiTheme="minorHAnsi" w:eastAsiaTheme="minorEastAsia" w:hAnsiTheme="minorHAnsi" w:cstheme="minorBidi"/>
          <w:i w:val="0"/>
          <w:iCs w:val="0"/>
          <w:color w:val="auto"/>
          <w:sz w:val="20"/>
          <w:szCs w:val="20"/>
        </w:rPr>
        <w:t>Kč</w:t>
      </w:r>
      <w:r w:rsidR="6EDF4BC5" w:rsidRPr="6C54F3A7">
        <w:rPr>
          <w:rStyle w:val="K-TextInfoChar"/>
          <w:rFonts w:asciiTheme="minorHAnsi" w:eastAsiaTheme="minorEastAsia" w:hAnsiTheme="minorHAnsi" w:cstheme="minorBidi"/>
          <w:i w:val="0"/>
          <w:iCs w:val="0"/>
          <w:color w:val="auto"/>
          <w:sz w:val="20"/>
          <w:szCs w:val="20"/>
        </w:rPr>
        <w:t>, v roce 2025, 900 mi</w:t>
      </w:r>
      <w:r w:rsidR="753AE0EF" w:rsidRPr="6C54F3A7">
        <w:rPr>
          <w:rStyle w:val="K-TextInfoChar"/>
          <w:rFonts w:asciiTheme="minorHAnsi" w:eastAsiaTheme="minorEastAsia" w:hAnsiTheme="minorHAnsi" w:cstheme="minorBidi"/>
          <w:i w:val="0"/>
          <w:iCs w:val="0"/>
          <w:color w:val="auto"/>
          <w:sz w:val="20"/>
          <w:szCs w:val="20"/>
        </w:rPr>
        <w:t>l</w:t>
      </w:r>
      <w:r w:rsidR="6EDF4BC5" w:rsidRPr="6C54F3A7">
        <w:rPr>
          <w:rStyle w:val="K-TextInfoChar"/>
          <w:rFonts w:asciiTheme="minorHAnsi" w:eastAsiaTheme="minorEastAsia" w:hAnsiTheme="minorHAnsi" w:cstheme="minorBidi"/>
          <w:i w:val="0"/>
          <w:iCs w:val="0"/>
          <w:color w:val="auto"/>
          <w:sz w:val="20"/>
          <w:szCs w:val="20"/>
        </w:rPr>
        <w:t xml:space="preserve"> </w:t>
      </w:r>
      <w:r w:rsidR="567210E2" w:rsidRPr="6C54F3A7">
        <w:rPr>
          <w:rStyle w:val="K-TextInfoChar"/>
          <w:rFonts w:asciiTheme="minorHAnsi" w:eastAsiaTheme="minorEastAsia" w:hAnsiTheme="minorHAnsi" w:cstheme="minorBidi"/>
          <w:i w:val="0"/>
          <w:iCs w:val="0"/>
          <w:color w:val="auto"/>
          <w:sz w:val="20"/>
          <w:szCs w:val="20"/>
        </w:rPr>
        <w:t>Kč</w:t>
      </w:r>
      <w:r w:rsidR="6EDF4BC5" w:rsidRPr="6C54F3A7">
        <w:rPr>
          <w:rStyle w:val="K-TextInfoChar"/>
          <w:rFonts w:asciiTheme="minorHAnsi" w:eastAsiaTheme="minorEastAsia" w:hAnsiTheme="minorHAnsi" w:cstheme="minorBidi"/>
          <w:i w:val="0"/>
          <w:iCs w:val="0"/>
          <w:color w:val="auto"/>
          <w:sz w:val="20"/>
          <w:szCs w:val="20"/>
        </w:rPr>
        <w:t xml:space="preserve"> </w:t>
      </w:r>
      <w:r w:rsidR="11C4B70F" w:rsidRPr="6C54F3A7">
        <w:rPr>
          <w:rStyle w:val="K-TextInfoChar"/>
          <w:rFonts w:asciiTheme="minorHAnsi" w:eastAsiaTheme="minorEastAsia" w:hAnsiTheme="minorHAnsi" w:cstheme="minorBidi"/>
          <w:i w:val="0"/>
          <w:iCs w:val="0"/>
          <w:color w:val="auto"/>
          <w:sz w:val="20"/>
          <w:szCs w:val="20"/>
        </w:rPr>
        <w:t>a </w:t>
      </w:r>
      <w:r w:rsidR="6EDF4BC5" w:rsidRPr="6C54F3A7">
        <w:rPr>
          <w:rStyle w:val="K-TextInfoChar"/>
          <w:rFonts w:asciiTheme="minorHAnsi" w:eastAsiaTheme="minorEastAsia" w:hAnsiTheme="minorHAnsi" w:cstheme="minorBidi"/>
          <w:i w:val="0"/>
          <w:iCs w:val="0"/>
          <w:color w:val="auto"/>
          <w:sz w:val="20"/>
          <w:szCs w:val="20"/>
        </w:rPr>
        <w:t>v posledním roce realizace, kdy se již neočekávají téměř žádné investice, se plánuje vyčerpat zbývajících 750 mi</w:t>
      </w:r>
      <w:r w:rsidR="753AE0EF" w:rsidRPr="6C54F3A7">
        <w:rPr>
          <w:rStyle w:val="K-TextInfoChar"/>
          <w:rFonts w:asciiTheme="minorHAnsi" w:eastAsiaTheme="minorEastAsia" w:hAnsiTheme="minorHAnsi" w:cstheme="minorBidi"/>
          <w:i w:val="0"/>
          <w:iCs w:val="0"/>
          <w:color w:val="auto"/>
          <w:sz w:val="20"/>
          <w:szCs w:val="20"/>
        </w:rPr>
        <w:t>l</w:t>
      </w:r>
      <w:r w:rsidR="6EDF4BC5" w:rsidRPr="6C54F3A7">
        <w:rPr>
          <w:rStyle w:val="K-TextInfoChar"/>
          <w:rFonts w:asciiTheme="minorHAnsi" w:eastAsiaTheme="minorEastAsia" w:hAnsiTheme="minorHAnsi" w:cstheme="minorBidi"/>
          <w:i w:val="0"/>
          <w:iCs w:val="0"/>
          <w:color w:val="auto"/>
          <w:sz w:val="20"/>
          <w:szCs w:val="20"/>
        </w:rPr>
        <w:t xml:space="preserve"> </w:t>
      </w:r>
      <w:r w:rsidR="567210E2" w:rsidRPr="6C54F3A7">
        <w:rPr>
          <w:rStyle w:val="K-TextInfoChar"/>
          <w:rFonts w:asciiTheme="minorHAnsi" w:eastAsiaTheme="minorEastAsia" w:hAnsiTheme="minorHAnsi" w:cstheme="minorBidi"/>
          <w:i w:val="0"/>
          <w:iCs w:val="0"/>
          <w:color w:val="auto"/>
          <w:sz w:val="20"/>
          <w:szCs w:val="20"/>
        </w:rPr>
        <w:t>Kč</w:t>
      </w:r>
      <w:r w:rsidR="6EDF4BC5" w:rsidRPr="6C54F3A7">
        <w:rPr>
          <w:rStyle w:val="K-TextInfoChar"/>
          <w:rFonts w:asciiTheme="minorHAnsi" w:eastAsiaTheme="minorEastAsia" w:hAnsiTheme="minorHAnsi" w:cstheme="minorBidi"/>
          <w:i w:val="0"/>
          <w:iCs w:val="0"/>
          <w:color w:val="auto"/>
          <w:sz w:val="20"/>
          <w:szCs w:val="20"/>
        </w:rPr>
        <w:t>.</w:t>
      </w:r>
      <w:r w:rsidRPr="6C54F3A7">
        <w:rPr>
          <w:rStyle w:val="K-TextInfoChar"/>
          <w:rFonts w:asciiTheme="minorHAnsi" w:eastAsiaTheme="minorEastAsia" w:hAnsiTheme="minorHAnsi" w:cstheme="minorBidi"/>
          <w:i w:val="0"/>
          <w:iCs w:val="0"/>
          <w:color w:val="auto"/>
          <w:sz w:val="20"/>
          <w:szCs w:val="20"/>
        </w:rPr>
        <w:t xml:space="preserve"> </w:t>
      </w:r>
    </w:p>
    <w:p w14:paraId="6E921BA3" w14:textId="687BA27D" w:rsidR="00DA7B3B" w:rsidRPr="00992741" w:rsidRDefault="11E1D3B4" w:rsidP="6C54F3A7">
      <w:pPr>
        <w:pStyle w:val="Default"/>
        <w:spacing w:after="120"/>
        <w:jc w:val="both"/>
        <w:rPr>
          <w:rStyle w:val="K-TextInfoChar"/>
          <w:rFonts w:asciiTheme="minorHAnsi" w:eastAsiaTheme="minorEastAsia" w:hAnsiTheme="minorHAnsi" w:cstheme="minorBidi"/>
          <w:i w:val="0"/>
          <w:iCs w:val="0"/>
          <w:color w:val="auto"/>
          <w:sz w:val="20"/>
          <w:szCs w:val="20"/>
        </w:rPr>
      </w:pPr>
      <w:r w:rsidRPr="6C54F3A7">
        <w:rPr>
          <w:rStyle w:val="K-TextInfoChar"/>
          <w:rFonts w:asciiTheme="minorHAnsi" w:eastAsiaTheme="minorEastAsia" w:hAnsiTheme="minorHAnsi" w:cstheme="minorBidi"/>
          <w:i w:val="0"/>
          <w:iCs w:val="0"/>
          <w:color w:val="auto"/>
          <w:sz w:val="20"/>
          <w:szCs w:val="20"/>
        </w:rPr>
        <w:t>Odhad výše nákladů vychází ze skutečných nákladů již realizovaných projektů Národních programů udržitelnosti I a II (NPU I a NPU II) a jich původní alokace</w:t>
      </w:r>
      <w:r w:rsidR="001F3CAF" w:rsidRPr="71E36747">
        <w:rPr>
          <w:rStyle w:val="Znakapoznpodarou"/>
          <w:rFonts w:asciiTheme="minorHAnsi" w:eastAsiaTheme="minorEastAsia" w:hAnsiTheme="minorHAnsi" w:cstheme="minorBidi"/>
          <w:color w:val="auto"/>
          <w:sz w:val="20"/>
          <w:szCs w:val="20"/>
        </w:rPr>
        <w:footnoteReference w:id="6"/>
      </w:r>
      <w:r w:rsidRPr="6C54F3A7">
        <w:rPr>
          <w:rStyle w:val="K-TextInfoChar"/>
          <w:rFonts w:asciiTheme="minorHAnsi" w:eastAsiaTheme="minorEastAsia" w:hAnsiTheme="minorHAnsi" w:cstheme="minorBidi"/>
          <w:i w:val="0"/>
          <w:iCs w:val="0"/>
          <w:color w:val="auto"/>
          <w:sz w:val="20"/>
          <w:szCs w:val="20"/>
        </w:rPr>
        <w:t xml:space="preserve">. </w:t>
      </w:r>
      <w:r w:rsidR="2EDB3B02" w:rsidRPr="6C54F3A7">
        <w:rPr>
          <w:rStyle w:val="K-TextInfoChar"/>
          <w:rFonts w:asciiTheme="minorHAnsi" w:eastAsiaTheme="minorEastAsia" w:hAnsiTheme="minorHAnsi" w:cstheme="minorBidi"/>
          <w:i w:val="0"/>
          <w:iCs w:val="0"/>
          <w:color w:val="auto"/>
          <w:sz w:val="20"/>
          <w:szCs w:val="20"/>
        </w:rPr>
        <w:t>Z</w:t>
      </w:r>
      <w:r w:rsidRPr="6C54F3A7">
        <w:rPr>
          <w:rStyle w:val="K-TextInfoChar"/>
          <w:rFonts w:asciiTheme="minorHAnsi" w:eastAsiaTheme="minorEastAsia" w:hAnsiTheme="minorHAnsi" w:cstheme="minorBidi"/>
          <w:i w:val="0"/>
          <w:iCs w:val="0"/>
          <w:color w:val="auto"/>
          <w:sz w:val="20"/>
          <w:szCs w:val="20"/>
        </w:rPr>
        <w:t xml:space="preserve">e státního rozpočtu </w:t>
      </w:r>
      <w:r w:rsidR="2EDB3B02" w:rsidRPr="6C54F3A7">
        <w:rPr>
          <w:rStyle w:val="K-TextInfoChar"/>
          <w:rFonts w:asciiTheme="minorHAnsi" w:eastAsiaTheme="minorEastAsia" w:hAnsiTheme="minorHAnsi" w:cstheme="minorBidi"/>
          <w:i w:val="0"/>
          <w:iCs w:val="0"/>
          <w:color w:val="auto"/>
          <w:sz w:val="20"/>
          <w:szCs w:val="20"/>
        </w:rPr>
        <w:t xml:space="preserve">bylo </w:t>
      </w:r>
      <w:r w:rsidRPr="6C54F3A7">
        <w:rPr>
          <w:rStyle w:val="K-TextInfoChar"/>
          <w:rFonts w:asciiTheme="minorHAnsi" w:eastAsiaTheme="minorEastAsia" w:hAnsiTheme="minorHAnsi" w:cstheme="minorBidi"/>
          <w:i w:val="0"/>
          <w:iCs w:val="0"/>
          <w:color w:val="auto"/>
          <w:sz w:val="20"/>
          <w:szCs w:val="20"/>
        </w:rPr>
        <w:t xml:space="preserve">v průměru čerpáno 114 mil. Kč na projekt, přičemž </w:t>
      </w:r>
      <w:r w:rsidR="2EDB3B02" w:rsidRPr="6C54F3A7">
        <w:rPr>
          <w:rStyle w:val="K-TextInfoChar"/>
          <w:rFonts w:asciiTheme="minorHAnsi" w:eastAsiaTheme="minorEastAsia" w:hAnsiTheme="minorHAnsi" w:cstheme="minorBidi"/>
          <w:i w:val="0"/>
          <w:iCs w:val="0"/>
          <w:color w:val="auto"/>
          <w:sz w:val="20"/>
          <w:szCs w:val="20"/>
        </w:rPr>
        <w:t xml:space="preserve">intenzita podpory v těchto projektech činila v průměru 55 % a </w:t>
      </w:r>
      <w:r w:rsidRPr="6C54F3A7">
        <w:rPr>
          <w:rStyle w:val="K-TextInfoChar"/>
          <w:rFonts w:asciiTheme="minorHAnsi" w:eastAsiaTheme="minorEastAsia" w:hAnsiTheme="minorHAnsi" w:cstheme="minorBidi"/>
          <w:i w:val="0"/>
          <w:iCs w:val="0"/>
          <w:color w:val="auto"/>
          <w:sz w:val="20"/>
          <w:szCs w:val="20"/>
        </w:rPr>
        <w:t>celkové uznané náklady na projekt činily v letech 2014-2020 v průměru 206 mil. Kč. Dalším východiskem pro uvedenou alokaci je skutečnost, že skutečné pětileté náklady projektu udržitelnosti konsorciálního, široce multidisciplinárního výzkumného centra</w:t>
      </w:r>
      <w:r w:rsidR="52BCE40F" w:rsidRPr="6C54F3A7">
        <w:rPr>
          <w:rStyle w:val="K-TextInfoChar"/>
          <w:rFonts w:asciiTheme="minorHAnsi" w:eastAsiaTheme="minorEastAsia" w:hAnsiTheme="minorHAnsi" w:cstheme="minorBidi"/>
          <w:i w:val="0"/>
          <w:iCs w:val="0"/>
          <w:color w:val="auto"/>
          <w:sz w:val="20"/>
          <w:szCs w:val="20"/>
        </w:rPr>
        <w:t xml:space="preserve"> CEITEC (LQ1601)</w:t>
      </w:r>
      <w:r w:rsidR="002E0D11" w:rsidRPr="71E36747">
        <w:rPr>
          <w:rStyle w:val="Znakapoznpodarou"/>
          <w:rFonts w:asciiTheme="minorHAnsi" w:eastAsiaTheme="minorEastAsia" w:hAnsiTheme="minorHAnsi" w:cstheme="minorBidi"/>
          <w:color w:val="auto"/>
          <w:sz w:val="20"/>
          <w:szCs w:val="20"/>
        </w:rPr>
        <w:footnoteReference w:id="7"/>
      </w:r>
      <w:r w:rsidR="2EDB3B02" w:rsidRPr="6C54F3A7">
        <w:rPr>
          <w:rStyle w:val="K-TextInfoChar"/>
          <w:rFonts w:asciiTheme="minorHAnsi" w:eastAsiaTheme="minorEastAsia" w:hAnsiTheme="minorHAnsi" w:cstheme="minorBidi"/>
          <w:i w:val="0"/>
          <w:iCs w:val="0"/>
          <w:color w:val="auto"/>
          <w:sz w:val="20"/>
          <w:szCs w:val="20"/>
        </w:rPr>
        <w:t>, které</w:t>
      </w:r>
      <w:r w:rsidRPr="6C54F3A7">
        <w:rPr>
          <w:rStyle w:val="K-TextInfoChar"/>
          <w:rFonts w:asciiTheme="minorHAnsi" w:eastAsiaTheme="minorEastAsia" w:hAnsiTheme="minorHAnsi" w:cstheme="minorBidi"/>
          <w:i w:val="0"/>
          <w:iCs w:val="0"/>
          <w:color w:val="auto"/>
          <w:sz w:val="20"/>
          <w:szCs w:val="20"/>
        </w:rPr>
        <w:t xml:space="preserve"> </w:t>
      </w:r>
      <w:r w:rsidR="2EDB3B02" w:rsidRPr="6C54F3A7">
        <w:rPr>
          <w:rStyle w:val="K-TextInfoChar"/>
          <w:rFonts w:asciiTheme="minorHAnsi" w:eastAsiaTheme="minorEastAsia" w:hAnsiTheme="minorHAnsi" w:cstheme="minorBidi"/>
          <w:i w:val="0"/>
          <w:iCs w:val="0"/>
          <w:color w:val="auto"/>
          <w:sz w:val="20"/>
          <w:szCs w:val="20"/>
        </w:rPr>
        <w:t xml:space="preserve">produkovalo </w:t>
      </w:r>
      <w:r w:rsidRPr="6C54F3A7">
        <w:rPr>
          <w:rStyle w:val="K-TextInfoChar"/>
          <w:rFonts w:asciiTheme="minorHAnsi" w:eastAsiaTheme="minorEastAsia" w:hAnsiTheme="minorHAnsi" w:cstheme="minorBidi"/>
          <w:i w:val="0"/>
          <w:iCs w:val="0"/>
          <w:color w:val="auto"/>
          <w:sz w:val="20"/>
          <w:szCs w:val="20"/>
        </w:rPr>
        <w:t>excelentních vědeck</w:t>
      </w:r>
      <w:r w:rsidR="2EDB3B02" w:rsidRPr="6C54F3A7">
        <w:rPr>
          <w:rStyle w:val="K-TextInfoChar"/>
          <w:rFonts w:asciiTheme="minorHAnsi" w:eastAsiaTheme="minorEastAsia" w:hAnsiTheme="minorHAnsi" w:cstheme="minorBidi"/>
          <w:i w:val="0"/>
          <w:iCs w:val="0"/>
          <w:color w:val="auto"/>
          <w:sz w:val="20"/>
          <w:szCs w:val="20"/>
        </w:rPr>
        <w:t>é</w:t>
      </w:r>
      <w:r w:rsidRPr="6C54F3A7">
        <w:rPr>
          <w:rStyle w:val="K-TextInfoChar"/>
          <w:rFonts w:asciiTheme="minorHAnsi" w:eastAsiaTheme="minorEastAsia" w:hAnsiTheme="minorHAnsi" w:cstheme="minorBidi"/>
          <w:i w:val="0"/>
          <w:iCs w:val="0"/>
          <w:color w:val="auto"/>
          <w:sz w:val="20"/>
          <w:szCs w:val="20"/>
        </w:rPr>
        <w:t xml:space="preserve"> výsledk</w:t>
      </w:r>
      <w:r w:rsidR="2EDB3B02" w:rsidRPr="6C54F3A7">
        <w:rPr>
          <w:rStyle w:val="K-TextInfoChar"/>
          <w:rFonts w:asciiTheme="minorHAnsi" w:eastAsiaTheme="minorEastAsia" w:hAnsiTheme="minorHAnsi" w:cstheme="minorBidi"/>
          <w:i w:val="0"/>
          <w:iCs w:val="0"/>
          <w:color w:val="auto"/>
          <w:sz w:val="20"/>
          <w:szCs w:val="20"/>
        </w:rPr>
        <w:t>y,</w:t>
      </w:r>
      <w:r w:rsidRPr="6C54F3A7">
        <w:rPr>
          <w:rStyle w:val="K-TextInfoChar"/>
          <w:rFonts w:asciiTheme="minorHAnsi" w:eastAsiaTheme="minorEastAsia" w:hAnsiTheme="minorHAnsi" w:cstheme="minorBidi"/>
          <w:i w:val="0"/>
          <w:iCs w:val="0"/>
          <w:color w:val="auto"/>
          <w:sz w:val="20"/>
          <w:szCs w:val="20"/>
        </w:rPr>
        <w:t xml:space="preserve"> které </w:t>
      </w:r>
      <w:r w:rsidR="2EDB3B02" w:rsidRPr="6C54F3A7">
        <w:rPr>
          <w:rStyle w:val="K-TextInfoChar"/>
          <w:rFonts w:asciiTheme="minorHAnsi" w:eastAsiaTheme="minorEastAsia" w:hAnsiTheme="minorHAnsi" w:cstheme="minorBidi"/>
          <w:i w:val="0"/>
          <w:iCs w:val="0"/>
          <w:color w:val="auto"/>
          <w:sz w:val="20"/>
          <w:szCs w:val="20"/>
        </w:rPr>
        <w:t xml:space="preserve">bylo schopné </w:t>
      </w:r>
      <w:r w:rsidRPr="6C54F3A7">
        <w:rPr>
          <w:rStyle w:val="K-TextInfoChar"/>
          <w:rFonts w:asciiTheme="minorHAnsi" w:eastAsiaTheme="minorEastAsia" w:hAnsiTheme="minorHAnsi" w:cstheme="minorBidi"/>
          <w:i w:val="0"/>
          <w:iCs w:val="0"/>
          <w:color w:val="auto"/>
          <w:sz w:val="20"/>
          <w:szCs w:val="20"/>
        </w:rPr>
        <w:t>se dobře etablova</w:t>
      </w:r>
      <w:r w:rsidR="2EDB3B02" w:rsidRPr="6C54F3A7">
        <w:rPr>
          <w:rStyle w:val="K-TextInfoChar"/>
          <w:rFonts w:asciiTheme="minorHAnsi" w:eastAsiaTheme="minorEastAsia" w:hAnsiTheme="minorHAnsi" w:cstheme="minorBidi"/>
          <w:i w:val="0"/>
          <w:iCs w:val="0"/>
          <w:color w:val="auto"/>
          <w:sz w:val="20"/>
          <w:szCs w:val="20"/>
        </w:rPr>
        <w:t>t</w:t>
      </w:r>
      <w:r w:rsidRPr="6C54F3A7">
        <w:rPr>
          <w:rStyle w:val="K-TextInfoChar"/>
          <w:rFonts w:asciiTheme="minorHAnsi" w:eastAsiaTheme="minorEastAsia" w:hAnsiTheme="minorHAnsi" w:cstheme="minorBidi"/>
          <w:i w:val="0"/>
          <w:iCs w:val="0"/>
          <w:color w:val="auto"/>
          <w:sz w:val="20"/>
          <w:szCs w:val="20"/>
        </w:rPr>
        <w:t xml:space="preserve"> na mezinárodním poli, které působí i v oborech příbuzných prioritním ob</w:t>
      </w:r>
      <w:r w:rsidR="19A29C4E" w:rsidRPr="6C54F3A7">
        <w:rPr>
          <w:rStyle w:val="K-TextInfoChar"/>
          <w:rFonts w:asciiTheme="minorHAnsi" w:eastAsiaTheme="minorEastAsia" w:hAnsiTheme="minorHAnsi" w:cstheme="minorBidi"/>
          <w:i w:val="0"/>
          <w:iCs w:val="0"/>
          <w:color w:val="auto"/>
          <w:sz w:val="20"/>
          <w:szCs w:val="20"/>
        </w:rPr>
        <w:t xml:space="preserve">lastem </w:t>
      </w:r>
      <w:proofErr w:type="spellStart"/>
      <w:r w:rsidR="19A29C4E" w:rsidRPr="6C54F3A7">
        <w:rPr>
          <w:rStyle w:val="K-TextInfoChar"/>
          <w:rFonts w:asciiTheme="minorHAnsi" w:eastAsiaTheme="minorEastAsia" w:hAnsiTheme="minorHAnsi" w:cstheme="minorBidi"/>
          <w:i w:val="0"/>
          <w:iCs w:val="0"/>
          <w:color w:val="auto"/>
          <w:sz w:val="20"/>
          <w:szCs w:val="20"/>
        </w:rPr>
        <w:t>VaV</w:t>
      </w:r>
      <w:proofErr w:type="spellEnd"/>
      <w:r w:rsidRPr="6C54F3A7">
        <w:rPr>
          <w:rStyle w:val="K-TextInfoChar"/>
          <w:rFonts w:asciiTheme="minorHAnsi" w:eastAsiaTheme="minorEastAsia" w:hAnsiTheme="minorHAnsi" w:cstheme="minorBidi"/>
          <w:i w:val="0"/>
          <w:iCs w:val="0"/>
          <w:color w:val="auto"/>
          <w:sz w:val="20"/>
          <w:szCs w:val="20"/>
        </w:rPr>
        <w:t xml:space="preserve"> </w:t>
      </w:r>
      <w:r w:rsidR="2EDB3B02" w:rsidRPr="6C54F3A7">
        <w:rPr>
          <w:rStyle w:val="K-TextInfoChar"/>
          <w:rFonts w:asciiTheme="minorHAnsi" w:eastAsiaTheme="minorEastAsia" w:hAnsiTheme="minorHAnsi" w:cstheme="minorBidi"/>
          <w:i w:val="0"/>
          <w:iCs w:val="0"/>
          <w:color w:val="auto"/>
          <w:sz w:val="20"/>
          <w:szCs w:val="20"/>
        </w:rPr>
        <w:t>této kompone</w:t>
      </w:r>
      <w:r w:rsidR="720216A4" w:rsidRPr="6C54F3A7">
        <w:rPr>
          <w:rStyle w:val="K-TextInfoChar"/>
          <w:rFonts w:asciiTheme="minorHAnsi" w:eastAsiaTheme="minorEastAsia" w:hAnsiTheme="minorHAnsi" w:cstheme="minorBidi"/>
          <w:i w:val="0"/>
          <w:iCs w:val="0"/>
          <w:color w:val="auto"/>
          <w:sz w:val="20"/>
          <w:szCs w:val="20"/>
        </w:rPr>
        <w:t>n</w:t>
      </w:r>
      <w:r w:rsidR="2EDB3B02" w:rsidRPr="6C54F3A7">
        <w:rPr>
          <w:rStyle w:val="K-TextInfoChar"/>
          <w:rFonts w:asciiTheme="minorHAnsi" w:eastAsiaTheme="minorEastAsia" w:hAnsiTheme="minorHAnsi" w:cstheme="minorBidi"/>
          <w:i w:val="0"/>
          <w:iCs w:val="0"/>
          <w:color w:val="auto"/>
          <w:sz w:val="20"/>
          <w:szCs w:val="20"/>
        </w:rPr>
        <w:t>ty</w:t>
      </w:r>
      <w:r w:rsidRPr="6C54F3A7">
        <w:rPr>
          <w:rStyle w:val="K-TextInfoChar"/>
          <w:rFonts w:asciiTheme="minorHAnsi" w:eastAsiaTheme="minorEastAsia" w:hAnsiTheme="minorHAnsi" w:cstheme="minorBidi"/>
          <w:i w:val="0"/>
          <w:iCs w:val="0"/>
          <w:color w:val="auto"/>
          <w:sz w:val="20"/>
          <w:szCs w:val="20"/>
        </w:rPr>
        <w:t xml:space="preserve"> a které je svým rozsahem</w:t>
      </w:r>
      <w:r w:rsidR="2EDB3B02" w:rsidRPr="6C54F3A7">
        <w:rPr>
          <w:rStyle w:val="K-TextInfoChar"/>
          <w:rFonts w:asciiTheme="minorHAnsi" w:eastAsiaTheme="minorEastAsia" w:hAnsiTheme="minorHAnsi" w:cstheme="minorBidi"/>
          <w:i w:val="0"/>
          <w:iCs w:val="0"/>
          <w:color w:val="auto"/>
          <w:sz w:val="20"/>
          <w:szCs w:val="20"/>
        </w:rPr>
        <w:t>,</w:t>
      </w:r>
      <w:r w:rsidRPr="6C54F3A7">
        <w:rPr>
          <w:rStyle w:val="K-TextInfoChar"/>
          <w:rFonts w:asciiTheme="minorHAnsi" w:eastAsiaTheme="minorEastAsia" w:hAnsiTheme="minorHAnsi" w:cstheme="minorBidi"/>
          <w:i w:val="0"/>
          <w:iCs w:val="0"/>
          <w:color w:val="auto"/>
          <w:sz w:val="20"/>
          <w:szCs w:val="20"/>
        </w:rPr>
        <w:t xml:space="preserve"> působnost</w:t>
      </w:r>
      <w:r w:rsidR="2EDB3B02" w:rsidRPr="6C54F3A7">
        <w:rPr>
          <w:rStyle w:val="K-TextInfoChar"/>
          <w:rFonts w:asciiTheme="minorHAnsi" w:eastAsiaTheme="minorEastAsia" w:hAnsiTheme="minorHAnsi" w:cstheme="minorBidi"/>
          <w:i w:val="0"/>
          <w:iCs w:val="0"/>
          <w:color w:val="auto"/>
          <w:sz w:val="20"/>
          <w:szCs w:val="20"/>
        </w:rPr>
        <w:t>í</w:t>
      </w:r>
      <w:r w:rsidRPr="6C54F3A7">
        <w:rPr>
          <w:rStyle w:val="K-TextInfoChar"/>
          <w:rFonts w:asciiTheme="minorHAnsi" w:eastAsiaTheme="minorEastAsia" w:hAnsiTheme="minorHAnsi" w:cstheme="minorBidi"/>
          <w:i w:val="0"/>
          <w:iCs w:val="0"/>
          <w:color w:val="auto"/>
          <w:sz w:val="20"/>
          <w:szCs w:val="20"/>
        </w:rPr>
        <w:t xml:space="preserve"> i kritickou velikostí určitým očekávaným </w:t>
      </w:r>
      <w:r w:rsidR="2EDB3B02" w:rsidRPr="6C54F3A7">
        <w:rPr>
          <w:rStyle w:val="K-TextInfoChar"/>
          <w:rFonts w:asciiTheme="minorHAnsi" w:eastAsiaTheme="minorEastAsia" w:hAnsiTheme="minorHAnsi" w:cstheme="minorBidi"/>
          <w:i w:val="0"/>
          <w:iCs w:val="0"/>
          <w:color w:val="auto"/>
          <w:sz w:val="20"/>
          <w:szCs w:val="20"/>
        </w:rPr>
        <w:t xml:space="preserve">a vzorovým </w:t>
      </w:r>
      <w:r w:rsidRPr="6C54F3A7">
        <w:rPr>
          <w:rStyle w:val="K-TextInfoChar"/>
          <w:rFonts w:asciiTheme="minorHAnsi" w:eastAsiaTheme="minorEastAsia" w:hAnsiTheme="minorHAnsi" w:cstheme="minorBidi"/>
          <w:i w:val="0"/>
          <w:iCs w:val="0"/>
          <w:color w:val="auto"/>
          <w:sz w:val="20"/>
          <w:szCs w:val="20"/>
        </w:rPr>
        <w:t xml:space="preserve">modelem pro projekty </w:t>
      </w:r>
      <w:r w:rsidR="770B173E" w:rsidRPr="6C54F3A7">
        <w:rPr>
          <w:rStyle w:val="K-TextInfoChar"/>
          <w:rFonts w:asciiTheme="minorHAnsi" w:eastAsiaTheme="minorEastAsia" w:hAnsiTheme="minorHAnsi" w:cstheme="minorBidi"/>
          <w:i w:val="0"/>
          <w:iCs w:val="0"/>
          <w:color w:val="auto"/>
          <w:sz w:val="20"/>
          <w:szCs w:val="20"/>
        </w:rPr>
        <w:t>této komponenty</w:t>
      </w:r>
      <w:r w:rsidRPr="6C54F3A7">
        <w:rPr>
          <w:rStyle w:val="K-TextInfoChar"/>
          <w:rFonts w:asciiTheme="minorHAnsi" w:eastAsiaTheme="minorEastAsia" w:hAnsiTheme="minorHAnsi" w:cstheme="minorBidi"/>
          <w:i w:val="0"/>
          <w:iCs w:val="0"/>
          <w:color w:val="auto"/>
          <w:sz w:val="20"/>
          <w:szCs w:val="20"/>
        </w:rPr>
        <w:t xml:space="preserve">, dosáhly celkem 1 648 mil. Kč. Náklady na </w:t>
      </w:r>
      <w:r w:rsidR="770B173E" w:rsidRPr="6C54F3A7">
        <w:rPr>
          <w:rStyle w:val="K-TextInfoChar"/>
          <w:rFonts w:asciiTheme="minorHAnsi" w:eastAsiaTheme="minorEastAsia" w:hAnsiTheme="minorHAnsi" w:cstheme="minorBidi"/>
          <w:i w:val="0"/>
          <w:iCs w:val="0"/>
          <w:color w:val="auto"/>
          <w:sz w:val="20"/>
          <w:szCs w:val="20"/>
        </w:rPr>
        <w:t xml:space="preserve">jiné, avšak regionálně lokalizované a v rámci ČR nepříliš kooperující, přesto </w:t>
      </w:r>
      <w:r w:rsidRPr="6C54F3A7">
        <w:rPr>
          <w:rStyle w:val="K-TextInfoChar"/>
          <w:rFonts w:asciiTheme="minorHAnsi" w:eastAsiaTheme="minorEastAsia" w:hAnsiTheme="minorHAnsi" w:cstheme="minorBidi"/>
          <w:i w:val="0"/>
          <w:iCs w:val="0"/>
          <w:color w:val="auto"/>
          <w:sz w:val="20"/>
          <w:szCs w:val="20"/>
        </w:rPr>
        <w:t>mezinárodně uznávané výzkumné centru</w:t>
      </w:r>
      <w:r w:rsidR="770B173E" w:rsidRPr="6C54F3A7">
        <w:rPr>
          <w:rStyle w:val="K-TextInfoChar"/>
          <w:rFonts w:asciiTheme="minorHAnsi" w:eastAsiaTheme="minorEastAsia" w:hAnsiTheme="minorHAnsi" w:cstheme="minorBidi"/>
          <w:i w:val="0"/>
          <w:iCs w:val="0"/>
          <w:color w:val="auto"/>
          <w:sz w:val="20"/>
          <w:szCs w:val="20"/>
        </w:rPr>
        <w:t>m,</w:t>
      </w:r>
      <w:r w:rsidRPr="6C54F3A7">
        <w:rPr>
          <w:rStyle w:val="K-TextInfoChar"/>
          <w:rFonts w:asciiTheme="minorHAnsi" w:eastAsiaTheme="minorEastAsia" w:hAnsiTheme="minorHAnsi" w:cstheme="minorBidi"/>
          <w:i w:val="0"/>
          <w:iCs w:val="0"/>
          <w:color w:val="auto"/>
          <w:sz w:val="20"/>
          <w:szCs w:val="20"/>
        </w:rPr>
        <w:t xml:space="preserve"> </w:t>
      </w:r>
      <w:r w:rsidR="770B173E" w:rsidRPr="6C54F3A7">
        <w:rPr>
          <w:rStyle w:val="K-TextInfoChar"/>
          <w:rFonts w:asciiTheme="minorHAnsi" w:eastAsiaTheme="minorEastAsia" w:hAnsiTheme="minorHAnsi" w:cstheme="minorBidi"/>
          <w:i w:val="0"/>
          <w:iCs w:val="0"/>
          <w:color w:val="auto"/>
          <w:sz w:val="20"/>
          <w:szCs w:val="20"/>
        </w:rPr>
        <w:t xml:space="preserve">která je </w:t>
      </w:r>
      <w:r w:rsidRPr="6C54F3A7">
        <w:rPr>
          <w:rStyle w:val="K-TextInfoChar"/>
          <w:rFonts w:asciiTheme="minorHAnsi" w:eastAsiaTheme="minorEastAsia" w:hAnsiTheme="minorHAnsi" w:cstheme="minorBidi"/>
          <w:i w:val="0"/>
          <w:iCs w:val="0"/>
          <w:color w:val="auto"/>
          <w:sz w:val="20"/>
          <w:szCs w:val="20"/>
        </w:rPr>
        <w:t>zaměřené výhradně na medicínské obory aplikovaného výzkumu v oblasti kardiologie</w:t>
      </w:r>
      <w:r w:rsidR="5EFEBB56" w:rsidRPr="6C54F3A7">
        <w:rPr>
          <w:rStyle w:val="K-TextInfoChar"/>
          <w:rFonts w:asciiTheme="minorHAnsi" w:eastAsiaTheme="minorEastAsia" w:hAnsiTheme="minorHAnsi" w:cstheme="minorBidi"/>
          <w:i w:val="0"/>
          <w:iCs w:val="0"/>
          <w:color w:val="auto"/>
          <w:sz w:val="20"/>
          <w:szCs w:val="20"/>
        </w:rPr>
        <w:t xml:space="preserve"> a neurověd</w:t>
      </w:r>
      <w:r w:rsidRPr="6C54F3A7">
        <w:rPr>
          <w:rStyle w:val="K-TextInfoChar"/>
          <w:rFonts w:asciiTheme="minorHAnsi" w:eastAsiaTheme="minorEastAsia" w:hAnsiTheme="minorHAnsi" w:cstheme="minorBidi"/>
          <w:i w:val="0"/>
          <w:iCs w:val="0"/>
          <w:color w:val="auto"/>
          <w:sz w:val="20"/>
          <w:szCs w:val="20"/>
        </w:rPr>
        <w:t xml:space="preserve"> s převažujícím klinickým výzkumem (</w:t>
      </w:r>
      <w:proofErr w:type="gramStart"/>
      <w:r w:rsidRPr="6C54F3A7">
        <w:rPr>
          <w:rStyle w:val="K-TextInfoChar"/>
          <w:rFonts w:asciiTheme="minorHAnsi" w:eastAsiaTheme="minorEastAsia" w:hAnsiTheme="minorHAnsi" w:cstheme="minorBidi"/>
          <w:i w:val="0"/>
          <w:iCs w:val="0"/>
          <w:color w:val="auto"/>
          <w:sz w:val="20"/>
          <w:szCs w:val="20"/>
        </w:rPr>
        <w:t>ICRC</w:t>
      </w:r>
      <w:r w:rsidR="52BCE40F" w:rsidRPr="6C54F3A7">
        <w:rPr>
          <w:rStyle w:val="K-TextInfoChar"/>
          <w:rFonts w:asciiTheme="minorHAnsi" w:eastAsiaTheme="minorEastAsia" w:hAnsiTheme="minorHAnsi" w:cstheme="minorBidi"/>
          <w:i w:val="0"/>
          <w:iCs w:val="0"/>
          <w:color w:val="auto"/>
          <w:sz w:val="20"/>
          <w:szCs w:val="20"/>
        </w:rPr>
        <w:t xml:space="preserve"> - LQ1605</w:t>
      </w:r>
      <w:proofErr w:type="gramEnd"/>
      <w:r w:rsidRPr="6C54F3A7">
        <w:rPr>
          <w:rStyle w:val="K-TextInfoChar"/>
          <w:rFonts w:asciiTheme="minorHAnsi" w:eastAsiaTheme="minorEastAsia" w:hAnsiTheme="minorHAnsi" w:cstheme="minorBidi"/>
          <w:i w:val="0"/>
          <w:iCs w:val="0"/>
          <w:color w:val="auto"/>
          <w:sz w:val="20"/>
          <w:szCs w:val="20"/>
        </w:rPr>
        <w:t>)</w:t>
      </w:r>
      <w:r w:rsidR="002E0D11" w:rsidRPr="71E36747">
        <w:rPr>
          <w:rStyle w:val="Znakapoznpodarou"/>
          <w:rFonts w:asciiTheme="minorHAnsi" w:eastAsiaTheme="minorEastAsia" w:hAnsiTheme="minorHAnsi" w:cstheme="minorBidi"/>
          <w:color w:val="auto"/>
          <w:sz w:val="20"/>
          <w:szCs w:val="20"/>
        </w:rPr>
        <w:footnoteReference w:id="8"/>
      </w:r>
      <w:r w:rsidR="770B173E" w:rsidRPr="6C54F3A7">
        <w:rPr>
          <w:rStyle w:val="K-TextInfoChar"/>
          <w:rFonts w:asciiTheme="minorHAnsi" w:eastAsiaTheme="minorEastAsia" w:hAnsiTheme="minorHAnsi" w:cstheme="minorBidi"/>
          <w:i w:val="0"/>
          <w:iCs w:val="0"/>
          <w:color w:val="auto"/>
          <w:sz w:val="20"/>
          <w:szCs w:val="20"/>
        </w:rPr>
        <w:t>,</w:t>
      </w:r>
      <w:r w:rsidRPr="6C54F3A7">
        <w:rPr>
          <w:rStyle w:val="K-TextInfoChar"/>
          <w:rFonts w:asciiTheme="minorHAnsi" w:eastAsiaTheme="minorEastAsia" w:hAnsiTheme="minorHAnsi" w:cstheme="minorBidi"/>
          <w:i w:val="0"/>
          <w:iCs w:val="0"/>
          <w:color w:val="auto"/>
          <w:sz w:val="20"/>
          <w:szCs w:val="20"/>
        </w:rPr>
        <w:t xml:space="preserve"> dosáhly za</w:t>
      </w:r>
      <w:r w:rsidR="770B173E" w:rsidRPr="6C54F3A7">
        <w:rPr>
          <w:rStyle w:val="K-TextInfoChar"/>
          <w:rFonts w:asciiTheme="minorHAnsi" w:eastAsiaTheme="minorEastAsia" w:hAnsiTheme="minorHAnsi" w:cstheme="minorBidi"/>
          <w:i w:val="0"/>
          <w:iCs w:val="0"/>
          <w:color w:val="auto"/>
          <w:sz w:val="20"/>
          <w:szCs w:val="20"/>
        </w:rPr>
        <w:t> </w:t>
      </w:r>
      <w:r w:rsidRPr="6C54F3A7">
        <w:rPr>
          <w:rStyle w:val="K-TextInfoChar"/>
          <w:rFonts w:asciiTheme="minorHAnsi" w:eastAsiaTheme="minorEastAsia" w:hAnsiTheme="minorHAnsi" w:cstheme="minorBidi"/>
          <w:i w:val="0"/>
          <w:iCs w:val="0"/>
          <w:color w:val="auto"/>
          <w:sz w:val="20"/>
          <w:szCs w:val="20"/>
        </w:rPr>
        <w:t>pětileté období v NPU II výše 1</w:t>
      </w:r>
      <w:r w:rsidR="770B173E" w:rsidRPr="6C54F3A7">
        <w:rPr>
          <w:rStyle w:val="K-TextInfoChar"/>
          <w:rFonts w:asciiTheme="minorHAnsi" w:eastAsiaTheme="minorEastAsia" w:hAnsiTheme="minorHAnsi" w:cstheme="minorBidi"/>
          <w:i w:val="0"/>
          <w:iCs w:val="0"/>
          <w:color w:val="auto"/>
          <w:sz w:val="20"/>
          <w:szCs w:val="20"/>
        </w:rPr>
        <w:t> </w:t>
      </w:r>
      <w:r w:rsidRPr="6C54F3A7">
        <w:rPr>
          <w:rStyle w:val="K-TextInfoChar"/>
          <w:rFonts w:asciiTheme="minorHAnsi" w:eastAsiaTheme="minorEastAsia" w:hAnsiTheme="minorHAnsi" w:cstheme="minorBidi"/>
          <w:i w:val="0"/>
          <w:iCs w:val="0"/>
          <w:color w:val="auto"/>
          <w:sz w:val="20"/>
          <w:szCs w:val="20"/>
        </w:rPr>
        <w:t>731</w:t>
      </w:r>
      <w:r w:rsidR="770B173E" w:rsidRPr="6C54F3A7">
        <w:rPr>
          <w:rStyle w:val="K-TextInfoChar"/>
          <w:rFonts w:asciiTheme="minorHAnsi" w:eastAsiaTheme="minorEastAsia" w:hAnsiTheme="minorHAnsi" w:cstheme="minorBidi"/>
          <w:i w:val="0"/>
          <w:iCs w:val="0"/>
          <w:color w:val="auto"/>
          <w:sz w:val="20"/>
          <w:szCs w:val="20"/>
        </w:rPr>
        <w:t> </w:t>
      </w:r>
      <w:r w:rsidRPr="6C54F3A7">
        <w:rPr>
          <w:rStyle w:val="K-TextInfoChar"/>
          <w:rFonts w:asciiTheme="minorHAnsi" w:eastAsiaTheme="minorEastAsia" w:hAnsiTheme="minorHAnsi" w:cstheme="minorBidi"/>
          <w:i w:val="0"/>
          <w:iCs w:val="0"/>
          <w:color w:val="auto"/>
          <w:sz w:val="20"/>
          <w:szCs w:val="20"/>
        </w:rPr>
        <w:t>mil.</w:t>
      </w:r>
      <w:r w:rsidR="770B173E" w:rsidRPr="6C54F3A7">
        <w:rPr>
          <w:rStyle w:val="K-TextInfoChar"/>
          <w:rFonts w:asciiTheme="minorHAnsi" w:eastAsiaTheme="minorEastAsia" w:hAnsiTheme="minorHAnsi" w:cstheme="minorBidi"/>
          <w:i w:val="0"/>
          <w:iCs w:val="0"/>
          <w:color w:val="auto"/>
          <w:sz w:val="20"/>
          <w:szCs w:val="20"/>
        </w:rPr>
        <w:t> </w:t>
      </w:r>
      <w:r w:rsidRPr="6C54F3A7">
        <w:rPr>
          <w:rStyle w:val="K-TextInfoChar"/>
          <w:rFonts w:asciiTheme="minorHAnsi" w:eastAsiaTheme="minorEastAsia" w:hAnsiTheme="minorHAnsi" w:cstheme="minorBidi"/>
          <w:i w:val="0"/>
          <w:iCs w:val="0"/>
          <w:color w:val="auto"/>
          <w:sz w:val="20"/>
          <w:szCs w:val="20"/>
        </w:rPr>
        <w:t xml:space="preserve">Kč. Minimalisticky </w:t>
      </w:r>
      <w:r w:rsidR="770B173E" w:rsidRPr="6C54F3A7">
        <w:rPr>
          <w:rStyle w:val="K-TextInfoChar"/>
          <w:rFonts w:asciiTheme="minorHAnsi" w:eastAsiaTheme="minorEastAsia" w:hAnsiTheme="minorHAnsi" w:cstheme="minorBidi"/>
          <w:i w:val="0"/>
          <w:iCs w:val="0"/>
          <w:color w:val="auto"/>
          <w:sz w:val="20"/>
          <w:szCs w:val="20"/>
        </w:rPr>
        <w:t xml:space="preserve">projektově </w:t>
      </w:r>
      <w:r w:rsidRPr="6C54F3A7">
        <w:rPr>
          <w:rStyle w:val="K-TextInfoChar"/>
          <w:rFonts w:asciiTheme="minorHAnsi" w:eastAsiaTheme="minorEastAsia" w:hAnsiTheme="minorHAnsi" w:cstheme="minorBidi"/>
          <w:i w:val="0"/>
          <w:iCs w:val="0"/>
          <w:color w:val="auto"/>
          <w:sz w:val="20"/>
          <w:szCs w:val="20"/>
        </w:rPr>
        <w:t>řízená udržitelnost centra BIOCEV, které mimo program NPU II samozřejmě disponovalo i dalšími významnějšími institucionálními finančními zdroji</w:t>
      </w:r>
      <w:r w:rsidR="770B173E" w:rsidRPr="6C54F3A7">
        <w:rPr>
          <w:rStyle w:val="K-TextInfoChar"/>
          <w:rFonts w:asciiTheme="minorHAnsi" w:eastAsiaTheme="minorEastAsia" w:hAnsiTheme="minorHAnsi" w:cstheme="minorBidi"/>
          <w:i w:val="0"/>
          <w:iCs w:val="0"/>
          <w:color w:val="auto"/>
          <w:sz w:val="20"/>
          <w:szCs w:val="20"/>
        </w:rPr>
        <w:t>, které je</w:t>
      </w:r>
      <w:r w:rsidRPr="6C54F3A7">
        <w:rPr>
          <w:rStyle w:val="K-TextInfoChar"/>
          <w:rFonts w:asciiTheme="minorHAnsi" w:eastAsiaTheme="minorEastAsia" w:hAnsiTheme="minorHAnsi" w:cstheme="minorBidi"/>
          <w:i w:val="0"/>
          <w:iCs w:val="0"/>
          <w:color w:val="auto"/>
          <w:sz w:val="20"/>
          <w:szCs w:val="20"/>
        </w:rPr>
        <w:t xml:space="preserve"> zaměřen</w:t>
      </w:r>
      <w:r w:rsidR="770B173E" w:rsidRPr="6C54F3A7">
        <w:rPr>
          <w:rStyle w:val="K-TextInfoChar"/>
          <w:rFonts w:asciiTheme="minorHAnsi" w:eastAsiaTheme="minorEastAsia" w:hAnsiTheme="minorHAnsi" w:cstheme="minorBidi"/>
          <w:i w:val="0"/>
          <w:iCs w:val="0"/>
          <w:color w:val="auto"/>
          <w:sz w:val="20"/>
          <w:szCs w:val="20"/>
        </w:rPr>
        <w:t>o</w:t>
      </w:r>
      <w:r w:rsidRPr="6C54F3A7">
        <w:rPr>
          <w:rStyle w:val="K-TextInfoChar"/>
          <w:rFonts w:asciiTheme="minorHAnsi" w:eastAsiaTheme="minorEastAsia" w:hAnsiTheme="minorHAnsi" w:cstheme="minorBidi"/>
          <w:i w:val="0"/>
          <w:iCs w:val="0"/>
          <w:color w:val="auto"/>
          <w:sz w:val="20"/>
          <w:szCs w:val="20"/>
        </w:rPr>
        <w:t xml:space="preserve"> výhradně na základní výzkum v mikrobiologii a </w:t>
      </w:r>
      <w:r w:rsidR="770B173E" w:rsidRPr="6C54F3A7">
        <w:rPr>
          <w:rStyle w:val="K-TextInfoChar"/>
          <w:rFonts w:asciiTheme="minorHAnsi" w:eastAsiaTheme="minorEastAsia" w:hAnsiTheme="minorHAnsi" w:cstheme="minorBidi"/>
          <w:i w:val="0"/>
          <w:iCs w:val="0"/>
          <w:color w:val="auto"/>
          <w:sz w:val="20"/>
          <w:szCs w:val="20"/>
        </w:rPr>
        <w:t xml:space="preserve">v </w:t>
      </w:r>
      <w:r w:rsidRPr="6C54F3A7">
        <w:rPr>
          <w:rStyle w:val="K-TextInfoChar"/>
          <w:rFonts w:asciiTheme="minorHAnsi" w:eastAsiaTheme="minorEastAsia" w:hAnsiTheme="minorHAnsi" w:cstheme="minorBidi"/>
          <w:i w:val="0"/>
          <w:iCs w:val="0"/>
          <w:color w:val="auto"/>
          <w:sz w:val="20"/>
          <w:szCs w:val="20"/>
        </w:rPr>
        <w:t xml:space="preserve">souvisejících biomedicínských oborech, </w:t>
      </w:r>
      <w:r w:rsidR="770B173E" w:rsidRPr="6C54F3A7">
        <w:rPr>
          <w:rStyle w:val="K-TextInfoChar"/>
          <w:rFonts w:asciiTheme="minorHAnsi" w:eastAsiaTheme="minorEastAsia" w:hAnsiTheme="minorHAnsi" w:cstheme="minorBidi"/>
          <w:i w:val="0"/>
          <w:iCs w:val="0"/>
          <w:color w:val="auto"/>
          <w:sz w:val="20"/>
          <w:szCs w:val="20"/>
        </w:rPr>
        <w:t xml:space="preserve">která nezahrnovala </w:t>
      </w:r>
      <w:r w:rsidRPr="6C54F3A7">
        <w:rPr>
          <w:rStyle w:val="K-TextInfoChar"/>
          <w:rFonts w:asciiTheme="minorHAnsi" w:eastAsiaTheme="minorEastAsia" w:hAnsiTheme="minorHAnsi" w:cstheme="minorBidi"/>
          <w:i w:val="0"/>
          <w:iCs w:val="0"/>
          <w:color w:val="auto"/>
          <w:sz w:val="20"/>
          <w:szCs w:val="20"/>
        </w:rPr>
        <w:t>žádný klinický výzkum, si v programu NPU II vyžádala celkové náklady 445,6</w:t>
      </w:r>
      <w:r w:rsidR="770B173E" w:rsidRPr="6C54F3A7">
        <w:rPr>
          <w:rStyle w:val="K-TextInfoChar"/>
          <w:rFonts w:asciiTheme="minorHAnsi" w:eastAsiaTheme="minorEastAsia" w:hAnsiTheme="minorHAnsi" w:cstheme="minorBidi"/>
          <w:i w:val="0"/>
          <w:iCs w:val="0"/>
          <w:color w:val="auto"/>
          <w:sz w:val="20"/>
          <w:szCs w:val="20"/>
        </w:rPr>
        <w:t> </w:t>
      </w:r>
      <w:r w:rsidRPr="6C54F3A7">
        <w:rPr>
          <w:rStyle w:val="K-TextInfoChar"/>
          <w:rFonts w:asciiTheme="minorHAnsi" w:eastAsiaTheme="minorEastAsia" w:hAnsiTheme="minorHAnsi" w:cstheme="minorBidi"/>
          <w:i w:val="0"/>
          <w:iCs w:val="0"/>
          <w:color w:val="auto"/>
          <w:sz w:val="20"/>
          <w:szCs w:val="20"/>
        </w:rPr>
        <w:t>mil.</w:t>
      </w:r>
      <w:r w:rsidR="770B173E" w:rsidRPr="6C54F3A7">
        <w:rPr>
          <w:rStyle w:val="K-TextInfoChar"/>
          <w:rFonts w:asciiTheme="minorHAnsi" w:eastAsiaTheme="minorEastAsia" w:hAnsiTheme="minorHAnsi" w:cstheme="minorBidi"/>
          <w:i w:val="0"/>
          <w:iCs w:val="0"/>
          <w:color w:val="auto"/>
          <w:sz w:val="20"/>
          <w:szCs w:val="20"/>
        </w:rPr>
        <w:t> </w:t>
      </w:r>
      <w:r w:rsidRPr="6C54F3A7">
        <w:rPr>
          <w:rStyle w:val="K-TextInfoChar"/>
          <w:rFonts w:asciiTheme="minorHAnsi" w:eastAsiaTheme="minorEastAsia" w:hAnsiTheme="minorHAnsi" w:cstheme="minorBidi"/>
          <w:i w:val="0"/>
          <w:iCs w:val="0"/>
          <w:color w:val="auto"/>
          <w:sz w:val="20"/>
          <w:szCs w:val="20"/>
        </w:rPr>
        <w:t xml:space="preserve">Kč. U ostatních projektů výzkumných center </w:t>
      </w:r>
      <w:r w:rsidR="770B173E" w:rsidRPr="6C54F3A7">
        <w:rPr>
          <w:rStyle w:val="K-TextInfoChar"/>
          <w:rFonts w:asciiTheme="minorHAnsi" w:eastAsiaTheme="minorEastAsia" w:hAnsiTheme="minorHAnsi" w:cstheme="minorBidi"/>
          <w:i w:val="0"/>
          <w:iCs w:val="0"/>
          <w:color w:val="auto"/>
          <w:sz w:val="20"/>
          <w:szCs w:val="20"/>
        </w:rPr>
        <w:t xml:space="preserve">v NPU II, působících v jiných vědních oborech </w:t>
      </w:r>
      <w:r w:rsidRPr="6C54F3A7">
        <w:rPr>
          <w:rStyle w:val="K-TextInfoChar"/>
          <w:rFonts w:asciiTheme="minorHAnsi" w:eastAsiaTheme="minorEastAsia" w:hAnsiTheme="minorHAnsi" w:cstheme="minorBidi"/>
          <w:i w:val="0"/>
          <w:iCs w:val="0"/>
          <w:color w:val="auto"/>
          <w:sz w:val="20"/>
          <w:szCs w:val="20"/>
        </w:rPr>
        <w:t>se celkové náklady v</w:t>
      </w:r>
      <w:r w:rsidR="770B173E" w:rsidRPr="6C54F3A7">
        <w:rPr>
          <w:rStyle w:val="K-TextInfoChar"/>
          <w:rFonts w:asciiTheme="minorHAnsi" w:eastAsiaTheme="minorEastAsia" w:hAnsiTheme="minorHAnsi" w:cstheme="minorBidi"/>
          <w:i w:val="0"/>
          <w:iCs w:val="0"/>
          <w:color w:val="auto"/>
          <w:sz w:val="20"/>
          <w:szCs w:val="20"/>
        </w:rPr>
        <w:t xml:space="preserve"> letech 2016-2020 </w:t>
      </w:r>
      <w:r w:rsidRPr="6C54F3A7">
        <w:rPr>
          <w:rStyle w:val="K-TextInfoChar"/>
          <w:rFonts w:asciiTheme="minorHAnsi" w:eastAsiaTheme="minorEastAsia" w:hAnsiTheme="minorHAnsi" w:cstheme="minorBidi"/>
          <w:i w:val="0"/>
          <w:iCs w:val="0"/>
          <w:color w:val="auto"/>
          <w:sz w:val="20"/>
          <w:szCs w:val="20"/>
        </w:rPr>
        <w:t xml:space="preserve">včetně kofinancování pohybovaly v rozmezí </w:t>
      </w:r>
      <w:proofErr w:type="gramStart"/>
      <w:r w:rsidRPr="6C54F3A7">
        <w:rPr>
          <w:rStyle w:val="K-TextInfoChar"/>
          <w:rFonts w:asciiTheme="minorHAnsi" w:eastAsiaTheme="minorEastAsia" w:hAnsiTheme="minorHAnsi" w:cstheme="minorBidi"/>
          <w:i w:val="0"/>
          <w:iCs w:val="0"/>
          <w:color w:val="auto"/>
          <w:sz w:val="20"/>
          <w:szCs w:val="20"/>
        </w:rPr>
        <w:t>600 – 850</w:t>
      </w:r>
      <w:proofErr w:type="gramEnd"/>
      <w:r w:rsidRPr="6C54F3A7">
        <w:rPr>
          <w:rStyle w:val="K-TextInfoChar"/>
          <w:rFonts w:asciiTheme="minorHAnsi" w:eastAsiaTheme="minorEastAsia" w:hAnsiTheme="minorHAnsi" w:cstheme="minorBidi"/>
          <w:i w:val="0"/>
          <w:iCs w:val="0"/>
          <w:color w:val="auto"/>
          <w:sz w:val="20"/>
          <w:szCs w:val="20"/>
        </w:rPr>
        <w:t xml:space="preserve"> mil. Kč. V programu NPU II ale dv</w:t>
      </w:r>
      <w:r w:rsidR="7B8E3E3E" w:rsidRPr="6C54F3A7">
        <w:rPr>
          <w:rStyle w:val="K-TextInfoChar"/>
          <w:rFonts w:asciiTheme="minorHAnsi" w:eastAsiaTheme="minorEastAsia" w:hAnsiTheme="minorHAnsi" w:cstheme="minorBidi"/>
          <w:i w:val="0"/>
          <w:iCs w:val="0"/>
          <w:color w:val="auto"/>
          <w:sz w:val="20"/>
          <w:szCs w:val="20"/>
        </w:rPr>
        <w:t>ě</w:t>
      </w:r>
      <w:r w:rsidRPr="6C54F3A7">
        <w:rPr>
          <w:rStyle w:val="K-TextInfoChar"/>
          <w:rFonts w:asciiTheme="minorHAnsi" w:eastAsiaTheme="minorEastAsia" w:hAnsiTheme="minorHAnsi" w:cstheme="minorBidi"/>
          <w:i w:val="0"/>
          <w:iCs w:val="0"/>
          <w:color w:val="auto"/>
          <w:sz w:val="20"/>
          <w:szCs w:val="20"/>
        </w:rPr>
        <w:t xml:space="preserve"> ze šesti podpořených </w:t>
      </w:r>
      <w:r w:rsidR="770B173E" w:rsidRPr="6C54F3A7">
        <w:rPr>
          <w:rStyle w:val="K-TextInfoChar"/>
          <w:rFonts w:asciiTheme="minorHAnsi" w:eastAsiaTheme="minorEastAsia" w:hAnsiTheme="minorHAnsi" w:cstheme="minorBidi"/>
          <w:i w:val="0"/>
          <w:iCs w:val="0"/>
          <w:color w:val="auto"/>
          <w:sz w:val="20"/>
          <w:szCs w:val="20"/>
        </w:rPr>
        <w:t>center</w:t>
      </w:r>
      <w:r w:rsidRPr="6C54F3A7">
        <w:rPr>
          <w:rStyle w:val="K-TextInfoChar"/>
          <w:rFonts w:asciiTheme="minorHAnsi" w:eastAsiaTheme="minorEastAsia" w:hAnsiTheme="minorHAnsi" w:cstheme="minorBidi"/>
          <w:i w:val="0"/>
          <w:iCs w:val="0"/>
          <w:color w:val="auto"/>
          <w:sz w:val="20"/>
          <w:szCs w:val="20"/>
        </w:rPr>
        <w:t xml:space="preserve"> neměl</w:t>
      </w:r>
      <w:r w:rsidR="7B8E3E3E" w:rsidRPr="6C54F3A7">
        <w:rPr>
          <w:rStyle w:val="K-TextInfoChar"/>
          <w:rFonts w:asciiTheme="minorHAnsi" w:eastAsiaTheme="minorEastAsia" w:hAnsiTheme="minorHAnsi" w:cstheme="minorBidi"/>
          <w:i w:val="0"/>
          <w:iCs w:val="0"/>
          <w:color w:val="auto"/>
          <w:sz w:val="20"/>
          <w:szCs w:val="20"/>
        </w:rPr>
        <w:t>a</w:t>
      </w:r>
      <w:r w:rsidRPr="6C54F3A7">
        <w:rPr>
          <w:rStyle w:val="K-TextInfoChar"/>
          <w:rFonts w:asciiTheme="minorHAnsi" w:eastAsiaTheme="minorEastAsia" w:hAnsiTheme="minorHAnsi" w:cstheme="minorBidi"/>
          <w:i w:val="0"/>
          <w:iCs w:val="0"/>
          <w:color w:val="auto"/>
          <w:sz w:val="20"/>
          <w:szCs w:val="20"/>
        </w:rPr>
        <w:t xml:space="preserve"> žádné další účastníky, kte</w:t>
      </w:r>
      <w:r w:rsidR="7B8E3E3E" w:rsidRPr="6C54F3A7">
        <w:rPr>
          <w:rStyle w:val="K-TextInfoChar"/>
          <w:rFonts w:asciiTheme="minorHAnsi" w:eastAsiaTheme="minorEastAsia" w:hAnsiTheme="minorHAnsi" w:cstheme="minorBidi"/>
          <w:i w:val="0"/>
          <w:iCs w:val="0"/>
          <w:color w:val="auto"/>
          <w:sz w:val="20"/>
          <w:szCs w:val="20"/>
        </w:rPr>
        <w:t>ří</w:t>
      </w:r>
      <w:r w:rsidRPr="6C54F3A7">
        <w:rPr>
          <w:rStyle w:val="K-TextInfoChar"/>
          <w:rFonts w:asciiTheme="minorHAnsi" w:eastAsiaTheme="minorEastAsia" w:hAnsiTheme="minorHAnsi" w:cstheme="minorBidi"/>
          <w:i w:val="0"/>
          <w:iCs w:val="0"/>
          <w:color w:val="auto"/>
          <w:sz w:val="20"/>
          <w:szCs w:val="20"/>
        </w:rPr>
        <w:t xml:space="preserve"> by se přímo podílel</w:t>
      </w:r>
      <w:r w:rsidR="7B8E3E3E" w:rsidRPr="6C54F3A7">
        <w:rPr>
          <w:rStyle w:val="K-TextInfoChar"/>
          <w:rFonts w:asciiTheme="minorHAnsi" w:eastAsiaTheme="minorEastAsia" w:hAnsiTheme="minorHAnsi" w:cstheme="minorBidi"/>
          <w:i w:val="0"/>
          <w:iCs w:val="0"/>
          <w:color w:val="auto"/>
          <w:sz w:val="20"/>
          <w:szCs w:val="20"/>
        </w:rPr>
        <w:t>i</w:t>
      </w:r>
      <w:r w:rsidRPr="6C54F3A7">
        <w:rPr>
          <w:rStyle w:val="K-TextInfoChar"/>
          <w:rFonts w:asciiTheme="minorHAnsi" w:eastAsiaTheme="minorEastAsia" w:hAnsiTheme="minorHAnsi" w:cstheme="minorBidi"/>
          <w:i w:val="0"/>
          <w:iCs w:val="0"/>
          <w:color w:val="auto"/>
          <w:sz w:val="20"/>
          <w:szCs w:val="20"/>
        </w:rPr>
        <w:t xml:space="preserve"> na</w:t>
      </w:r>
      <w:r w:rsidR="770B173E" w:rsidRPr="6C54F3A7">
        <w:rPr>
          <w:rStyle w:val="K-TextInfoChar"/>
          <w:rFonts w:asciiTheme="minorHAnsi" w:eastAsiaTheme="minorEastAsia" w:hAnsiTheme="minorHAnsi" w:cstheme="minorBidi"/>
          <w:i w:val="0"/>
          <w:iCs w:val="0"/>
          <w:color w:val="auto"/>
          <w:sz w:val="20"/>
          <w:szCs w:val="20"/>
        </w:rPr>
        <w:t> </w:t>
      </w:r>
      <w:r w:rsidRPr="6C54F3A7">
        <w:rPr>
          <w:rStyle w:val="K-TextInfoChar"/>
          <w:rFonts w:asciiTheme="minorHAnsi" w:eastAsiaTheme="minorEastAsia" w:hAnsiTheme="minorHAnsi" w:cstheme="minorBidi"/>
          <w:i w:val="0"/>
          <w:iCs w:val="0"/>
          <w:color w:val="auto"/>
          <w:sz w:val="20"/>
          <w:szCs w:val="20"/>
        </w:rPr>
        <w:t>financování projektu. Jeden z projektů NPU II měl pouze jednoho a jen tři z projektů sdružily více než 4 další účastníky, tj. lze u nich identifikovat konsorciální uskupení.</w:t>
      </w:r>
      <w:r w:rsidR="001C1029" w:rsidRPr="71E36747">
        <w:rPr>
          <w:rStyle w:val="Znakapoznpodarou"/>
          <w:rFonts w:asciiTheme="minorHAnsi" w:eastAsiaTheme="minorEastAsia" w:hAnsiTheme="minorHAnsi" w:cstheme="minorBidi"/>
          <w:color w:val="auto"/>
          <w:sz w:val="20"/>
          <w:szCs w:val="20"/>
        </w:rPr>
        <w:footnoteReference w:id="9"/>
      </w:r>
      <w:r w:rsidRPr="6C54F3A7">
        <w:rPr>
          <w:rStyle w:val="K-TextInfoChar"/>
          <w:rFonts w:asciiTheme="minorHAnsi" w:eastAsiaTheme="minorEastAsia" w:hAnsiTheme="minorHAnsi" w:cstheme="minorBidi"/>
          <w:i w:val="0"/>
          <w:iCs w:val="0"/>
          <w:color w:val="auto"/>
          <w:sz w:val="20"/>
          <w:szCs w:val="20"/>
        </w:rPr>
        <w:t xml:space="preserve"> Kapacity řešitelských týmů u projektů NPU II, kvalifikace jejich klíčových členů, rozsah jejich výzkumných činností a schopnost produkce kvalitních výsledků, kterou dosud prokazují, odpovídá odhadovaným kritickým hodnotám pro velikost </w:t>
      </w:r>
      <w:r w:rsidR="57F1F06C" w:rsidRPr="6C54F3A7">
        <w:rPr>
          <w:rStyle w:val="K-TextInfoChar"/>
          <w:rFonts w:asciiTheme="minorHAnsi" w:eastAsiaTheme="minorEastAsia" w:hAnsiTheme="minorHAnsi" w:cstheme="minorBidi"/>
          <w:i w:val="0"/>
          <w:iCs w:val="0"/>
          <w:color w:val="auto"/>
          <w:sz w:val="20"/>
          <w:szCs w:val="20"/>
        </w:rPr>
        <w:t xml:space="preserve">vědeckých </w:t>
      </w:r>
      <w:r w:rsidRPr="6C54F3A7">
        <w:rPr>
          <w:rStyle w:val="K-TextInfoChar"/>
          <w:rFonts w:asciiTheme="minorHAnsi" w:eastAsiaTheme="minorEastAsia" w:hAnsiTheme="minorHAnsi" w:cstheme="minorBidi"/>
          <w:i w:val="0"/>
          <w:iCs w:val="0"/>
          <w:color w:val="auto"/>
          <w:sz w:val="20"/>
          <w:szCs w:val="20"/>
        </w:rPr>
        <w:t>týmů</w:t>
      </w:r>
      <w:r w:rsidR="57F1F06C" w:rsidRPr="6C54F3A7">
        <w:rPr>
          <w:rStyle w:val="K-TextInfoChar"/>
          <w:rFonts w:asciiTheme="minorHAnsi" w:eastAsiaTheme="minorEastAsia" w:hAnsiTheme="minorHAnsi" w:cstheme="minorBidi"/>
          <w:i w:val="0"/>
          <w:iCs w:val="0"/>
          <w:color w:val="auto"/>
          <w:sz w:val="20"/>
          <w:szCs w:val="20"/>
        </w:rPr>
        <w:t xml:space="preserve"> a jejich výzkumného zázemí</w:t>
      </w:r>
      <w:r w:rsidRPr="6C54F3A7">
        <w:rPr>
          <w:rStyle w:val="K-TextInfoChar"/>
          <w:rFonts w:asciiTheme="minorHAnsi" w:eastAsiaTheme="minorEastAsia" w:hAnsiTheme="minorHAnsi" w:cstheme="minorBidi"/>
          <w:i w:val="0"/>
          <w:iCs w:val="0"/>
          <w:color w:val="auto"/>
          <w:sz w:val="20"/>
          <w:szCs w:val="20"/>
        </w:rPr>
        <w:t xml:space="preserve">, které </w:t>
      </w:r>
      <w:r w:rsidR="57F1F06C" w:rsidRPr="6C54F3A7">
        <w:rPr>
          <w:rStyle w:val="K-TextInfoChar"/>
          <w:rFonts w:asciiTheme="minorHAnsi" w:eastAsiaTheme="minorEastAsia" w:hAnsiTheme="minorHAnsi" w:cstheme="minorBidi"/>
          <w:i w:val="0"/>
          <w:iCs w:val="0"/>
          <w:color w:val="auto"/>
          <w:sz w:val="20"/>
          <w:szCs w:val="20"/>
        </w:rPr>
        <w:t>mají být podpořeny v této komponentě, aby m</w:t>
      </w:r>
      <w:r w:rsidRPr="6C54F3A7">
        <w:rPr>
          <w:rStyle w:val="K-TextInfoChar"/>
          <w:rFonts w:asciiTheme="minorHAnsi" w:eastAsiaTheme="minorEastAsia" w:hAnsiTheme="minorHAnsi" w:cstheme="minorBidi"/>
          <w:i w:val="0"/>
          <w:iCs w:val="0"/>
          <w:color w:val="auto"/>
          <w:sz w:val="20"/>
          <w:szCs w:val="20"/>
        </w:rPr>
        <w:t>oh</w:t>
      </w:r>
      <w:r w:rsidR="57F1F06C" w:rsidRPr="6C54F3A7">
        <w:rPr>
          <w:rStyle w:val="K-TextInfoChar"/>
          <w:rFonts w:asciiTheme="minorHAnsi" w:eastAsiaTheme="minorEastAsia" w:hAnsiTheme="minorHAnsi" w:cstheme="minorBidi"/>
          <w:i w:val="0"/>
          <w:iCs w:val="0"/>
          <w:color w:val="auto"/>
          <w:sz w:val="20"/>
          <w:szCs w:val="20"/>
        </w:rPr>
        <w:t>ly</w:t>
      </w:r>
      <w:r w:rsidRPr="6C54F3A7">
        <w:rPr>
          <w:rStyle w:val="K-TextInfoChar"/>
          <w:rFonts w:asciiTheme="minorHAnsi" w:eastAsiaTheme="minorEastAsia" w:hAnsiTheme="minorHAnsi" w:cstheme="minorBidi"/>
          <w:i w:val="0"/>
          <w:iCs w:val="0"/>
          <w:color w:val="auto"/>
          <w:sz w:val="20"/>
          <w:szCs w:val="20"/>
        </w:rPr>
        <w:t xml:space="preserve"> zajistit kvalitativní posun v produkci výsledků ve </w:t>
      </w:r>
      <w:proofErr w:type="spellStart"/>
      <w:r w:rsidRPr="6C54F3A7">
        <w:rPr>
          <w:rStyle w:val="K-TextInfoChar"/>
          <w:rFonts w:asciiTheme="minorHAnsi" w:eastAsiaTheme="minorEastAsia" w:hAnsiTheme="minorHAnsi" w:cstheme="minorBidi"/>
          <w:i w:val="0"/>
          <w:iCs w:val="0"/>
          <w:color w:val="auto"/>
          <w:sz w:val="20"/>
          <w:szCs w:val="20"/>
        </w:rPr>
        <w:t>VaVaI</w:t>
      </w:r>
      <w:proofErr w:type="spellEnd"/>
      <w:r w:rsidR="57F1F06C" w:rsidRPr="6C54F3A7">
        <w:rPr>
          <w:rStyle w:val="K-TextInfoChar"/>
          <w:rFonts w:asciiTheme="minorHAnsi" w:eastAsiaTheme="minorEastAsia" w:hAnsiTheme="minorHAnsi" w:cstheme="minorBidi"/>
          <w:i w:val="0"/>
          <w:iCs w:val="0"/>
          <w:color w:val="auto"/>
          <w:sz w:val="20"/>
          <w:szCs w:val="20"/>
        </w:rPr>
        <w:t xml:space="preserve"> a vytvořit požadovanou a ucelenou vědeckou platformu na národní úrovni</w:t>
      </w:r>
      <w:r w:rsidRPr="6C54F3A7">
        <w:rPr>
          <w:rStyle w:val="K-TextInfoChar"/>
          <w:rFonts w:asciiTheme="minorHAnsi" w:eastAsiaTheme="minorEastAsia" w:hAnsiTheme="minorHAnsi" w:cstheme="minorBidi"/>
          <w:i w:val="0"/>
          <w:iCs w:val="0"/>
          <w:color w:val="auto"/>
          <w:sz w:val="20"/>
          <w:szCs w:val="20"/>
        </w:rPr>
        <w:t>, kter</w:t>
      </w:r>
      <w:r w:rsidR="57F1F06C" w:rsidRPr="6C54F3A7">
        <w:rPr>
          <w:rStyle w:val="K-TextInfoChar"/>
          <w:rFonts w:asciiTheme="minorHAnsi" w:eastAsiaTheme="minorEastAsia" w:hAnsiTheme="minorHAnsi" w:cstheme="minorBidi"/>
          <w:i w:val="0"/>
          <w:iCs w:val="0"/>
          <w:color w:val="auto"/>
          <w:sz w:val="20"/>
          <w:szCs w:val="20"/>
        </w:rPr>
        <w:t>é</w:t>
      </w:r>
      <w:r w:rsidRPr="6C54F3A7">
        <w:rPr>
          <w:rStyle w:val="K-TextInfoChar"/>
          <w:rFonts w:asciiTheme="minorHAnsi" w:eastAsiaTheme="minorEastAsia" w:hAnsiTheme="minorHAnsi" w:cstheme="minorBidi"/>
          <w:i w:val="0"/>
          <w:iCs w:val="0"/>
          <w:color w:val="auto"/>
          <w:sz w:val="20"/>
          <w:szCs w:val="20"/>
        </w:rPr>
        <w:t xml:space="preserve"> </w:t>
      </w:r>
      <w:r w:rsidR="57F1F06C" w:rsidRPr="6C54F3A7">
        <w:rPr>
          <w:rStyle w:val="K-TextInfoChar"/>
          <w:rFonts w:asciiTheme="minorHAnsi" w:eastAsiaTheme="minorEastAsia" w:hAnsiTheme="minorHAnsi" w:cstheme="minorBidi"/>
          <w:i w:val="0"/>
          <w:iCs w:val="0"/>
          <w:color w:val="auto"/>
          <w:sz w:val="20"/>
          <w:szCs w:val="20"/>
        </w:rPr>
        <w:t>jsou cílem této komponenty</w:t>
      </w:r>
      <w:r w:rsidRPr="6C54F3A7">
        <w:rPr>
          <w:rStyle w:val="K-TextInfoChar"/>
          <w:rFonts w:asciiTheme="minorHAnsi" w:eastAsiaTheme="minorEastAsia" w:hAnsiTheme="minorHAnsi" w:cstheme="minorBidi"/>
          <w:i w:val="0"/>
          <w:iCs w:val="0"/>
          <w:color w:val="auto"/>
          <w:sz w:val="20"/>
          <w:szCs w:val="20"/>
        </w:rPr>
        <w:t xml:space="preserve">. Dále se v této komponentě předpokládá značná převaha základního výzkumu se 100 % intenzitou podpory (analogicky k evropskému programu ERC, který byl výše zmíněn) s tím, že návazné klinické studie, průmyslový výzkum v oblasti farmacie a souvisejících oblastech přesáhnou časovou hranici i rámec konsorciálního projektu nebo budou realizovány v návazných projektech jednotlivých aktérů mimo tento program. V jiném případě budou samozřejmě uplatněny limity stanovené GBER. </w:t>
      </w:r>
    </w:p>
    <w:p w14:paraId="52A203AD" w14:textId="291A5812" w:rsidR="00DA7B3B" w:rsidRPr="00992741" w:rsidRDefault="11E1D3B4" w:rsidP="6C54F3A7">
      <w:pPr>
        <w:pStyle w:val="Default"/>
        <w:spacing w:after="120"/>
        <w:jc w:val="both"/>
        <w:rPr>
          <w:rStyle w:val="K-TextInfoChar"/>
          <w:rFonts w:asciiTheme="minorHAnsi" w:eastAsiaTheme="minorEastAsia" w:hAnsiTheme="minorHAnsi" w:cstheme="minorBidi"/>
          <w:i w:val="0"/>
          <w:iCs w:val="0"/>
          <w:color w:val="auto"/>
          <w:sz w:val="20"/>
          <w:szCs w:val="20"/>
        </w:rPr>
      </w:pPr>
      <w:r w:rsidRPr="6C54F3A7">
        <w:rPr>
          <w:rStyle w:val="K-TextInfoChar"/>
          <w:rFonts w:asciiTheme="minorHAnsi" w:eastAsiaTheme="minorEastAsia" w:hAnsiTheme="minorHAnsi" w:cstheme="minorBidi"/>
          <w:i w:val="0"/>
          <w:iCs w:val="0"/>
          <w:color w:val="auto"/>
          <w:sz w:val="20"/>
          <w:szCs w:val="20"/>
        </w:rPr>
        <w:t xml:space="preserve">S odkazem na </w:t>
      </w:r>
      <w:r w:rsidR="57F1F06C" w:rsidRPr="6C54F3A7">
        <w:rPr>
          <w:rStyle w:val="K-TextInfoChar"/>
          <w:rFonts w:asciiTheme="minorHAnsi" w:eastAsiaTheme="minorEastAsia" w:hAnsiTheme="minorHAnsi" w:cstheme="minorBidi"/>
          <w:i w:val="0"/>
          <w:iCs w:val="0"/>
          <w:color w:val="auto"/>
          <w:sz w:val="20"/>
          <w:szCs w:val="20"/>
        </w:rPr>
        <w:t xml:space="preserve">výše </w:t>
      </w:r>
      <w:r w:rsidRPr="6C54F3A7">
        <w:rPr>
          <w:rStyle w:val="K-TextInfoChar"/>
          <w:rFonts w:asciiTheme="minorHAnsi" w:eastAsiaTheme="minorEastAsia" w:hAnsiTheme="minorHAnsi" w:cstheme="minorBidi"/>
          <w:i w:val="0"/>
          <w:iCs w:val="0"/>
          <w:color w:val="auto"/>
          <w:sz w:val="20"/>
          <w:szCs w:val="20"/>
        </w:rPr>
        <w:t xml:space="preserve">uvedené </w:t>
      </w:r>
      <w:r w:rsidR="57F1F06C" w:rsidRPr="6C54F3A7">
        <w:rPr>
          <w:rStyle w:val="K-TextInfoChar"/>
          <w:rFonts w:asciiTheme="minorHAnsi" w:eastAsiaTheme="minorEastAsia" w:hAnsiTheme="minorHAnsi" w:cstheme="minorBidi"/>
          <w:i w:val="0"/>
          <w:iCs w:val="0"/>
          <w:color w:val="auto"/>
          <w:sz w:val="20"/>
          <w:szCs w:val="20"/>
        </w:rPr>
        <w:t xml:space="preserve">a provedený průzkum absorpční kapacity </w:t>
      </w:r>
      <w:r w:rsidRPr="6C54F3A7">
        <w:rPr>
          <w:rStyle w:val="K-TextInfoChar"/>
          <w:rFonts w:asciiTheme="minorHAnsi" w:eastAsiaTheme="minorEastAsia" w:hAnsiTheme="minorHAnsi" w:cstheme="minorBidi"/>
          <w:i w:val="0"/>
          <w:iCs w:val="0"/>
          <w:color w:val="auto"/>
          <w:sz w:val="20"/>
          <w:szCs w:val="20"/>
        </w:rPr>
        <w:t>lze důvodně očekávat v</w:t>
      </w:r>
      <w:r w:rsidR="19A29C4E" w:rsidRPr="6C54F3A7">
        <w:rPr>
          <w:rStyle w:val="K-TextInfoChar"/>
          <w:rFonts w:asciiTheme="minorHAnsi" w:eastAsiaTheme="minorEastAsia" w:hAnsiTheme="minorHAnsi" w:cstheme="minorBidi"/>
          <w:i w:val="0"/>
          <w:iCs w:val="0"/>
          <w:color w:val="auto"/>
          <w:sz w:val="20"/>
          <w:szCs w:val="20"/>
        </w:rPr>
        <w:t> </w:t>
      </w:r>
      <w:r w:rsidR="3D0B1478" w:rsidRPr="6C54F3A7">
        <w:rPr>
          <w:rStyle w:val="K-TextInfoChar"/>
          <w:rFonts w:asciiTheme="minorHAnsi" w:eastAsiaTheme="minorEastAsia" w:hAnsiTheme="minorHAnsi" w:cstheme="minorBidi"/>
          <w:i w:val="0"/>
          <w:iCs w:val="0"/>
          <w:color w:val="auto"/>
          <w:sz w:val="20"/>
          <w:szCs w:val="20"/>
        </w:rPr>
        <w:t>těchto</w:t>
      </w:r>
      <w:r w:rsidRPr="6C54F3A7">
        <w:rPr>
          <w:rStyle w:val="K-TextInfoChar"/>
          <w:rFonts w:asciiTheme="minorHAnsi" w:eastAsiaTheme="minorEastAsia" w:hAnsiTheme="minorHAnsi" w:cstheme="minorBidi"/>
          <w:i w:val="0"/>
          <w:iCs w:val="0"/>
          <w:color w:val="auto"/>
          <w:sz w:val="20"/>
          <w:szCs w:val="20"/>
        </w:rPr>
        <w:t xml:space="preserve"> prioritních </w:t>
      </w:r>
      <w:r w:rsidR="19A29C4E" w:rsidRPr="6C54F3A7">
        <w:rPr>
          <w:rStyle w:val="K-TextInfoChar"/>
          <w:rFonts w:asciiTheme="minorHAnsi" w:eastAsiaTheme="minorEastAsia" w:hAnsiTheme="minorHAnsi" w:cstheme="minorBidi"/>
          <w:i w:val="0"/>
          <w:iCs w:val="0"/>
          <w:color w:val="auto"/>
          <w:sz w:val="20"/>
          <w:szCs w:val="20"/>
        </w:rPr>
        <w:t xml:space="preserve">oblastech </w:t>
      </w:r>
      <w:proofErr w:type="spellStart"/>
      <w:r w:rsidR="19A29C4E" w:rsidRPr="6C54F3A7">
        <w:rPr>
          <w:rStyle w:val="K-TextInfoChar"/>
          <w:rFonts w:asciiTheme="minorHAnsi" w:eastAsiaTheme="minorEastAsia" w:hAnsiTheme="minorHAnsi" w:cstheme="minorBidi"/>
          <w:i w:val="0"/>
          <w:iCs w:val="0"/>
          <w:color w:val="auto"/>
          <w:sz w:val="20"/>
          <w:szCs w:val="20"/>
        </w:rPr>
        <w:t>VaV</w:t>
      </w:r>
      <w:proofErr w:type="spellEnd"/>
      <w:r w:rsidR="0037455E" w:rsidRPr="71E36747">
        <w:rPr>
          <w:rStyle w:val="Znakapoznpodarou"/>
          <w:rFonts w:asciiTheme="minorHAnsi" w:eastAsiaTheme="minorEastAsia" w:hAnsiTheme="minorHAnsi" w:cstheme="minorBidi"/>
          <w:color w:val="auto"/>
          <w:sz w:val="20"/>
          <w:szCs w:val="20"/>
        </w:rPr>
        <w:footnoteReference w:id="10"/>
      </w:r>
      <w:r w:rsidRPr="6C54F3A7">
        <w:rPr>
          <w:rStyle w:val="K-TextInfoChar"/>
          <w:rFonts w:asciiTheme="minorHAnsi" w:eastAsiaTheme="minorEastAsia" w:hAnsiTheme="minorHAnsi" w:cstheme="minorBidi"/>
          <w:i w:val="0"/>
          <w:iCs w:val="0"/>
          <w:color w:val="auto"/>
          <w:sz w:val="20"/>
          <w:szCs w:val="20"/>
        </w:rPr>
        <w:t>,  realizaci projektů s náklady řádově kolem 1,5</w:t>
      </w:r>
      <w:r w:rsidR="51F08B9C" w:rsidRPr="6C54F3A7">
        <w:rPr>
          <w:rStyle w:val="K-TextInfoChar"/>
          <w:rFonts w:asciiTheme="minorHAnsi" w:eastAsiaTheme="minorEastAsia" w:hAnsiTheme="minorHAnsi" w:cstheme="minorBidi"/>
          <w:i w:val="0"/>
          <w:iCs w:val="0"/>
          <w:color w:val="auto"/>
          <w:sz w:val="20"/>
          <w:szCs w:val="20"/>
        </w:rPr>
        <w:t> </w:t>
      </w:r>
      <w:r w:rsidRPr="6C54F3A7">
        <w:rPr>
          <w:rStyle w:val="K-TextInfoChar"/>
          <w:rFonts w:asciiTheme="minorHAnsi" w:eastAsiaTheme="minorEastAsia" w:hAnsiTheme="minorHAnsi" w:cstheme="minorBidi"/>
          <w:i w:val="0"/>
          <w:iCs w:val="0"/>
          <w:color w:val="auto"/>
          <w:sz w:val="20"/>
          <w:szCs w:val="20"/>
        </w:rPr>
        <w:t>mld. Kč pro pětileté období, pokud to limity stanovené nebo vyjednané Evropskou komisí dovolí. Průměrné roční náklady na 1 projekt se tak odhadují ve výši 250 mil. Kč.</w:t>
      </w:r>
    </w:p>
    <w:p w14:paraId="2854C68D" w14:textId="77777777" w:rsidR="00970AA1" w:rsidRPr="00992741" w:rsidRDefault="00970AA1" w:rsidP="6C54F3A7">
      <w:pPr>
        <w:pStyle w:val="Default"/>
        <w:spacing w:after="120"/>
        <w:jc w:val="both"/>
        <w:rPr>
          <w:rStyle w:val="K-TextChar"/>
          <w:rFonts w:asciiTheme="minorHAnsi" w:eastAsiaTheme="minorEastAsia" w:hAnsiTheme="minorHAnsi" w:cstheme="minorBidi"/>
          <w:color w:val="auto"/>
          <w:sz w:val="20"/>
          <w:szCs w:val="20"/>
        </w:rPr>
      </w:pPr>
    </w:p>
    <w:p w14:paraId="124215C3" w14:textId="67A6E2AB" w:rsidR="0015052B" w:rsidRPr="00992741" w:rsidRDefault="2726F1CA" w:rsidP="6C54F3A7">
      <w:pPr>
        <w:pStyle w:val="K-Nadpis3"/>
        <w:rPr>
          <w:rFonts w:asciiTheme="minorHAnsi" w:eastAsiaTheme="minorEastAsia" w:hAnsiTheme="minorHAnsi" w:cstheme="minorBidi"/>
          <w:color w:val="auto"/>
          <w:sz w:val="20"/>
          <w:szCs w:val="20"/>
        </w:rPr>
      </w:pPr>
      <w:r w:rsidRPr="6C54F3A7">
        <w:rPr>
          <w:rFonts w:asciiTheme="minorHAnsi" w:eastAsiaTheme="minorEastAsia" w:hAnsiTheme="minorHAnsi" w:cstheme="minorBidi"/>
          <w:color w:val="auto"/>
          <w:sz w:val="20"/>
          <w:szCs w:val="20"/>
        </w:rPr>
        <w:t xml:space="preserve">a) </w:t>
      </w:r>
      <w:r w:rsidR="7E3F5435" w:rsidRPr="6C54F3A7">
        <w:rPr>
          <w:rFonts w:asciiTheme="minorHAnsi" w:eastAsiaTheme="minorEastAsia" w:hAnsiTheme="minorHAnsi" w:cstheme="minorBidi"/>
          <w:color w:val="auto"/>
          <w:sz w:val="20"/>
          <w:szCs w:val="20"/>
        </w:rPr>
        <w:t>Detail</w:t>
      </w:r>
      <w:r w:rsidRPr="6C54F3A7">
        <w:rPr>
          <w:rFonts w:asciiTheme="minorHAnsi" w:eastAsiaTheme="minorEastAsia" w:hAnsiTheme="minorHAnsi" w:cstheme="minorBidi"/>
          <w:color w:val="auto"/>
          <w:sz w:val="20"/>
          <w:szCs w:val="20"/>
        </w:rPr>
        <w:t xml:space="preserve"> komponenty</w:t>
      </w:r>
    </w:p>
    <w:p w14:paraId="66D49989" w14:textId="5A49EF23" w:rsidR="00AB426D" w:rsidRPr="00F34B12" w:rsidRDefault="6C8AF0BD" w:rsidP="6C54F3A7">
      <w:pPr>
        <w:pStyle w:val="Default"/>
        <w:spacing w:after="120"/>
        <w:jc w:val="both"/>
        <w:rPr>
          <w:rStyle w:val="K-TextChar"/>
          <w:rFonts w:asciiTheme="minorHAnsi" w:eastAsiaTheme="minorEastAsia" w:hAnsiTheme="minorHAnsi" w:cstheme="minorBidi"/>
          <w:i/>
          <w:color w:val="auto"/>
          <w:sz w:val="20"/>
          <w:szCs w:val="20"/>
        </w:rPr>
      </w:pPr>
      <w:r w:rsidRPr="6C54F3A7">
        <w:rPr>
          <w:rStyle w:val="K-TextInfoChar"/>
          <w:rFonts w:asciiTheme="minorHAnsi" w:eastAsiaTheme="minorEastAsia" w:hAnsiTheme="minorHAnsi" w:cstheme="minorBidi"/>
          <w:i w:val="0"/>
          <w:iCs w:val="0"/>
          <w:color w:val="auto"/>
          <w:sz w:val="20"/>
          <w:szCs w:val="20"/>
        </w:rPr>
        <w:t>Komponenta 5.1 „</w:t>
      </w:r>
      <w:r w:rsidR="57F1F06C" w:rsidRPr="6C54F3A7">
        <w:rPr>
          <w:rStyle w:val="K-TextInfoChar"/>
          <w:rFonts w:asciiTheme="minorHAnsi" w:eastAsiaTheme="minorEastAsia" w:hAnsiTheme="minorHAnsi" w:cstheme="minorBidi"/>
          <w:i w:val="0"/>
          <w:iCs w:val="0"/>
          <w:color w:val="auto"/>
          <w:sz w:val="20"/>
          <w:szCs w:val="20"/>
        </w:rPr>
        <w:t xml:space="preserve">Excelentní výzkum a vývoj v prioritních oblastech veřejného zájmu ve zdravotnictví“ </w:t>
      </w:r>
      <w:r w:rsidR="72B128AB" w:rsidRPr="6C54F3A7">
        <w:rPr>
          <w:rStyle w:val="K-TextInfoChar"/>
          <w:rFonts w:asciiTheme="minorHAnsi" w:eastAsiaTheme="minorEastAsia" w:hAnsiTheme="minorHAnsi" w:cstheme="minorBidi"/>
          <w:i w:val="0"/>
          <w:iCs w:val="0"/>
          <w:color w:val="auto"/>
          <w:sz w:val="20"/>
          <w:szCs w:val="20"/>
        </w:rPr>
        <w:t xml:space="preserve">byla projednávána meziresortně </w:t>
      </w:r>
      <w:r w:rsidRPr="6C54F3A7">
        <w:rPr>
          <w:rStyle w:val="K-TextInfoChar"/>
          <w:rFonts w:asciiTheme="minorHAnsi" w:eastAsiaTheme="minorEastAsia" w:hAnsiTheme="minorHAnsi" w:cstheme="minorBidi"/>
          <w:i w:val="0"/>
          <w:iCs w:val="0"/>
          <w:color w:val="auto"/>
          <w:sz w:val="20"/>
          <w:szCs w:val="20"/>
        </w:rPr>
        <w:t xml:space="preserve">na národní úrovni. Hlavní cíle </w:t>
      </w:r>
      <w:r w:rsidR="06A9B535" w:rsidRPr="6C54F3A7">
        <w:rPr>
          <w:rStyle w:val="K-TextInfoChar"/>
          <w:rFonts w:asciiTheme="minorHAnsi" w:eastAsiaTheme="minorEastAsia" w:hAnsiTheme="minorHAnsi" w:cstheme="minorBidi"/>
          <w:i w:val="0"/>
          <w:iCs w:val="0"/>
          <w:color w:val="auto"/>
          <w:sz w:val="20"/>
          <w:szCs w:val="20"/>
        </w:rPr>
        <w:t>vycházejí z</w:t>
      </w:r>
      <w:r w:rsidR="35C4480F" w:rsidRPr="6C54F3A7">
        <w:rPr>
          <w:rStyle w:val="K-TextInfoChar"/>
          <w:rFonts w:asciiTheme="minorHAnsi" w:eastAsiaTheme="minorEastAsia" w:hAnsiTheme="minorHAnsi" w:cstheme="minorBidi"/>
          <w:i w:val="0"/>
          <w:iCs w:val="0"/>
          <w:color w:val="auto"/>
          <w:sz w:val="20"/>
          <w:szCs w:val="20"/>
        </w:rPr>
        <w:t> </w:t>
      </w:r>
      <w:r w:rsidR="06A9B535" w:rsidRPr="6C54F3A7">
        <w:rPr>
          <w:rStyle w:val="K-TextInfoChar"/>
          <w:rFonts w:asciiTheme="minorHAnsi" w:eastAsiaTheme="minorEastAsia" w:hAnsiTheme="minorHAnsi" w:cstheme="minorBidi"/>
          <w:i w:val="0"/>
          <w:iCs w:val="0"/>
          <w:color w:val="auto"/>
          <w:sz w:val="20"/>
          <w:szCs w:val="20"/>
        </w:rPr>
        <w:t>aktuálních</w:t>
      </w:r>
      <w:r w:rsidR="35C4480F" w:rsidRPr="6C54F3A7">
        <w:rPr>
          <w:rStyle w:val="K-TextInfoChar"/>
          <w:rFonts w:asciiTheme="minorHAnsi" w:eastAsiaTheme="minorEastAsia" w:hAnsiTheme="minorHAnsi" w:cstheme="minorBidi"/>
          <w:i w:val="0"/>
          <w:iCs w:val="0"/>
          <w:color w:val="auto"/>
          <w:sz w:val="20"/>
          <w:szCs w:val="20"/>
        </w:rPr>
        <w:t>, statisticky podložených</w:t>
      </w:r>
      <w:r w:rsidR="06A9B535" w:rsidRPr="6C54F3A7">
        <w:rPr>
          <w:rStyle w:val="K-TextInfoChar"/>
          <w:rFonts w:asciiTheme="minorHAnsi" w:eastAsiaTheme="minorEastAsia" w:hAnsiTheme="minorHAnsi" w:cstheme="minorBidi"/>
          <w:i w:val="0"/>
          <w:iCs w:val="0"/>
          <w:color w:val="auto"/>
          <w:sz w:val="20"/>
          <w:szCs w:val="20"/>
        </w:rPr>
        <w:t xml:space="preserve"> potřeb </w:t>
      </w:r>
      <w:r w:rsidR="11C4B70F" w:rsidRPr="6C54F3A7">
        <w:rPr>
          <w:rStyle w:val="K-TextInfoChar"/>
          <w:rFonts w:asciiTheme="minorHAnsi" w:eastAsiaTheme="minorEastAsia" w:hAnsiTheme="minorHAnsi" w:cstheme="minorBidi"/>
          <w:i w:val="0"/>
          <w:iCs w:val="0"/>
          <w:color w:val="auto"/>
          <w:sz w:val="20"/>
          <w:szCs w:val="20"/>
        </w:rPr>
        <w:t>a </w:t>
      </w:r>
      <w:r w:rsidR="72B128AB" w:rsidRPr="6C54F3A7">
        <w:rPr>
          <w:rStyle w:val="K-TextInfoChar"/>
          <w:rFonts w:asciiTheme="minorHAnsi" w:eastAsiaTheme="minorEastAsia" w:hAnsiTheme="minorHAnsi" w:cstheme="minorBidi"/>
          <w:i w:val="0"/>
          <w:iCs w:val="0"/>
          <w:color w:val="auto"/>
          <w:sz w:val="20"/>
          <w:szCs w:val="20"/>
        </w:rPr>
        <w:t xml:space="preserve">ze </w:t>
      </w:r>
      <w:r w:rsidR="06A9B535" w:rsidRPr="6C54F3A7">
        <w:rPr>
          <w:rStyle w:val="K-TextInfoChar"/>
          <w:rFonts w:asciiTheme="minorHAnsi" w:eastAsiaTheme="minorEastAsia" w:hAnsiTheme="minorHAnsi" w:cstheme="minorBidi"/>
          <w:i w:val="0"/>
          <w:iCs w:val="0"/>
          <w:color w:val="auto"/>
          <w:sz w:val="20"/>
          <w:szCs w:val="20"/>
        </w:rPr>
        <w:t>zkušeností z krizového řízení v souvislosti s propuknutím epidemie COVID-19</w:t>
      </w:r>
      <w:r w:rsidR="72B128AB" w:rsidRPr="6C54F3A7">
        <w:rPr>
          <w:rStyle w:val="K-TextInfoChar"/>
          <w:rFonts w:asciiTheme="minorHAnsi" w:eastAsiaTheme="minorEastAsia" w:hAnsiTheme="minorHAnsi" w:cstheme="minorBidi"/>
          <w:i w:val="0"/>
          <w:iCs w:val="0"/>
          <w:color w:val="auto"/>
          <w:sz w:val="20"/>
          <w:szCs w:val="20"/>
        </w:rPr>
        <w:t xml:space="preserve">. Zaměření komponenty </w:t>
      </w:r>
      <w:r w:rsidR="06A9B535" w:rsidRPr="6C54F3A7">
        <w:rPr>
          <w:rStyle w:val="K-TextInfoChar"/>
          <w:rFonts w:asciiTheme="minorHAnsi" w:eastAsiaTheme="minorEastAsia" w:hAnsiTheme="minorHAnsi" w:cstheme="minorBidi"/>
          <w:i w:val="0"/>
          <w:iCs w:val="0"/>
          <w:color w:val="auto"/>
          <w:sz w:val="20"/>
          <w:szCs w:val="20"/>
        </w:rPr>
        <w:t>j</w:t>
      </w:r>
      <w:r w:rsidR="72B128AB" w:rsidRPr="6C54F3A7">
        <w:rPr>
          <w:rStyle w:val="K-TextInfoChar"/>
          <w:rFonts w:asciiTheme="minorHAnsi" w:eastAsiaTheme="minorEastAsia" w:hAnsiTheme="minorHAnsi" w:cstheme="minorBidi"/>
          <w:i w:val="0"/>
          <w:iCs w:val="0"/>
          <w:color w:val="auto"/>
          <w:sz w:val="20"/>
          <w:szCs w:val="20"/>
        </w:rPr>
        <w:t>e</w:t>
      </w:r>
      <w:r w:rsidR="06A9B535" w:rsidRPr="6C54F3A7">
        <w:rPr>
          <w:rStyle w:val="K-TextInfoChar"/>
          <w:rFonts w:asciiTheme="minorHAnsi" w:eastAsiaTheme="minorEastAsia" w:hAnsiTheme="minorHAnsi" w:cstheme="minorBidi"/>
          <w:i w:val="0"/>
          <w:iCs w:val="0"/>
          <w:color w:val="auto"/>
          <w:sz w:val="20"/>
          <w:szCs w:val="20"/>
        </w:rPr>
        <w:t xml:space="preserve"> </w:t>
      </w:r>
      <w:r w:rsidRPr="6C54F3A7">
        <w:rPr>
          <w:rStyle w:val="K-TextInfoChar"/>
          <w:rFonts w:asciiTheme="minorHAnsi" w:eastAsiaTheme="minorEastAsia" w:hAnsiTheme="minorHAnsi" w:cstheme="minorBidi"/>
          <w:i w:val="0"/>
          <w:iCs w:val="0"/>
          <w:color w:val="auto"/>
          <w:sz w:val="20"/>
          <w:szCs w:val="20"/>
        </w:rPr>
        <w:t>podpor</w:t>
      </w:r>
      <w:r w:rsidR="06A9B535" w:rsidRPr="6C54F3A7">
        <w:rPr>
          <w:rStyle w:val="K-TextInfoChar"/>
          <w:rFonts w:asciiTheme="minorHAnsi" w:eastAsiaTheme="minorEastAsia" w:hAnsiTheme="minorHAnsi" w:cstheme="minorBidi"/>
          <w:i w:val="0"/>
          <w:iCs w:val="0"/>
          <w:color w:val="auto"/>
          <w:sz w:val="20"/>
          <w:szCs w:val="20"/>
        </w:rPr>
        <w:t>ován</w:t>
      </w:r>
      <w:r w:rsidR="72B128AB" w:rsidRPr="6C54F3A7">
        <w:rPr>
          <w:rStyle w:val="K-TextInfoChar"/>
          <w:rFonts w:asciiTheme="minorHAnsi" w:eastAsiaTheme="minorEastAsia" w:hAnsiTheme="minorHAnsi" w:cstheme="minorBidi"/>
          <w:i w:val="0"/>
          <w:iCs w:val="0"/>
          <w:color w:val="auto"/>
          <w:sz w:val="20"/>
          <w:szCs w:val="20"/>
        </w:rPr>
        <w:t>o</w:t>
      </w:r>
      <w:r w:rsidR="06A9B535" w:rsidRPr="6C54F3A7">
        <w:rPr>
          <w:rStyle w:val="K-TextInfoChar"/>
          <w:rFonts w:asciiTheme="minorHAnsi" w:eastAsiaTheme="minorEastAsia" w:hAnsiTheme="minorHAnsi" w:cstheme="minorBidi"/>
          <w:i w:val="0"/>
          <w:iCs w:val="0"/>
          <w:color w:val="auto"/>
          <w:sz w:val="20"/>
          <w:szCs w:val="20"/>
        </w:rPr>
        <w:t xml:space="preserve"> jak akademickou sférou z </w:t>
      </w:r>
      <w:r w:rsidRPr="6C54F3A7">
        <w:rPr>
          <w:rStyle w:val="K-TextInfoChar"/>
          <w:rFonts w:asciiTheme="minorHAnsi" w:eastAsiaTheme="minorEastAsia" w:hAnsiTheme="minorHAnsi" w:cstheme="minorBidi"/>
          <w:i w:val="0"/>
          <w:iCs w:val="0"/>
          <w:color w:val="auto"/>
          <w:sz w:val="20"/>
          <w:szCs w:val="20"/>
        </w:rPr>
        <w:t xml:space="preserve">oblasti aplikovaného </w:t>
      </w:r>
      <w:r w:rsidR="11C4B70F" w:rsidRPr="6C54F3A7">
        <w:rPr>
          <w:rStyle w:val="K-TextInfoChar"/>
          <w:rFonts w:asciiTheme="minorHAnsi" w:eastAsiaTheme="minorEastAsia" w:hAnsiTheme="minorHAnsi" w:cstheme="minorBidi"/>
          <w:i w:val="0"/>
          <w:iCs w:val="0"/>
          <w:color w:val="auto"/>
          <w:sz w:val="20"/>
          <w:szCs w:val="20"/>
        </w:rPr>
        <w:t>a </w:t>
      </w:r>
      <w:r w:rsidRPr="6C54F3A7">
        <w:rPr>
          <w:rStyle w:val="K-TextInfoChar"/>
          <w:rFonts w:asciiTheme="minorHAnsi" w:eastAsiaTheme="minorEastAsia" w:hAnsiTheme="minorHAnsi" w:cstheme="minorBidi"/>
          <w:i w:val="0"/>
          <w:iCs w:val="0"/>
          <w:color w:val="auto"/>
          <w:sz w:val="20"/>
          <w:szCs w:val="20"/>
        </w:rPr>
        <w:t>základního výzkumu</w:t>
      </w:r>
      <w:r w:rsidR="06A9B535" w:rsidRPr="6C54F3A7">
        <w:rPr>
          <w:rStyle w:val="K-TextInfoChar"/>
          <w:rFonts w:asciiTheme="minorHAnsi" w:eastAsiaTheme="minorEastAsia" w:hAnsiTheme="minorHAnsi" w:cstheme="minorBidi"/>
          <w:i w:val="0"/>
          <w:iCs w:val="0"/>
          <w:color w:val="auto"/>
          <w:sz w:val="20"/>
          <w:szCs w:val="20"/>
        </w:rPr>
        <w:t>, tak významn</w:t>
      </w:r>
      <w:r w:rsidR="2A21EA9A" w:rsidRPr="6C54F3A7">
        <w:rPr>
          <w:rStyle w:val="K-TextInfoChar"/>
          <w:rFonts w:asciiTheme="minorHAnsi" w:eastAsiaTheme="minorEastAsia" w:hAnsiTheme="minorHAnsi" w:cstheme="minorBidi"/>
          <w:i w:val="0"/>
          <w:iCs w:val="0"/>
          <w:color w:val="auto"/>
          <w:sz w:val="20"/>
          <w:szCs w:val="20"/>
        </w:rPr>
        <w:t>ými</w:t>
      </w:r>
      <w:r w:rsidR="06A9B535" w:rsidRPr="6C54F3A7">
        <w:rPr>
          <w:rStyle w:val="K-TextInfoChar"/>
          <w:rFonts w:asciiTheme="minorHAnsi" w:eastAsiaTheme="minorEastAsia" w:hAnsiTheme="minorHAnsi" w:cstheme="minorBidi"/>
          <w:i w:val="0"/>
          <w:iCs w:val="0"/>
          <w:color w:val="auto"/>
          <w:sz w:val="20"/>
          <w:szCs w:val="20"/>
        </w:rPr>
        <w:t xml:space="preserve"> zástupci sféry aplikační</w:t>
      </w:r>
      <w:r w:rsidR="2A21EA9A" w:rsidRPr="6C54F3A7">
        <w:rPr>
          <w:rStyle w:val="K-TextInfoChar"/>
          <w:rFonts w:asciiTheme="minorHAnsi" w:eastAsiaTheme="minorEastAsia" w:hAnsiTheme="minorHAnsi" w:cstheme="minorBidi"/>
          <w:i w:val="0"/>
          <w:iCs w:val="0"/>
          <w:color w:val="auto"/>
          <w:sz w:val="20"/>
          <w:szCs w:val="20"/>
        </w:rPr>
        <w:t>,</w:t>
      </w:r>
      <w:r w:rsidR="06A9B535" w:rsidRPr="6C54F3A7">
        <w:rPr>
          <w:rStyle w:val="K-TextInfoChar"/>
          <w:rFonts w:asciiTheme="minorHAnsi" w:eastAsiaTheme="minorEastAsia" w:hAnsiTheme="minorHAnsi" w:cstheme="minorBidi"/>
          <w:i w:val="0"/>
          <w:iCs w:val="0"/>
          <w:color w:val="auto"/>
          <w:sz w:val="20"/>
          <w:szCs w:val="20"/>
        </w:rPr>
        <w:t xml:space="preserve"> </w:t>
      </w:r>
      <w:r w:rsidR="2A21EA9A" w:rsidRPr="6C54F3A7">
        <w:rPr>
          <w:rStyle w:val="K-TextInfoChar"/>
          <w:rFonts w:asciiTheme="minorHAnsi" w:eastAsiaTheme="minorEastAsia" w:hAnsiTheme="minorHAnsi" w:cstheme="minorBidi"/>
          <w:i w:val="0"/>
          <w:iCs w:val="0"/>
          <w:color w:val="auto"/>
          <w:sz w:val="20"/>
          <w:szCs w:val="20"/>
        </w:rPr>
        <w:t xml:space="preserve">která </w:t>
      </w:r>
      <w:r w:rsidR="06A9B535" w:rsidRPr="6C54F3A7">
        <w:rPr>
          <w:rStyle w:val="K-TextInfoChar"/>
          <w:rFonts w:asciiTheme="minorHAnsi" w:eastAsiaTheme="minorEastAsia" w:hAnsiTheme="minorHAnsi" w:cstheme="minorBidi"/>
          <w:i w:val="0"/>
          <w:iCs w:val="0"/>
          <w:color w:val="auto"/>
          <w:sz w:val="20"/>
          <w:szCs w:val="20"/>
        </w:rPr>
        <w:t>zajišťuj</w:t>
      </w:r>
      <w:r w:rsidR="2A21EA9A" w:rsidRPr="6C54F3A7">
        <w:rPr>
          <w:rStyle w:val="K-TextInfoChar"/>
          <w:rFonts w:asciiTheme="minorHAnsi" w:eastAsiaTheme="minorEastAsia" w:hAnsiTheme="minorHAnsi" w:cstheme="minorBidi"/>
          <w:i w:val="0"/>
          <w:iCs w:val="0"/>
          <w:color w:val="auto"/>
          <w:sz w:val="20"/>
          <w:szCs w:val="20"/>
        </w:rPr>
        <w:t>e</w:t>
      </w:r>
      <w:r w:rsidR="06A9B535" w:rsidRPr="6C54F3A7">
        <w:rPr>
          <w:rStyle w:val="K-TextInfoChar"/>
          <w:rFonts w:asciiTheme="minorHAnsi" w:eastAsiaTheme="minorEastAsia" w:hAnsiTheme="minorHAnsi" w:cstheme="minorBidi"/>
          <w:i w:val="0"/>
          <w:iCs w:val="0"/>
          <w:color w:val="auto"/>
          <w:sz w:val="20"/>
          <w:szCs w:val="20"/>
        </w:rPr>
        <w:t xml:space="preserve"> </w:t>
      </w:r>
      <w:r w:rsidR="11C4B70F" w:rsidRPr="6C54F3A7">
        <w:rPr>
          <w:rStyle w:val="K-TextInfoChar"/>
          <w:rFonts w:asciiTheme="minorHAnsi" w:eastAsiaTheme="minorEastAsia" w:hAnsiTheme="minorHAnsi" w:cstheme="minorBidi"/>
          <w:i w:val="0"/>
          <w:iCs w:val="0"/>
          <w:color w:val="auto"/>
          <w:sz w:val="20"/>
          <w:szCs w:val="20"/>
        </w:rPr>
        <w:t>a </w:t>
      </w:r>
      <w:r w:rsidR="06A9B535" w:rsidRPr="6C54F3A7">
        <w:rPr>
          <w:rStyle w:val="K-TextInfoChar"/>
          <w:rFonts w:asciiTheme="minorHAnsi" w:eastAsiaTheme="minorEastAsia" w:hAnsiTheme="minorHAnsi" w:cstheme="minorBidi"/>
          <w:i w:val="0"/>
          <w:iCs w:val="0"/>
          <w:color w:val="auto"/>
          <w:sz w:val="20"/>
          <w:szCs w:val="20"/>
        </w:rPr>
        <w:t>kontroluj</w:t>
      </w:r>
      <w:r w:rsidR="2A21EA9A" w:rsidRPr="6C54F3A7">
        <w:rPr>
          <w:rStyle w:val="K-TextInfoChar"/>
          <w:rFonts w:asciiTheme="minorHAnsi" w:eastAsiaTheme="minorEastAsia" w:hAnsiTheme="minorHAnsi" w:cstheme="minorBidi"/>
          <w:i w:val="0"/>
          <w:iCs w:val="0"/>
          <w:color w:val="auto"/>
          <w:sz w:val="20"/>
          <w:szCs w:val="20"/>
        </w:rPr>
        <w:t>e</w:t>
      </w:r>
      <w:r w:rsidR="06A9B535" w:rsidRPr="6C54F3A7">
        <w:rPr>
          <w:rStyle w:val="K-TextInfoChar"/>
          <w:rFonts w:asciiTheme="minorHAnsi" w:eastAsiaTheme="minorEastAsia" w:hAnsiTheme="minorHAnsi" w:cstheme="minorBidi"/>
          <w:i w:val="0"/>
          <w:iCs w:val="0"/>
          <w:color w:val="auto"/>
          <w:sz w:val="20"/>
          <w:szCs w:val="20"/>
        </w:rPr>
        <w:t xml:space="preserve"> národní veřejné zdraví v</w:t>
      </w:r>
      <w:r w:rsidR="2A21EA9A" w:rsidRPr="6C54F3A7">
        <w:rPr>
          <w:rStyle w:val="K-TextInfoChar"/>
          <w:rFonts w:asciiTheme="minorHAnsi" w:eastAsiaTheme="minorEastAsia" w:hAnsiTheme="minorHAnsi" w:cstheme="minorBidi"/>
          <w:i w:val="0"/>
          <w:iCs w:val="0"/>
          <w:color w:val="auto"/>
          <w:sz w:val="20"/>
          <w:szCs w:val="20"/>
        </w:rPr>
        <w:t> </w:t>
      </w:r>
      <w:r w:rsidR="06A9B535" w:rsidRPr="6C54F3A7">
        <w:rPr>
          <w:rStyle w:val="K-TextInfoChar"/>
          <w:rFonts w:asciiTheme="minorHAnsi" w:eastAsiaTheme="minorEastAsia" w:hAnsiTheme="minorHAnsi" w:cstheme="minorBidi"/>
          <w:i w:val="0"/>
          <w:iCs w:val="0"/>
          <w:color w:val="auto"/>
          <w:sz w:val="20"/>
          <w:szCs w:val="20"/>
        </w:rPr>
        <w:t>ČR</w:t>
      </w:r>
      <w:r w:rsidR="2A21EA9A" w:rsidRPr="6C54F3A7">
        <w:rPr>
          <w:rStyle w:val="K-TextInfoChar"/>
          <w:rFonts w:asciiTheme="minorHAnsi" w:eastAsiaTheme="minorEastAsia" w:hAnsiTheme="minorHAnsi" w:cstheme="minorBidi"/>
          <w:i w:val="0"/>
          <w:iCs w:val="0"/>
          <w:color w:val="auto"/>
          <w:sz w:val="20"/>
          <w:szCs w:val="20"/>
        </w:rPr>
        <w:t>,</w:t>
      </w:r>
      <w:r w:rsidR="06A9B535" w:rsidRPr="6C54F3A7">
        <w:rPr>
          <w:rStyle w:val="K-TextInfoChar"/>
          <w:rFonts w:asciiTheme="minorHAnsi" w:eastAsiaTheme="minorEastAsia" w:hAnsiTheme="minorHAnsi" w:cstheme="minorBidi"/>
          <w:i w:val="0"/>
          <w:iCs w:val="0"/>
          <w:color w:val="auto"/>
          <w:sz w:val="20"/>
          <w:szCs w:val="20"/>
        </w:rPr>
        <w:t xml:space="preserve"> </w:t>
      </w:r>
      <w:r w:rsidR="11C4B70F" w:rsidRPr="6C54F3A7">
        <w:rPr>
          <w:rStyle w:val="K-TextInfoChar"/>
          <w:rFonts w:asciiTheme="minorHAnsi" w:eastAsiaTheme="minorEastAsia" w:hAnsiTheme="minorHAnsi" w:cstheme="minorBidi"/>
          <w:i w:val="0"/>
          <w:iCs w:val="0"/>
          <w:color w:val="auto"/>
          <w:sz w:val="20"/>
          <w:szCs w:val="20"/>
        </w:rPr>
        <w:t>a </w:t>
      </w:r>
      <w:r w:rsidR="2A21EA9A" w:rsidRPr="6C54F3A7">
        <w:rPr>
          <w:rStyle w:val="K-TextInfoChar"/>
          <w:rFonts w:asciiTheme="minorHAnsi" w:eastAsiaTheme="minorEastAsia" w:hAnsiTheme="minorHAnsi" w:cstheme="minorBidi"/>
          <w:i w:val="0"/>
          <w:iCs w:val="0"/>
          <w:color w:val="auto"/>
          <w:sz w:val="20"/>
          <w:szCs w:val="20"/>
        </w:rPr>
        <w:t>zástupci d</w:t>
      </w:r>
      <w:r w:rsidR="06A9B535" w:rsidRPr="6C54F3A7">
        <w:rPr>
          <w:rStyle w:val="K-TextInfoChar"/>
          <w:rFonts w:asciiTheme="minorHAnsi" w:eastAsiaTheme="minorEastAsia" w:hAnsiTheme="minorHAnsi" w:cstheme="minorBidi"/>
          <w:i w:val="0"/>
          <w:iCs w:val="0"/>
          <w:color w:val="auto"/>
          <w:sz w:val="20"/>
          <w:szCs w:val="20"/>
        </w:rPr>
        <w:t xml:space="preserve">alších složek veřejného života, státní správy </w:t>
      </w:r>
      <w:r w:rsidR="11C4B70F" w:rsidRPr="6C54F3A7">
        <w:rPr>
          <w:rStyle w:val="K-TextInfoChar"/>
          <w:rFonts w:asciiTheme="minorHAnsi" w:eastAsiaTheme="minorEastAsia" w:hAnsiTheme="minorHAnsi" w:cstheme="minorBidi"/>
          <w:i w:val="0"/>
          <w:iCs w:val="0"/>
          <w:color w:val="auto"/>
          <w:sz w:val="20"/>
          <w:szCs w:val="20"/>
        </w:rPr>
        <w:t>i </w:t>
      </w:r>
      <w:r w:rsidR="06A9B535" w:rsidRPr="6C54F3A7">
        <w:rPr>
          <w:rStyle w:val="K-TextInfoChar"/>
          <w:rFonts w:asciiTheme="minorHAnsi" w:eastAsiaTheme="minorEastAsia" w:hAnsiTheme="minorHAnsi" w:cstheme="minorBidi"/>
          <w:i w:val="0"/>
          <w:iCs w:val="0"/>
          <w:color w:val="auto"/>
          <w:sz w:val="20"/>
          <w:szCs w:val="20"/>
        </w:rPr>
        <w:t>z oblasti hospodářství.</w:t>
      </w:r>
      <w:r w:rsidRPr="6C54F3A7">
        <w:rPr>
          <w:rStyle w:val="K-TextInfoChar"/>
          <w:rFonts w:asciiTheme="minorHAnsi" w:eastAsiaTheme="minorEastAsia" w:hAnsiTheme="minorHAnsi" w:cstheme="minorBidi"/>
          <w:i w:val="0"/>
          <w:iCs w:val="0"/>
          <w:color w:val="auto"/>
          <w:sz w:val="20"/>
          <w:szCs w:val="20"/>
        </w:rPr>
        <w:t xml:space="preserve"> </w:t>
      </w:r>
      <w:r w:rsidR="72B128AB" w:rsidRPr="6C54F3A7">
        <w:rPr>
          <w:rStyle w:val="K-TextInfoChar"/>
          <w:rFonts w:asciiTheme="minorHAnsi" w:eastAsiaTheme="minorEastAsia" w:hAnsiTheme="minorHAnsi" w:cstheme="minorBidi"/>
          <w:i w:val="0"/>
          <w:iCs w:val="0"/>
          <w:color w:val="auto"/>
          <w:sz w:val="20"/>
          <w:szCs w:val="20"/>
        </w:rPr>
        <w:t>Vyjednány byly i s</w:t>
      </w:r>
      <w:r w:rsidR="0C38B540" w:rsidRPr="6C54F3A7">
        <w:rPr>
          <w:rStyle w:val="K-TextInfoChar"/>
          <w:rFonts w:asciiTheme="minorHAnsi" w:eastAsiaTheme="minorEastAsia" w:hAnsiTheme="minorHAnsi" w:cstheme="minorBidi"/>
          <w:i w:val="0"/>
          <w:iCs w:val="0"/>
          <w:color w:val="auto"/>
          <w:sz w:val="20"/>
          <w:szCs w:val="20"/>
        </w:rPr>
        <w:t>y</w:t>
      </w:r>
      <w:r w:rsidR="72B128AB" w:rsidRPr="6C54F3A7">
        <w:rPr>
          <w:rStyle w:val="K-TextInfoChar"/>
          <w:rFonts w:asciiTheme="minorHAnsi" w:eastAsiaTheme="minorEastAsia" w:hAnsiTheme="minorHAnsi" w:cstheme="minorBidi"/>
          <w:i w:val="0"/>
          <w:iCs w:val="0"/>
          <w:color w:val="auto"/>
          <w:sz w:val="20"/>
          <w:szCs w:val="20"/>
        </w:rPr>
        <w:t>nergie a komplementarita ke komponent</w:t>
      </w:r>
      <w:r w:rsidR="03DB39D4" w:rsidRPr="6C54F3A7">
        <w:rPr>
          <w:rStyle w:val="K-TextInfoChar"/>
          <w:rFonts w:asciiTheme="minorHAnsi" w:eastAsiaTheme="minorEastAsia" w:hAnsiTheme="minorHAnsi" w:cstheme="minorBidi"/>
          <w:i w:val="0"/>
          <w:iCs w:val="0"/>
          <w:color w:val="auto"/>
          <w:sz w:val="20"/>
          <w:szCs w:val="20"/>
        </w:rPr>
        <w:t xml:space="preserve">ám </w:t>
      </w:r>
      <w:r w:rsidR="6EA3A48F" w:rsidRPr="6C54F3A7">
        <w:rPr>
          <w:rStyle w:val="K-TextInfoChar"/>
          <w:rFonts w:asciiTheme="minorHAnsi" w:eastAsiaTheme="minorEastAsia" w:hAnsiTheme="minorHAnsi" w:cstheme="minorBidi"/>
          <w:i w:val="0"/>
          <w:iCs w:val="0"/>
          <w:color w:val="auto"/>
          <w:sz w:val="20"/>
          <w:szCs w:val="20"/>
        </w:rPr>
        <w:t>6.1. a</w:t>
      </w:r>
      <w:r w:rsidR="72B128AB" w:rsidRPr="6C54F3A7">
        <w:rPr>
          <w:rStyle w:val="K-TextInfoChar"/>
          <w:rFonts w:asciiTheme="minorHAnsi" w:eastAsiaTheme="minorEastAsia" w:hAnsiTheme="minorHAnsi" w:cstheme="minorBidi"/>
          <w:i w:val="0"/>
          <w:iCs w:val="0"/>
          <w:color w:val="auto"/>
          <w:sz w:val="20"/>
          <w:szCs w:val="20"/>
        </w:rPr>
        <w:t xml:space="preserve"> 6.2, kter</w:t>
      </w:r>
      <w:r w:rsidR="6EA3A48F" w:rsidRPr="6C54F3A7">
        <w:rPr>
          <w:rStyle w:val="K-TextInfoChar"/>
          <w:rFonts w:asciiTheme="minorHAnsi" w:eastAsiaTheme="minorEastAsia" w:hAnsiTheme="minorHAnsi" w:cstheme="minorBidi"/>
          <w:i w:val="0"/>
          <w:iCs w:val="0"/>
          <w:color w:val="auto"/>
          <w:sz w:val="20"/>
          <w:szCs w:val="20"/>
        </w:rPr>
        <w:t xml:space="preserve">é </w:t>
      </w:r>
      <w:r w:rsidR="676DCC98" w:rsidRPr="6C54F3A7">
        <w:rPr>
          <w:rStyle w:val="K-TextInfoChar"/>
          <w:rFonts w:asciiTheme="minorHAnsi" w:eastAsiaTheme="minorEastAsia" w:hAnsiTheme="minorHAnsi" w:cstheme="minorBidi"/>
          <w:i w:val="0"/>
          <w:iCs w:val="0"/>
          <w:color w:val="auto"/>
          <w:sz w:val="20"/>
          <w:szCs w:val="20"/>
        </w:rPr>
        <w:t>své aktivity zaměřují</w:t>
      </w:r>
      <w:r w:rsidR="6EA3A48F" w:rsidRPr="6C54F3A7">
        <w:rPr>
          <w:rStyle w:val="K-TextInfoChar"/>
          <w:rFonts w:asciiTheme="minorHAnsi" w:eastAsiaTheme="minorEastAsia" w:hAnsiTheme="minorHAnsi" w:cstheme="minorBidi"/>
          <w:i w:val="0"/>
          <w:iCs w:val="0"/>
          <w:color w:val="auto"/>
          <w:sz w:val="20"/>
          <w:szCs w:val="20"/>
        </w:rPr>
        <w:t xml:space="preserve"> </w:t>
      </w:r>
      <w:r w:rsidR="676DCC98" w:rsidRPr="6C54F3A7">
        <w:rPr>
          <w:rStyle w:val="K-TextInfoChar"/>
          <w:rFonts w:asciiTheme="minorHAnsi" w:eastAsiaTheme="minorEastAsia" w:hAnsiTheme="minorHAnsi" w:cstheme="minorBidi"/>
          <w:i w:val="0"/>
          <w:iCs w:val="0"/>
          <w:color w:val="auto"/>
          <w:sz w:val="20"/>
          <w:szCs w:val="20"/>
        </w:rPr>
        <w:t xml:space="preserve">na rozvoj samotné zdravotní </w:t>
      </w:r>
      <w:r w:rsidR="6EA3A48F" w:rsidRPr="6C54F3A7">
        <w:rPr>
          <w:rStyle w:val="K-TextInfoChar"/>
          <w:rFonts w:asciiTheme="minorHAnsi" w:eastAsiaTheme="minorEastAsia" w:hAnsiTheme="minorHAnsi" w:cstheme="minorBidi"/>
          <w:i w:val="0"/>
          <w:iCs w:val="0"/>
          <w:color w:val="auto"/>
          <w:sz w:val="20"/>
          <w:szCs w:val="20"/>
        </w:rPr>
        <w:t>péče</w:t>
      </w:r>
      <w:r w:rsidR="676DCC98" w:rsidRPr="6C54F3A7">
        <w:rPr>
          <w:rStyle w:val="K-TextInfoChar"/>
          <w:rFonts w:asciiTheme="minorHAnsi" w:eastAsiaTheme="minorEastAsia" w:hAnsiTheme="minorHAnsi" w:cstheme="minorBidi"/>
          <w:i w:val="0"/>
          <w:iCs w:val="0"/>
          <w:color w:val="auto"/>
          <w:sz w:val="20"/>
          <w:szCs w:val="20"/>
        </w:rPr>
        <w:t xml:space="preserve">, specializačního a postgraduálního vzdělávání zdravotnických pracovníků a rozvoj preventivních programů. </w:t>
      </w:r>
      <w:r w:rsidR="73BA50B8" w:rsidRPr="6C54F3A7">
        <w:rPr>
          <w:rStyle w:val="K-TextInfoChar"/>
          <w:rFonts w:asciiTheme="minorHAnsi" w:eastAsiaTheme="minorEastAsia" w:hAnsiTheme="minorHAnsi" w:cstheme="minorBidi"/>
          <w:i w:val="0"/>
          <w:iCs w:val="0"/>
          <w:color w:val="auto"/>
          <w:sz w:val="20"/>
          <w:szCs w:val="20"/>
        </w:rPr>
        <w:t>P</w:t>
      </w:r>
      <w:r w:rsidR="6EA3A48F" w:rsidRPr="6C54F3A7">
        <w:rPr>
          <w:rStyle w:val="K-TextInfoChar"/>
          <w:rFonts w:asciiTheme="minorHAnsi" w:eastAsiaTheme="minorEastAsia" w:hAnsiTheme="minorHAnsi" w:cstheme="minorBidi"/>
          <w:i w:val="0"/>
          <w:iCs w:val="0"/>
          <w:color w:val="auto"/>
          <w:sz w:val="20"/>
          <w:szCs w:val="20"/>
        </w:rPr>
        <w:t xml:space="preserve">ředmětem </w:t>
      </w:r>
      <w:r w:rsidR="73BA50B8" w:rsidRPr="6C54F3A7">
        <w:rPr>
          <w:rStyle w:val="K-TextInfoChar"/>
          <w:rFonts w:asciiTheme="minorHAnsi" w:eastAsiaTheme="minorEastAsia" w:hAnsiTheme="minorHAnsi" w:cstheme="minorBidi"/>
          <w:i w:val="0"/>
          <w:iCs w:val="0"/>
          <w:color w:val="auto"/>
          <w:sz w:val="20"/>
          <w:szCs w:val="20"/>
        </w:rPr>
        <w:t xml:space="preserve">této </w:t>
      </w:r>
      <w:r w:rsidR="6EA3A48F" w:rsidRPr="6C54F3A7">
        <w:rPr>
          <w:rStyle w:val="K-TextInfoChar"/>
          <w:rFonts w:asciiTheme="minorHAnsi" w:eastAsiaTheme="minorEastAsia" w:hAnsiTheme="minorHAnsi" w:cstheme="minorBidi"/>
          <w:i w:val="0"/>
          <w:iCs w:val="0"/>
          <w:color w:val="auto"/>
          <w:sz w:val="20"/>
          <w:szCs w:val="20"/>
        </w:rPr>
        <w:t>komponenty 5.1.</w:t>
      </w:r>
      <w:r w:rsidR="42ED0E70" w:rsidRPr="6C54F3A7">
        <w:rPr>
          <w:rStyle w:val="K-TextInfoChar"/>
          <w:rFonts w:asciiTheme="minorHAnsi" w:eastAsiaTheme="minorEastAsia" w:hAnsiTheme="minorHAnsi" w:cstheme="minorBidi"/>
          <w:i w:val="0"/>
          <w:iCs w:val="0"/>
          <w:color w:val="auto"/>
          <w:sz w:val="20"/>
          <w:szCs w:val="20"/>
        </w:rPr>
        <w:t xml:space="preserve"> </w:t>
      </w:r>
      <w:r w:rsidR="73BA50B8" w:rsidRPr="6C54F3A7">
        <w:rPr>
          <w:rStyle w:val="K-TextInfoChar"/>
          <w:rFonts w:asciiTheme="minorHAnsi" w:eastAsiaTheme="minorEastAsia" w:hAnsiTheme="minorHAnsi" w:cstheme="minorBidi"/>
          <w:i w:val="0"/>
          <w:iCs w:val="0"/>
          <w:color w:val="auto"/>
          <w:sz w:val="20"/>
          <w:szCs w:val="20"/>
        </w:rPr>
        <w:t xml:space="preserve">je komplementární stmelení </w:t>
      </w:r>
      <w:r w:rsidR="5F0C83A7" w:rsidRPr="6C54F3A7">
        <w:rPr>
          <w:rStyle w:val="K-TextInfoChar"/>
          <w:rFonts w:asciiTheme="minorHAnsi" w:eastAsiaTheme="minorEastAsia" w:hAnsiTheme="minorHAnsi" w:cstheme="minorBidi"/>
          <w:i w:val="0"/>
          <w:iCs w:val="0"/>
          <w:color w:val="auto"/>
          <w:sz w:val="20"/>
          <w:szCs w:val="20"/>
        </w:rPr>
        <w:t xml:space="preserve">existující oborové výzkumné infrastruktury v </w:t>
      </w:r>
      <w:r w:rsidR="5F0C83A7" w:rsidRPr="6C54F3A7">
        <w:rPr>
          <w:rStyle w:val="K-TextInfoChar"/>
          <w:rFonts w:asciiTheme="minorHAnsi" w:eastAsiaTheme="minorEastAsia" w:hAnsiTheme="minorHAnsi" w:cstheme="minorBidi"/>
          <w:i w:val="0"/>
          <w:iCs w:val="0"/>
          <w:color w:val="auto"/>
          <w:sz w:val="20"/>
          <w:szCs w:val="20"/>
        </w:rPr>
        <w:lastRenderedPageBreak/>
        <w:t>jednotnou platformu, na jím základě pak</w:t>
      </w:r>
      <w:r w:rsidR="73BA50B8" w:rsidRPr="6C54F3A7">
        <w:rPr>
          <w:rStyle w:val="K-TextInfoChar"/>
          <w:rFonts w:asciiTheme="minorHAnsi" w:eastAsiaTheme="minorEastAsia" w:hAnsiTheme="minorHAnsi" w:cstheme="minorBidi"/>
          <w:i w:val="0"/>
          <w:iCs w:val="0"/>
          <w:color w:val="auto"/>
          <w:sz w:val="20"/>
          <w:szCs w:val="20"/>
        </w:rPr>
        <w:t xml:space="preserve"> vybudování </w:t>
      </w:r>
      <w:r w:rsidR="5F0C83A7" w:rsidRPr="6C54F3A7">
        <w:rPr>
          <w:rStyle w:val="K-TextInfoChar"/>
          <w:rFonts w:asciiTheme="minorHAnsi" w:eastAsiaTheme="minorEastAsia" w:hAnsiTheme="minorHAnsi" w:cstheme="minorBidi"/>
          <w:i w:val="0"/>
          <w:iCs w:val="0"/>
          <w:color w:val="auto"/>
          <w:sz w:val="20"/>
          <w:szCs w:val="20"/>
        </w:rPr>
        <w:t xml:space="preserve">a rozvoj </w:t>
      </w:r>
      <w:r w:rsidR="73BA50B8" w:rsidRPr="6C54F3A7">
        <w:rPr>
          <w:rStyle w:val="K-TextInfoChar"/>
          <w:rFonts w:asciiTheme="minorHAnsi" w:eastAsiaTheme="minorEastAsia" w:hAnsiTheme="minorHAnsi" w:cstheme="minorBidi"/>
          <w:i w:val="0"/>
          <w:iCs w:val="0"/>
          <w:color w:val="auto"/>
          <w:sz w:val="20"/>
          <w:szCs w:val="20"/>
        </w:rPr>
        <w:t>kvalit</w:t>
      </w:r>
      <w:r w:rsidR="5F0C83A7" w:rsidRPr="6C54F3A7">
        <w:rPr>
          <w:rStyle w:val="K-TextInfoChar"/>
          <w:rFonts w:asciiTheme="minorHAnsi" w:eastAsiaTheme="minorEastAsia" w:hAnsiTheme="minorHAnsi" w:cstheme="minorBidi"/>
          <w:i w:val="0"/>
          <w:iCs w:val="0"/>
          <w:color w:val="auto"/>
          <w:sz w:val="20"/>
          <w:szCs w:val="20"/>
        </w:rPr>
        <w:t>ativně lepší</w:t>
      </w:r>
      <w:r w:rsidR="73BA50B8" w:rsidRPr="6C54F3A7">
        <w:rPr>
          <w:rStyle w:val="K-TextInfoChar"/>
          <w:rFonts w:asciiTheme="minorHAnsi" w:eastAsiaTheme="minorEastAsia" w:hAnsiTheme="minorHAnsi" w:cstheme="minorBidi"/>
          <w:i w:val="0"/>
          <w:iCs w:val="0"/>
          <w:color w:val="auto"/>
          <w:sz w:val="20"/>
          <w:szCs w:val="20"/>
        </w:rPr>
        <w:t xml:space="preserve"> vědecké základny</w:t>
      </w:r>
      <w:r w:rsidR="5F0C83A7" w:rsidRPr="6C54F3A7">
        <w:rPr>
          <w:rStyle w:val="K-TextInfoChar"/>
          <w:rFonts w:asciiTheme="minorHAnsi" w:eastAsiaTheme="minorEastAsia" w:hAnsiTheme="minorHAnsi" w:cstheme="minorBidi"/>
          <w:i w:val="0"/>
          <w:iCs w:val="0"/>
          <w:color w:val="auto"/>
          <w:sz w:val="20"/>
          <w:szCs w:val="20"/>
        </w:rPr>
        <w:t xml:space="preserve"> s efektivním využitím identifikovaného potenciálu v úzce vymezených prioritních oborech</w:t>
      </w:r>
      <w:r w:rsidR="73BA50B8" w:rsidRPr="6C54F3A7">
        <w:rPr>
          <w:rStyle w:val="K-TextInfoChar"/>
          <w:rFonts w:asciiTheme="minorHAnsi" w:eastAsiaTheme="minorEastAsia" w:hAnsiTheme="minorHAnsi" w:cstheme="minorBidi"/>
          <w:i w:val="0"/>
          <w:iCs w:val="0"/>
          <w:color w:val="auto"/>
          <w:sz w:val="20"/>
          <w:szCs w:val="20"/>
        </w:rPr>
        <w:t>. Investice do excelentního výzkumu v komponentě 5.1 n</w:t>
      </w:r>
      <w:r w:rsidR="73BA50B8" w:rsidRPr="71E36747">
        <w:rPr>
          <w:rFonts w:asciiTheme="minorHAnsi" w:eastAsiaTheme="minorEastAsia" w:hAnsiTheme="minorHAnsi" w:cstheme="minorBidi"/>
          <w:color w:val="auto"/>
          <w:sz w:val="20"/>
          <w:szCs w:val="20"/>
        </w:rPr>
        <w:t>e</w:t>
      </w:r>
      <w:r w:rsidR="66CA81D3" w:rsidRPr="71E36747">
        <w:rPr>
          <w:rFonts w:asciiTheme="minorHAnsi" w:eastAsiaTheme="minorEastAsia" w:hAnsiTheme="minorHAnsi" w:cstheme="minorBidi"/>
          <w:color w:val="auto"/>
          <w:sz w:val="20"/>
          <w:szCs w:val="20"/>
        </w:rPr>
        <w:t>podporuje vlastní léčebnou praxi</w:t>
      </w:r>
      <w:r w:rsidR="075C50D3" w:rsidRPr="71E36747">
        <w:rPr>
          <w:rFonts w:asciiTheme="minorHAnsi" w:eastAsiaTheme="minorEastAsia" w:hAnsiTheme="minorHAnsi" w:cstheme="minorBidi"/>
          <w:color w:val="auto"/>
          <w:sz w:val="20"/>
          <w:szCs w:val="20"/>
        </w:rPr>
        <w:t>,</w:t>
      </w:r>
      <w:r w:rsidR="66CA81D3" w:rsidRPr="71E36747">
        <w:rPr>
          <w:rFonts w:asciiTheme="minorHAnsi" w:eastAsiaTheme="minorEastAsia" w:hAnsiTheme="minorHAnsi" w:cstheme="minorBidi"/>
          <w:color w:val="auto"/>
          <w:sz w:val="20"/>
          <w:szCs w:val="20"/>
        </w:rPr>
        <w:t xml:space="preserve"> </w:t>
      </w:r>
      <w:r w:rsidR="5F0C83A7" w:rsidRPr="6C54F3A7">
        <w:rPr>
          <w:rStyle w:val="K-TextInfoChar"/>
          <w:rFonts w:asciiTheme="minorHAnsi" w:eastAsiaTheme="minorEastAsia" w:hAnsiTheme="minorHAnsi" w:cstheme="minorBidi"/>
          <w:i w:val="0"/>
          <w:iCs w:val="0"/>
          <w:color w:val="auto"/>
          <w:sz w:val="20"/>
          <w:szCs w:val="20"/>
        </w:rPr>
        <w:t xml:space="preserve">vznik ani provoz léčebných zařízení, ani konečnou fázi </w:t>
      </w:r>
      <w:r w:rsidR="792A8290" w:rsidRPr="6C54F3A7">
        <w:rPr>
          <w:rStyle w:val="K-TextInfoChar"/>
          <w:rFonts w:asciiTheme="minorHAnsi" w:eastAsiaTheme="minorEastAsia" w:hAnsiTheme="minorHAnsi" w:cstheme="minorBidi"/>
          <w:i w:val="0"/>
          <w:iCs w:val="0"/>
          <w:color w:val="auto"/>
          <w:sz w:val="20"/>
          <w:szCs w:val="20"/>
        </w:rPr>
        <w:t xml:space="preserve">vlastní </w:t>
      </w:r>
      <w:r w:rsidR="5F0C83A7" w:rsidRPr="6C54F3A7">
        <w:rPr>
          <w:rStyle w:val="K-TextInfoChar"/>
          <w:rFonts w:asciiTheme="minorHAnsi" w:eastAsiaTheme="minorEastAsia" w:hAnsiTheme="minorHAnsi" w:cstheme="minorBidi"/>
          <w:i w:val="0"/>
          <w:iCs w:val="0"/>
          <w:color w:val="auto"/>
          <w:sz w:val="20"/>
          <w:szCs w:val="20"/>
        </w:rPr>
        <w:t xml:space="preserve">implementace certifikovaných výsledků výzkumu do zdravotnické </w:t>
      </w:r>
      <w:proofErr w:type="gramStart"/>
      <w:r w:rsidR="5F0C83A7" w:rsidRPr="6C54F3A7">
        <w:rPr>
          <w:rStyle w:val="K-TextInfoChar"/>
          <w:rFonts w:asciiTheme="minorHAnsi" w:eastAsiaTheme="minorEastAsia" w:hAnsiTheme="minorHAnsi" w:cstheme="minorBidi"/>
          <w:i w:val="0"/>
          <w:iCs w:val="0"/>
          <w:color w:val="auto"/>
          <w:sz w:val="20"/>
          <w:szCs w:val="20"/>
        </w:rPr>
        <w:t>praxe,.</w:t>
      </w:r>
      <w:proofErr w:type="gramEnd"/>
      <w:r w:rsidR="5F0C83A7" w:rsidRPr="6C54F3A7">
        <w:rPr>
          <w:rStyle w:val="K-TextInfoChar"/>
          <w:rFonts w:asciiTheme="minorHAnsi" w:eastAsiaTheme="minorEastAsia" w:hAnsiTheme="minorHAnsi" w:cstheme="minorBidi"/>
          <w:i w:val="0"/>
          <w:iCs w:val="0"/>
          <w:color w:val="auto"/>
          <w:sz w:val="20"/>
          <w:szCs w:val="20"/>
        </w:rPr>
        <w:t xml:space="preserve"> </w:t>
      </w:r>
      <w:r w:rsidR="66CA81D3" w:rsidRPr="71E36747">
        <w:rPr>
          <w:rFonts w:asciiTheme="minorHAnsi" w:eastAsiaTheme="minorEastAsia" w:hAnsiTheme="minorHAnsi" w:cstheme="minorBidi"/>
          <w:color w:val="auto"/>
          <w:sz w:val="20"/>
          <w:szCs w:val="20"/>
        </w:rPr>
        <w:t xml:space="preserve">a proto </w:t>
      </w:r>
      <w:r w:rsidR="792A8290" w:rsidRPr="71E36747">
        <w:rPr>
          <w:rFonts w:asciiTheme="minorHAnsi" w:eastAsiaTheme="minorEastAsia" w:hAnsiTheme="minorHAnsi" w:cstheme="minorBidi"/>
          <w:color w:val="auto"/>
          <w:sz w:val="20"/>
          <w:szCs w:val="20"/>
        </w:rPr>
        <w:t xml:space="preserve">také </w:t>
      </w:r>
      <w:r w:rsidR="66CA81D3" w:rsidRPr="71E36747">
        <w:rPr>
          <w:rFonts w:asciiTheme="minorHAnsi" w:eastAsiaTheme="minorEastAsia" w:hAnsiTheme="minorHAnsi" w:cstheme="minorBidi"/>
          <w:color w:val="auto"/>
          <w:sz w:val="20"/>
          <w:szCs w:val="20"/>
        </w:rPr>
        <w:t xml:space="preserve">nebude mít </w:t>
      </w:r>
      <w:r w:rsidR="73BA50B8" w:rsidRPr="71E36747">
        <w:rPr>
          <w:rFonts w:asciiTheme="minorHAnsi" w:eastAsiaTheme="minorEastAsia" w:hAnsiTheme="minorHAnsi" w:cstheme="minorBidi"/>
          <w:color w:val="auto"/>
          <w:sz w:val="20"/>
          <w:szCs w:val="20"/>
        </w:rPr>
        <w:t>přímý dopad na pacienty</w:t>
      </w:r>
      <w:r w:rsidR="66CA81D3" w:rsidRPr="71E36747">
        <w:rPr>
          <w:rFonts w:asciiTheme="minorHAnsi" w:eastAsiaTheme="minorEastAsia" w:hAnsiTheme="minorHAnsi" w:cstheme="minorBidi"/>
          <w:color w:val="auto"/>
          <w:sz w:val="20"/>
          <w:szCs w:val="20"/>
        </w:rPr>
        <w:t>. Její investice s</w:t>
      </w:r>
      <w:r w:rsidR="73BA50B8" w:rsidRPr="71E36747">
        <w:rPr>
          <w:rFonts w:asciiTheme="minorHAnsi" w:eastAsiaTheme="minorEastAsia" w:hAnsiTheme="minorHAnsi" w:cstheme="minorBidi"/>
          <w:color w:val="auto"/>
          <w:sz w:val="20"/>
          <w:szCs w:val="20"/>
        </w:rPr>
        <w:t>měř</w:t>
      </w:r>
      <w:r w:rsidR="66CA81D3" w:rsidRPr="71E36747">
        <w:rPr>
          <w:rFonts w:asciiTheme="minorHAnsi" w:eastAsiaTheme="minorEastAsia" w:hAnsiTheme="minorHAnsi" w:cstheme="minorBidi"/>
          <w:color w:val="auto"/>
          <w:sz w:val="20"/>
          <w:szCs w:val="20"/>
        </w:rPr>
        <w:t>uje</w:t>
      </w:r>
      <w:r w:rsidR="73BA50B8" w:rsidRPr="71E36747">
        <w:rPr>
          <w:rFonts w:asciiTheme="minorHAnsi" w:eastAsiaTheme="minorEastAsia" w:hAnsiTheme="minorHAnsi" w:cstheme="minorBidi"/>
          <w:color w:val="auto"/>
          <w:sz w:val="20"/>
          <w:szCs w:val="20"/>
        </w:rPr>
        <w:t xml:space="preserve"> do </w:t>
      </w:r>
      <w:r w:rsidR="66CA81D3" w:rsidRPr="71E36747">
        <w:rPr>
          <w:rFonts w:asciiTheme="minorHAnsi" w:eastAsiaTheme="minorEastAsia" w:hAnsiTheme="minorHAnsi" w:cstheme="minorBidi"/>
          <w:color w:val="auto"/>
          <w:sz w:val="20"/>
          <w:szCs w:val="20"/>
        </w:rPr>
        <w:t xml:space="preserve">zdravotnických vědních </w:t>
      </w:r>
      <w:r w:rsidR="73BA50B8" w:rsidRPr="71E36747">
        <w:rPr>
          <w:rFonts w:asciiTheme="minorHAnsi" w:eastAsiaTheme="minorEastAsia" w:hAnsiTheme="minorHAnsi" w:cstheme="minorBidi"/>
          <w:color w:val="auto"/>
          <w:sz w:val="20"/>
          <w:szCs w:val="20"/>
        </w:rPr>
        <w:t>o</w:t>
      </w:r>
      <w:r w:rsidR="1BD3B38E" w:rsidRPr="71E36747">
        <w:rPr>
          <w:rFonts w:asciiTheme="minorHAnsi" w:eastAsiaTheme="minorEastAsia" w:hAnsiTheme="minorHAnsi" w:cstheme="minorBidi"/>
          <w:color w:val="auto"/>
          <w:sz w:val="20"/>
          <w:szCs w:val="20"/>
        </w:rPr>
        <w:t>b</w:t>
      </w:r>
      <w:r w:rsidR="73BA50B8" w:rsidRPr="71E36747">
        <w:rPr>
          <w:rFonts w:asciiTheme="minorHAnsi" w:eastAsiaTheme="minorEastAsia" w:hAnsiTheme="minorHAnsi" w:cstheme="minorBidi"/>
          <w:color w:val="auto"/>
          <w:sz w:val="20"/>
          <w:szCs w:val="20"/>
        </w:rPr>
        <w:t>or</w:t>
      </w:r>
      <w:r w:rsidR="66CA81D3" w:rsidRPr="71E36747">
        <w:rPr>
          <w:rFonts w:asciiTheme="minorHAnsi" w:eastAsiaTheme="minorEastAsia" w:hAnsiTheme="minorHAnsi" w:cstheme="minorBidi"/>
          <w:color w:val="auto"/>
          <w:sz w:val="20"/>
          <w:szCs w:val="20"/>
        </w:rPr>
        <w:t>ů</w:t>
      </w:r>
      <w:r w:rsidR="1BD3B38E" w:rsidRPr="71E36747">
        <w:rPr>
          <w:rFonts w:asciiTheme="minorHAnsi" w:eastAsiaTheme="minorEastAsia" w:hAnsiTheme="minorHAnsi" w:cstheme="minorBidi"/>
          <w:color w:val="auto"/>
          <w:sz w:val="20"/>
          <w:szCs w:val="20"/>
        </w:rPr>
        <w:t xml:space="preserve">, kde je statisticky identifikována </w:t>
      </w:r>
      <w:r w:rsidR="73BA50B8" w:rsidRPr="71E36747">
        <w:rPr>
          <w:rFonts w:asciiTheme="minorHAnsi" w:eastAsiaTheme="minorEastAsia" w:hAnsiTheme="minorHAnsi" w:cstheme="minorBidi"/>
          <w:color w:val="auto"/>
          <w:sz w:val="20"/>
          <w:szCs w:val="20"/>
        </w:rPr>
        <w:t xml:space="preserve">poměrně vysoká smrtnost a </w:t>
      </w:r>
      <w:r w:rsidR="1BD3B38E" w:rsidRPr="71E36747">
        <w:rPr>
          <w:rFonts w:asciiTheme="minorHAnsi" w:eastAsiaTheme="minorEastAsia" w:hAnsiTheme="minorHAnsi" w:cstheme="minorBidi"/>
          <w:color w:val="auto"/>
          <w:sz w:val="20"/>
          <w:szCs w:val="20"/>
        </w:rPr>
        <w:t xml:space="preserve">kde současně </w:t>
      </w:r>
      <w:r w:rsidR="73BA50B8" w:rsidRPr="71E36747">
        <w:rPr>
          <w:rFonts w:asciiTheme="minorHAnsi" w:eastAsiaTheme="minorEastAsia" w:hAnsiTheme="minorHAnsi" w:cstheme="minorBidi"/>
          <w:color w:val="auto"/>
          <w:sz w:val="20"/>
          <w:szCs w:val="20"/>
        </w:rPr>
        <w:t>ex</w:t>
      </w:r>
      <w:r w:rsidR="1BD3B38E" w:rsidRPr="71E36747">
        <w:rPr>
          <w:rFonts w:asciiTheme="minorHAnsi" w:eastAsiaTheme="minorEastAsia" w:hAnsiTheme="minorHAnsi" w:cstheme="minorBidi"/>
          <w:color w:val="auto"/>
          <w:sz w:val="20"/>
          <w:szCs w:val="20"/>
        </w:rPr>
        <w:t xml:space="preserve">istuje dostatečný </w:t>
      </w:r>
      <w:r w:rsidR="73BA50B8" w:rsidRPr="71E36747">
        <w:rPr>
          <w:rFonts w:asciiTheme="minorHAnsi" w:eastAsiaTheme="minorEastAsia" w:hAnsiTheme="minorHAnsi" w:cstheme="minorBidi"/>
          <w:color w:val="auto"/>
          <w:sz w:val="20"/>
          <w:szCs w:val="20"/>
        </w:rPr>
        <w:t>potenciál k</w:t>
      </w:r>
      <w:r w:rsidR="1BD3B38E" w:rsidRPr="71E36747">
        <w:rPr>
          <w:rFonts w:asciiTheme="minorHAnsi" w:eastAsiaTheme="minorEastAsia" w:hAnsiTheme="minorHAnsi" w:cstheme="minorBidi"/>
          <w:color w:val="auto"/>
          <w:sz w:val="20"/>
          <w:szCs w:val="20"/>
        </w:rPr>
        <w:t xml:space="preserve"> dosažení </w:t>
      </w:r>
      <w:r w:rsidR="73BA50B8" w:rsidRPr="71E36747">
        <w:rPr>
          <w:rFonts w:asciiTheme="minorHAnsi" w:eastAsiaTheme="minorEastAsia" w:hAnsiTheme="minorHAnsi" w:cstheme="minorBidi"/>
          <w:color w:val="auto"/>
          <w:sz w:val="20"/>
          <w:szCs w:val="20"/>
        </w:rPr>
        <w:t>excelenc</w:t>
      </w:r>
      <w:r w:rsidR="1BD3B38E" w:rsidRPr="71E36747">
        <w:rPr>
          <w:rFonts w:asciiTheme="minorHAnsi" w:eastAsiaTheme="minorEastAsia" w:hAnsiTheme="minorHAnsi" w:cstheme="minorBidi"/>
          <w:color w:val="auto"/>
          <w:sz w:val="20"/>
          <w:szCs w:val="20"/>
        </w:rPr>
        <w:t>e</w:t>
      </w:r>
      <w:r w:rsidR="66CA81D3" w:rsidRPr="71E36747">
        <w:rPr>
          <w:rFonts w:asciiTheme="minorHAnsi" w:eastAsiaTheme="minorEastAsia" w:hAnsiTheme="minorHAnsi" w:cstheme="minorBidi"/>
          <w:color w:val="auto"/>
          <w:sz w:val="20"/>
          <w:szCs w:val="20"/>
        </w:rPr>
        <w:t>, kde</w:t>
      </w:r>
      <w:r w:rsidR="73BA50B8" w:rsidRPr="71E36747">
        <w:rPr>
          <w:rFonts w:asciiTheme="minorHAnsi" w:eastAsiaTheme="minorEastAsia" w:hAnsiTheme="minorHAnsi" w:cstheme="minorBidi"/>
          <w:color w:val="auto"/>
          <w:sz w:val="20"/>
          <w:szCs w:val="20"/>
        </w:rPr>
        <w:t xml:space="preserve"> </w:t>
      </w:r>
      <w:r w:rsidR="1BD3B38E" w:rsidRPr="71E36747">
        <w:rPr>
          <w:rFonts w:asciiTheme="minorHAnsi" w:eastAsiaTheme="minorEastAsia" w:hAnsiTheme="minorHAnsi" w:cstheme="minorBidi"/>
          <w:color w:val="auto"/>
          <w:sz w:val="20"/>
          <w:szCs w:val="20"/>
        </w:rPr>
        <w:t>současně byly identifikovány existující zárodky</w:t>
      </w:r>
      <w:r w:rsidR="73BA50B8" w:rsidRPr="71E36747">
        <w:rPr>
          <w:rFonts w:asciiTheme="minorHAnsi" w:eastAsiaTheme="minorEastAsia" w:hAnsiTheme="minorHAnsi" w:cstheme="minorBidi"/>
          <w:color w:val="auto"/>
          <w:sz w:val="20"/>
          <w:szCs w:val="20"/>
        </w:rPr>
        <w:t xml:space="preserve"> spolupráce</w:t>
      </w:r>
      <w:r w:rsidR="66CA81D3" w:rsidRPr="71E36747">
        <w:rPr>
          <w:rFonts w:asciiTheme="minorHAnsi" w:eastAsiaTheme="minorEastAsia" w:hAnsiTheme="minorHAnsi" w:cstheme="minorBidi"/>
          <w:color w:val="auto"/>
          <w:sz w:val="20"/>
          <w:szCs w:val="20"/>
        </w:rPr>
        <w:t>.</w:t>
      </w:r>
      <w:r w:rsidR="005E44E2" w:rsidRPr="71E36747">
        <w:rPr>
          <w:rStyle w:val="Znakapoznpodarou"/>
          <w:rFonts w:asciiTheme="minorHAnsi" w:eastAsiaTheme="minorEastAsia" w:hAnsiTheme="minorHAnsi" w:cstheme="minorBidi"/>
          <w:color w:val="auto"/>
          <w:sz w:val="20"/>
          <w:szCs w:val="20"/>
        </w:rPr>
        <w:footnoteReference w:id="11"/>
      </w:r>
      <w:r w:rsidR="1BD3B38E" w:rsidRPr="71E36747">
        <w:rPr>
          <w:rFonts w:asciiTheme="minorHAnsi" w:eastAsiaTheme="minorEastAsia" w:hAnsiTheme="minorHAnsi" w:cstheme="minorBidi"/>
          <w:color w:val="auto"/>
          <w:sz w:val="20"/>
          <w:szCs w:val="20"/>
        </w:rPr>
        <w:t xml:space="preserve"> </w:t>
      </w:r>
    </w:p>
    <w:p w14:paraId="42CBE0B0" w14:textId="5711F2E5" w:rsidR="00E06C80" w:rsidRPr="00992741" w:rsidRDefault="09E333B7" w:rsidP="6C54F3A7">
      <w:pPr>
        <w:pStyle w:val="Briefinglist1"/>
        <w:keepLines w:val="0"/>
        <w:tabs>
          <w:tab w:val="clear" w:pos="284"/>
        </w:tabs>
        <w:spacing w:before="120"/>
        <w:ind w:left="0" w:firstLine="0"/>
        <w:rPr>
          <w:rStyle w:val="K-TextInfoChar"/>
          <w:rFonts w:asciiTheme="minorHAnsi" w:eastAsiaTheme="minorEastAsia" w:hAnsiTheme="minorHAnsi" w:cstheme="minorBidi"/>
          <w:i w:val="0"/>
          <w:iCs w:val="0"/>
          <w:color w:val="auto"/>
          <w:sz w:val="20"/>
          <w:szCs w:val="20"/>
          <w:lang w:val="cs-CZ"/>
        </w:rPr>
      </w:pPr>
      <w:r w:rsidRPr="6C54F3A7">
        <w:rPr>
          <w:rStyle w:val="K-TextInfoChar"/>
          <w:rFonts w:asciiTheme="minorHAnsi" w:eastAsiaTheme="minorEastAsia" w:hAnsiTheme="minorHAnsi" w:cstheme="minorBidi"/>
          <w:i w:val="0"/>
          <w:iCs w:val="0"/>
          <w:color w:val="auto"/>
          <w:sz w:val="20"/>
          <w:szCs w:val="20"/>
          <w:lang w:val="cs-CZ"/>
        </w:rPr>
        <w:t>K implementaci komponenty c</w:t>
      </w:r>
      <w:r w:rsidR="6C8AF0BD" w:rsidRPr="6C54F3A7">
        <w:rPr>
          <w:rStyle w:val="K-TextInfoChar"/>
          <w:rFonts w:asciiTheme="minorHAnsi" w:eastAsiaTheme="minorEastAsia" w:hAnsiTheme="minorHAnsi" w:cstheme="minorBidi"/>
          <w:i w:val="0"/>
          <w:iCs w:val="0"/>
          <w:color w:val="auto"/>
          <w:sz w:val="20"/>
          <w:szCs w:val="20"/>
          <w:lang w:val="cs-CZ"/>
        </w:rPr>
        <w:t xml:space="preserve">hceme využít </w:t>
      </w:r>
      <w:r w:rsidRPr="6C54F3A7">
        <w:rPr>
          <w:rStyle w:val="K-TextInfoChar"/>
          <w:rFonts w:asciiTheme="minorHAnsi" w:eastAsiaTheme="minorEastAsia" w:hAnsiTheme="minorHAnsi" w:cstheme="minorBidi"/>
          <w:i w:val="0"/>
          <w:iCs w:val="0"/>
          <w:color w:val="auto"/>
          <w:sz w:val="20"/>
          <w:szCs w:val="20"/>
          <w:lang w:val="cs-CZ"/>
        </w:rPr>
        <w:t xml:space="preserve">existující </w:t>
      </w:r>
      <w:r w:rsidR="6C8AF0BD" w:rsidRPr="6C54F3A7">
        <w:rPr>
          <w:rStyle w:val="K-TextInfoChar"/>
          <w:rFonts w:asciiTheme="minorHAnsi" w:eastAsiaTheme="minorEastAsia" w:hAnsiTheme="minorHAnsi" w:cstheme="minorBidi"/>
          <w:i w:val="0"/>
          <w:iCs w:val="0"/>
          <w:color w:val="auto"/>
          <w:sz w:val="20"/>
          <w:szCs w:val="20"/>
          <w:lang w:val="cs-CZ"/>
        </w:rPr>
        <w:t>syst</w:t>
      </w:r>
      <w:r w:rsidR="2A21EA9A" w:rsidRPr="6C54F3A7">
        <w:rPr>
          <w:rStyle w:val="K-TextInfoChar"/>
          <w:rFonts w:asciiTheme="minorHAnsi" w:eastAsiaTheme="minorEastAsia" w:hAnsiTheme="minorHAnsi" w:cstheme="minorBidi"/>
          <w:i w:val="0"/>
          <w:iCs w:val="0"/>
          <w:color w:val="auto"/>
          <w:sz w:val="20"/>
          <w:szCs w:val="20"/>
          <w:lang w:val="cs-CZ"/>
        </w:rPr>
        <w:t>émový</w:t>
      </w:r>
      <w:r w:rsidR="6C8AF0BD" w:rsidRPr="6C54F3A7">
        <w:rPr>
          <w:rStyle w:val="K-TextInfoChar"/>
          <w:rFonts w:asciiTheme="minorHAnsi" w:eastAsiaTheme="minorEastAsia" w:hAnsiTheme="minorHAnsi" w:cstheme="minorBidi"/>
          <w:i w:val="0"/>
          <w:iCs w:val="0"/>
          <w:color w:val="auto"/>
          <w:sz w:val="20"/>
          <w:szCs w:val="20"/>
          <w:lang w:val="cs-CZ"/>
        </w:rPr>
        <w:t xml:space="preserve"> nástroj podle vnitrostátního právního rámce</w:t>
      </w:r>
      <w:r w:rsidR="6116E19C" w:rsidRPr="6C54F3A7">
        <w:rPr>
          <w:rStyle w:val="K-TextInfoChar"/>
          <w:rFonts w:asciiTheme="minorHAnsi" w:eastAsiaTheme="minorEastAsia" w:hAnsiTheme="minorHAnsi" w:cstheme="minorBidi"/>
          <w:i w:val="0"/>
          <w:iCs w:val="0"/>
          <w:color w:val="auto"/>
          <w:sz w:val="20"/>
          <w:szCs w:val="20"/>
          <w:lang w:val="cs-CZ"/>
        </w:rPr>
        <w:t>, kterým je</w:t>
      </w:r>
      <w:r w:rsidR="6C8AF0BD" w:rsidRPr="6C54F3A7">
        <w:rPr>
          <w:rStyle w:val="K-TextInfoChar"/>
          <w:rFonts w:asciiTheme="minorHAnsi" w:eastAsiaTheme="minorEastAsia" w:hAnsiTheme="minorHAnsi" w:cstheme="minorBidi"/>
          <w:i w:val="0"/>
          <w:iCs w:val="0"/>
          <w:color w:val="auto"/>
          <w:sz w:val="20"/>
          <w:szCs w:val="20"/>
          <w:lang w:val="cs-CZ"/>
        </w:rPr>
        <w:t xml:space="preserve"> program </w:t>
      </w:r>
      <w:r w:rsidR="73D99CDC" w:rsidRPr="6C54F3A7">
        <w:rPr>
          <w:rStyle w:val="K-TextInfoChar"/>
          <w:rFonts w:asciiTheme="minorHAnsi" w:eastAsiaTheme="minorEastAsia" w:hAnsiTheme="minorHAnsi" w:cstheme="minorBidi"/>
          <w:i w:val="0"/>
          <w:iCs w:val="0"/>
          <w:color w:val="auto"/>
          <w:sz w:val="20"/>
          <w:szCs w:val="20"/>
          <w:lang w:val="cs-CZ"/>
        </w:rPr>
        <w:t xml:space="preserve">podpory </w:t>
      </w:r>
      <w:r w:rsidR="6C8AF0BD" w:rsidRPr="6C54F3A7">
        <w:rPr>
          <w:rStyle w:val="K-TextInfoChar"/>
          <w:rFonts w:asciiTheme="minorHAnsi" w:eastAsiaTheme="minorEastAsia" w:hAnsiTheme="minorHAnsi" w:cstheme="minorBidi"/>
          <w:i w:val="0"/>
          <w:iCs w:val="0"/>
          <w:color w:val="auto"/>
          <w:sz w:val="20"/>
          <w:szCs w:val="20"/>
          <w:lang w:val="cs-CZ"/>
        </w:rPr>
        <w:t xml:space="preserve">výzkumu </w:t>
      </w:r>
      <w:r w:rsidR="11C4B70F" w:rsidRPr="6C54F3A7">
        <w:rPr>
          <w:rStyle w:val="K-TextInfoChar"/>
          <w:rFonts w:asciiTheme="minorHAnsi" w:eastAsiaTheme="minorEastAsia" w:hAnsiTheme="minorHAnsi" w:cstheme="minorBidi"/>
          <w:i w:val="0"/>
          <w:iCs w:val="0"/>
          <w:color w:val="auto"/>
          <w:sz w:val="20"/>
          <w:szCs w:val="20"/>
          <w:lang w:val="cs-CZ"/>
        </w:rPr>
        <w:t>a </w:t>
      </w:r>
      <w:r w:rsidR="6C8AF0BD" w:rsidRPr="6C54F3A7">
        <w:rPr>
          <w:rStyle w:val="K-TextInfoChar"/>
          <w:rFonts w:asciiTheme="minorHAnsi" w:eastAsiaTheme="minorEastAsia" w:hAnsiTheme="minorHAnsi" w:cstheme="minorBidi"/>
          <w:i w:val="0"/>
          <w:iCs w:val="0"/>
          <w:color w:val="auto"/>
          <w:sz w:val="20"/>
          <w:szCs w:val="20"/>
          <w:lang w:val="cs-CZ"/>
        </w:rPr>
        <w:t>vývoje</w:t>
      </w:r>
      <w:r w:rsidR="5AF30959" w:rsidRPr="6C54F3A7">
        <w:rPr>
          <w:rStyle w:val="K-TextInfoChar"/>
          <w:rFonts w:asciiTheme="minorHAnsi" w:eastAsiaTheme="minorEastAsia" w:hAnsiTheme="minorHAnsi" w:cstheme="minorBidi"/>
          <w:i w:val="0"/>
          <w:iCs w:val="0"/>
          <w:color w:val="auto"/>
          <w:sz w:val="20"/>
          <w:szCs w:val="20"/>
          <w:lang w:val="cs-CZ"/>
        </w:rPr>
        <w:t xml:space="preserve"> </w:t>
      </w:r>
      <w:r w:rsidR="6116E19C" w:rsidRPr="6C54F3A7">
        <w:rPr>
          <w:rStyle w:val="K-TextInfoChar"/>
          <w:rFonts w:asciiTheme="minorHAnsi" w:eastAsiaTheme="minorEastAsia" w:hAnsiTheme="minorHAnsi" w:cstheme="minorBidi"/>
          <w:i w:val="0"/>
          <w:iCs w:val="0"/>
          <w:color w:val="auto"/>
          <w:sz w:val="20"/>
          <w:szCs w:val="20"/>
          <w:lang w:val="cs-CZ"/>
        </w:rPr>
        <w:t>podle zák. č. 130/2002 Sb</w:t>
      </w:r>
      <w:r w:rsidR="1F92DDBB" w:rsidRPr="6C54F3A7">
        <w:rPr>
          <w:rStyle w:val="K-TextInfoChar"/>
          <w:rFonts w:asciiTheme="minorHAnsi" w:eastAsiaTheme="minorEastAsia" w:hAnsiTheme="minorHAnsi" w:cstheme="minorBidi"/>
          <w:i w:val="0"/>
          <w:iCs w:val="0"/>
          <w:color w:val="auto"/>
          <w:sz w:val="20"/>
          <w:szCs w:val="20"/>
          <w:lang w:val="cs-CZ"/>
        </w:rPr>
        <w:t>.</w:t>
      </w:r>
      <w:r w:rsidR="00C55DFB" w:rsidRPr="71E36747">
        <w:rPr>
          <w:rStyle w:val="Znakapoznpodarou"/>
          <w:rFonts w:asciiTheme="minorHAnsi" w:eastAsiaTheme="minorEastAsia" w:hAnsiTheme="minorHAnsi" w:cstheme="minorBidi"/>
          <w:sz w:val="20"/>
          <w:szCs w:val="20"/>
          <w:lang w:val="cs-CZ"/>
        </w:rPr>
        <w:footnoteReference w:id="12"/>
      </w:r>
      <w:r w:rsidR="6116E19C" w:rsidRPr="6C54F3A7">
        <w:rPr>
          <w:rStyle w:val="K-TextInfoChar"/>
          <w:rFonts w:asciiTheme="minorHAnsi" w:eastAsiaTheme="minorEastAsia" w:hAnsiTheme="minorHAnsi" w:cstheme="minorBidi"/>
          <w:i w:val="0"/>
          <w:iCs w:val="0"/>
          <w:color w:val="auto"/>
          <w:sz w:val="20"/>
          <w:szCs w:val="20"/>
          <w:lang w:val="cs-CZ"/>
        </w:rPr>
        <w:t xml:space="preserve"> Program</w:t>
      </w:r>
      <w:r w:rsidR="6C8AF0BD" w:rsidRPr="6C54F3A7">
        <w:rPr>
          <w:rStyle w:val="K-TextInfoChar"/>
          <w:rFonts w:asciiTheme="minorHAnsi" w:eastAsiaTheme="minorEastAsia" w:hAnsiTheme="minorHAnsi" w:cstheme="minorBidi"/>
          <w:i w:val="0"/>
          <w:iCs w:val="0"/>
          <w:color w:val="auto"/>
          <w:sz w:val="20"/>
          <w:szCs w:val="20"/>
          <w:lang w:val="cs-CZ"/>
        </w:rPr>
        <w:t xml:space="preserve"> bude přísně moderován na principu „shora dolů“. </w:t>
      </w:r>
      <w:r w:rsidR="7EE73852" w:rsidRPr="6C54F3A7">
        <w:rPr>
          <w:rStyle w:val="K-TextInfoChar"/>
          <w:rFonts w:asciiTheme="minorHAnsi" w:eastAsiaTheme="minorEastAsia" w:hAnsiTheme="minorHAnsi" w:cstheme="minorBidi"/>
          <w:i w:val="0"/>
          <w:iCs w:val="0"/>
          <w:color w:val="auto"/>
          <w:sz w:val="20"/>
          <w:szCs w:val="20"/>
          <w:lang w:val="cs-CZ"/>
        </w:rPr>
        <w:t xml:space="preserve">Záměrem podpory </w:t>
      </w:r>
      <w:r w:rsidR="11C4B70F" w:rsidRPr="6C54F3A7">
        <w:rPr>
          <w:rStyle w:val="K-TextInfoChar"/>
          <w:rFonts w:asciiTheme="minorHAnsi" w:eastAsiaTheme="minorEastAsia" w:hAnsiTheme="minorHAnsi" w:cstheme="minorBidi"/>
          <w:i w:val="0"/>
          <w:iCs w:val="0"/>
          <w:color w:val="auto"/>
          <w:sz w:val="20"/>
          <w:szCs w:val="20"/>
          <w:lang w:val="cs-CZ"/>
        </w:rPr>
        <w:t>v </w:t>
      </w:r>
      <w:r w:rsidR="7EE73852" w:rsidRPr="6C54F3A7">
        <w:rPr>
          <w:rStyle w:val="K-TextInfoChar"/>
          <w:rFonts w:asciiTheme="minorHAnsi" w:eastAsiaTheme="minorEastAsia" w:hAnsiTheme="minorHAnsi" w:cstheme="minorBidi"/>
          <w:i w:val="0"/>
          <w:iCs w:val="0"/>
          <w:color w:val="auto"/>
          <w:sz w:val="20"/>
          <w:szCs w:val="20"/>
          <w:lang w:val="cs-CZ"/>
        </w:rPr>
        <w:t xml:space="preserve">programu je </w:t>
      </w:r>
      <w:r w:rsidR="6116E19C" w:rsidRPr="6C54F3A7">
        <w:rPr>
          <w:rStyle w:val="K-TextInfoChar"/>
          <w:rFonts w:asciiTheme="minorHAnsi" w:eastAsiaTheme="minorEastAsia" w:hAnsiTheme="minorHAnsi" w:cstheme="minorBidi"/>
          <w:i w:val="0"/>
          <w:iCs w:val="0"/>
          <w:color w:val="auto"/>
          <w:sz w:val="20"/>
          <w:szCs w:val="20"/>
          <w:lang w:val="cs-CZ"/>
        </w:rPr>
        <w:t xml:space="preserve">motivovat existujících špičkové vědecké týmy v ČR a </w:t>
      </w:r>
      <w:r w:rsidR="7EE73852" w:rsidRPr="6C54F3A7">
        <w:rPr>
          <w:rStyle w:val="K-TextInfoChar"/>
          <w:rFonts w:asciiTheme="minorHAnsi" w:eastAsiaTheme="minorEastAsia" w:hAnsiTheme="minorHAnsi" w:cstheme="minorBidi"/>
          <w:i w:val="0"/>
          <w:iCs w:val="0"/>
          <w:color w:val="auto"/>
          <w:sz w:val="20"/>
          <w:szCs w:val="20"/>
          <w:lang w:val="cs-CZ"/>
        </w:rPr>
        <w:t>iniciovat</w:t>
      </w:r>
      <w:r w:rsidR="6116E19C" w:rsidRPr="6C54F3A7">
        <w:rPr>
          <w:rStyle w:val="K-TextInfoChar"/>
          <w:rFonts w:asciiTheme="minorHAnsi" w:eastAsiaTheme="minorEastAsia" w:hAnsiTheme="minorHAnsi" w:cstheme="minorBidi"/>
          <w:i w:val="0"/>
          <w:iCs w:val="0"/>
          <w:color w:val="auto"/>
          <w:sz w:val="20"/>
          <w:szCs w:val="20"/>
          <w:lang w:val="cs-CZ"/>
        </w:rPr>
        <w:t xml:space="preserve"> jejich </w:t>
      </w:r>
      <w:r w:rsidR="7EE73852" w:rsidRPr="6C54F3A7">
        <w:rPr>
          <w:rStyle w:val="K-TextInfoChar"/>
          <w:rFonts w:asciiTheme="minorHAnsi" w:eastAsiaTheme="minorEastAsia" w:hAnsiTheme="minorHAnsi" w:cstheme="minorBidi"/>
          <w:i w:val="0"/>
          <w:iCs w:val="0"/>
          <w:color w:val="auto"/>
          <w:sz w:val="20"/>
          <w:szCs w:val="20"/>
          <w:lang w:val="cs-CZ"/>
        </w:rPr>
        <w:t>mobiliz</w:t>
      </w:r>
      <w:r w:rsidR="6116E19C" w:rsidRPr="6C54F3A7">
        <w:rPr>
          <w:rStyle w:val="K-TextInfoChar"/>
          <w:rFonts w:asciiTheme="minorHAnsi" w:eastAsiaTheme="minorEastAsia" w:hAnsiTheme="minorHAnsi" w:cstheme="minorBidi"/>
          <w:i w:val="0"/>
          <w:iCs w:val="0"/>
          <w:color w:val="auto"/>
          <w:sz w:val="20"/>
          <w:szCs w:val="20"/>
          <w:lang w:val="cs-CZ"/>
        </w:rPr>
        <w:t>aci k</w:t>
      </w:r>
      <w:r w:rsidR="7DCCBFCB" w:rsidRPr="6C54F3A7">
        <w:rPr>
          <w:rStyle w:val="K-TextInfoChar"/>
          <w:rFonts w:asciiTheme="minorHAnsi" w:eastAsiaTheme="minorEastAsia" w:hAnsiTheme="minorHAnsi" w:cstheme="minorBidi"/>
          <w:i w:val="0"/>
          <w:iCs w:val="0"/>
          <w:color w:val="auto"/>
          <w:sz w:val="20"/>
          <w:szCs w:val="20"/>
          <w:lang w:val="cs-CZ"/>
        </w:rPr>
        <w:t xml:space="preserve"> </w:t>
      </w:r>
      <w:r w:rsidR="7EE73852" w:rsidRPr="6C54F3A7">
        <w:rPr>
          <w:rStyle w:val="K-TextInfoChar"/>
          <w:rFonts w:asciiTheme="minorHAnsi" w:eastAsiaTheme="minorEastAsia" w:hAnsiTheme="minorHAnsi" w:cstheme="minorBidi"/>
          <w:i w:val="0"/>
          <w:iCs w:val="0"/>
          <w:color w:val="auto"/>
          <w:sz w:val="20"/>
          <w:szCs w:val="20"/>
          <w:lang w:val="cs-CZ"/>
        </w:rPr>
        <w:t>vytvoř</w:t>
      </w:r>
      <w:r w:rsidR="6116E19C" w:rsidRPr="6C54F3A7">
        <w:rPr>
          <w:rStyle w:val="K-TextInfoChar"/>
          <w:rFonts w:asciiTheme="minorHAnsi" w:eastAsiaTheme="minorEastAsia" w:hAnsiTheme="minorHAnsi" w:cstheme="minorBidi"/>
          <w:i w:val="0"/>
          <w:iCs w:val="0"/>
          <w:color w:val="auto"/>
          <w:sz w:val="20"/>
          <w:szCs w:val="20"/>
          <w:lang w:val="cs-CZ"/>
        </w:rPr>
        <w:t>ení</w:t>
      </w:r>
      <w:r w:rsidR="7EE73852" w:rsidRPr="6C54F3A7">
        <w:rPr>
          <w:rStyle w:val="K-TextInfoChar"/>
          <w:rFonts w:asciiTheme="minorHAnsi" w:eastAsiaTheme="minorEastAsia" w:hAnsiTheme="minorHAnsi" w:cstheme="minorBidi"/>
          <w:i w:val="0"/>
          <w:iCs w:val="0"/>
          <w:color w:val="auto"/>
          <w:sz w:val="20"/>
          <w:szCs w:val="20"/>
          <w:lang w:val="cs-CZ"/>
        </w:rPr>
        <w:t xml:space="preserve"> interinstitucionální</w:t>
      </w:r>
      <w:r w:rsidR="6116E19C" w:rsidRPr="6C54F3A7">
        <w:rPr>
          <w:rStyle w:val="K-TextInfoChar"/>
          <w:rFonts w:asciiTheme="minorHAnsi" w:eastAsiaTheme="minorEastAsia" w:hAnsiTheme="minorHAnsi" w:cstheme="minorBidi"/>
          <w:i w:val="0"/>
          <w:iCs w:val="0"/>
          <w:color w:val="auto"/>
          <w:sz w:val="20"/>
          <w:szCs w:val="20"/>
          <w:lang w:val="cs-CZ"/>
        </w:rPr>
        <w:t>ch</w:t>
      </w:r>
      <w:r w:rsidR="7EE73852" w:rsidRPr="6C54F3A7">
        <w:rPr>
          <w:rStyle w:val="K-TextInfoChar"/>
          <w:rFonts w:asciiTheme="minorHAnsi" w:eastAsiaTheme="minorEastAsia" w:hAnsiTheme="minorHAnsi" w:cstheme="minorBidi"/>
          <w:i w:val="0"/>
          <w:iCs w:val="0"/>
          <w:color w:val="auto"/>
          <w:sz w:val="20"/>
          <w:szCs w:val="20"/>
          <w:lang w:val="cs-CZ"/>
        </w:rPr>
        <w:t>, interdisciplinární</w:t>
      </w:r>
      <w:r w:rsidR="6116E19C" w:rsidRPr="6C54F3A7">
        <w:rPr>
          <w:rStyle w:val="K-TextInfoChar"/>
          <w:rFonts w:asciiTheme="minorHAnsi" w:eastAsiaTheme="minorEastAsia" w:hAnsiTheme="minorHAnsi" w:cstheme="minorBidi"/>
          <w:i w:val="0"/>
          <w:iCs w:val="0"/>
          <w:color w:val="auto"/>
          <w:sz w:val="20"/>
          <w:szCs w:val="20"/>
          <w:lang w:val="cs-CZ"/>
        </w:rPr>
        <w:t>ch,</w:t>
      </w:r>
      <w:r w:rsidR="7EE73852" w:rsidRPr="6C54F3A7">
        <w:rPr>
          <w:rStyle w:val="K-TextInfoChar"/>
          <w:rFonts w:asciiTheme="minorHAnsi" w:eastAsiaTheme="minorEastAsia" w:hAnsiTheme="minorHAnsi" w:cstheme="minorBidi"/>
          <w:i w:val="0"/>
          <w:iCs w:val="0"/>
          <w:color w:val="auto"/>
          <w:sz w:val="20"/>
          <w:szCs w:val="20"/>
          <w:lang w:val="cs-CZ"/>
        </w:rPr>
        <w:t xml:space="preserve"> </w:t>
      </w:r>
      <w:r w:rsidR="6116E19C" w:rsidRPr="6C54F3A7">
        <w:rPr>
          <w:rStyle w:val="K-TextInfoChar"/>
          <w:rFonts w:asciiTheme="minorHAnsi" w:eastAsiaTheme="minorEastAsia" w:hAnsiTheme="minorHAnsi" w:cstheme="minorBidi"/>
          <w:i w:val="0"/>
          <w:iCs w:val="0"/>
          <w:color w:val="auto"/>
          <w:sz w:val="20"/>
          <w:szCs w:val="20"/>
          <w:lang w:val="cs-CZ"/>
        </w:rPr>
        <w:t xml:space="preserve">národních </w:t>
      </w:r>
      <w:r w:rsidR="11C4B70F" w:rsidRPr="6C54F3A7">
        <w:rPr>
          <w:rStyle w:val="K-TextInfoChar"/>
          <w:rFonts w:asciiTheme="minorHAnsi" w:eastAsiaTheme="minorEastAsia" w:hAnsiTheme="minorHAnsi" w:cstheme="minorBidi"/>
          <w:i w:val="0"/>
          <w:iCs w:val="0"/>
          <w:color w:val="auto"/>
          <w:sz w:val="20"/>
          <w:szCs w:val="20"/>
          <w:lang w:val="cs-CZ"/>
        </w:rPr>
        <w:t>a </w:t>
      </w:r>
      <w:r w:rsidR="7EE73852" w:rsidRPr="6C54F3A7">
        <w:rPr>
          <w:rStyle w:val="K-TextInfoChar"/>
          <w:rFonts w:asciiTheme="minorHAnsi" w:eastAsiaTheme="minorEastAsia" w:hAnsiTheme="minorHAnsi" w:cstheme="minorBidi"/>
          <w:i w:val="0"/>
          <w:iCs w:val="0"/>
          <w:color w:val="auto"/>
          <w:sz w:val="20"/>
          <w:szCs w:val="20"/>
          <w:lang w:val="cs-CZ"/>
        </w:rPr>
        <w:t>mezinárodn</w:t>
      </w:r>
      <w:r w:rsidR="6116E19C" w:rsidRPr="6C54F3A7">
        <w:rPr>
          <w:rStyle w:val="K-TextInfoChar"/>
          <w:rFonts w:asciiTheme="minorHAnsi" w:eastAsiaTheme="minorEastAsia" w:hAnsiTheme="minorHAnsi" w:cstheme="minorBidi"/>
          <w:i w:val="0"/>
          <w:iCs w:val="0"/>
          <w:color w:val="auto"/>
          <w:sz w:val="20"/>
          <w:szCs w:val="20"/>
          <w:lang w:val="cs-CZ"/>
        </w:rPr>
        <w:t>ě etablovaných vědeckých platforem</w:t>
      </w:r>
      <w:r w:rsidR="7EE73852" w:rsidRPr="6C54F3A7">
        <w:rPr>
          <w:rStyle w:val="K-TextInfoChar"/>
          <w:rFonts w:asciiTheme="minorHAnsi" w:eastAsiaTheme="minorEastAsia" w:hAnsiTheme="minorHAnsi" w:cstheme="minorBidi"/>
          <w:i w:val="0"/>
          <w:iCs w:val="0"/>
          <w:color w:val="auto"/>
          <w:sz w:val="20"/>
          <w:szCs w:val="20"/>
          <w:lang w:val="cs-CZ"/>
        </w:rPr>
        <w:t>, které projdou přísným hodnocením</w:t>
      </w:r>
      <w:r w:rsidR="6116E19C" w:rsidRPr="6C54F3A7">
        <w:rPr>
          <w:rStyle w:val="K-TextInfoChar"/>
          <w:rFonts w:asciiTheme="minorHAnsi" w:eastAsiaTheme="minorEastAsia" w:hAnsiTheme="minorHAnsi" w:cstheme="minorBidi"/>
          <w:i w:val="0"/>
          <w:iCs w:val="0"/>
          <w:color w:val="auto"/>
          <w:sz w:val="20"/>
          <w:szCs w:val="20"/>
          <w:lang w:val="cs-CZ"/>
        </w:rPr>
        <w:t xml:space="preserve">, které budou mít jasnou perspektivu následného institucionálního financování a které budou </w:t>
      </w:r>
      <w:r w:rsidR="7EE73852" w:rsidRPr="6C54F3A7">
        <w:rPr>
          <w:rStyle w:val="K-TextInfoChar"/>
          <w:rFonts w:asciiTheme="minorHAnsi" w:eastAsiaTheme="minorEastAsia" w:hAnsiTheme="minorHAnsi" w:cstheme="minorBidi"/>
          <w:i w:val="0"/>
          <w:iCs w:val="0"/>
          <w:color w:val="auto"/>
          <w:sz w:val="20"/>
          <w:szCs w:val="20"/>
          <w:lang w:val="cs-CZ"/>
        </w:rPr>
        <w:t xml:space="preserve">zakotveny v evropských </w:t>
      </w:r>
      <w:r w:rsidR="11C4B70F" w:rsidRPr="6C54F3A7">
        <w:rPr>
          <w:rStyle w:val="K-TextInfoChar"/>
          <w:rFonts w:asciiTheme="minorHAnsi" w:eastAsiaTheme="minorEastAsia" w:hAnsiTheme="minorHAnsi" w:cstheme="minorBidi"/>
          <w:i w:val="0"/>
          <w:iCs w:val="0"/>
          <w:color w:val="auto"/>
          <w:sz w:val="20"/>
          <w:szCs w:val="20"/>
          <w:lang w:val="cs-CZ"/>
        </w:rPr>
        <w:t>a </w:t>
      </w:r>
      <w:r w:rsidR="7EE73852" w:rsidRPr="6C54F3A7">
        <w:rPr>
          <w:rStyle w:val="K-TextInfoChar"/>
          <w:rFonts w:asciiTheme="minorHAnsi" w:eastAsiaTheme="minorEastAsia" w:hAnsiTheme="minorHAnsi" w:cstheme="minorBidi"/>
          <w:i w:val="0"/>
          <w:iCs w:val="0"/>
          <w:color w:val="auto"/>
          <w:sz w:val="20"/>
          <w:szCs w:val="20"/>
          <w:lang w:val="cs-CZ"/>
        </w:rPr>
        <w:t>globálních výzkumných sítích, které se řídí mezinárodně konkurenčním modelem správy</w:t>
      </w:r>
      <w:r w:rsidR="004452D3" w:rsidRPr="71E36747">
        <w:rPr>
          <w:rStyle w:val="Znakapoznpodarou"/>
          <w:rFonts w:asciiTheme="minorHAnsi" w:eastAsiaTheme="minorEastAsia" w:hAnsiTheme="minorHAnsi" w:cstheme="minorBidi"/>
          <w:sz w:val="20"/>
          <w:szCs w:val="20"/>
          <w:lang w:val="cs-CZ"/>
        </w:rPr>
        <w:footnoteReference w:id="13"/>
      </w:r>
      <w:r w:rsidR="7DCCBFCB" w:rsidRPr="6C54F3A7">
        <w:rPr>
          <w:rStyle w:val="K-TextInfoChar"/>
          <w:rFonts w:asciiTheme="minorHAnsi" w:eastAsiaTheme="minorEastAsia" w:hAnsiTheme="minorHAnsi" w:cstheme="minorBidi"/>
          <w:i w:val="0"/>
          <w:iCs w:val="0"/>
          <w:color w:val="auto"/>
          <w:sz w:val="20"/>
          <w:szCs w:val="20"/>
          <w:lang w:val="cs-CZ"/>
        </w:rPr>
        <w:t>.</w:t>
      </w:r>
      <w:r w:rsidR="73D99CDC" w:rsidRPr="6C54F3A7">
        <w:rPr>
          <w:rStyle w:val="K-TextInfoChar"/>
          <w:rFonts w:asciiTheme="minorHAnsi" w:eastAsiaTheme="minorEastAsia" w:hAnsiTheme="minorHAnsi" w:cstheme="minorBidi"/>
          <w:i w:val="0"/>
          <w:iCs w:val="0"/>
          <w:color w:val="auto"/>
          <w:sz w:val="20"/>
          <w:szCs w:val="20"/>
        </w:rPr>
        <w:t xml:space="preserve"> </w:t>
      </w:r>
    </w:p>
    <w:p w14:paraId="642B9F73" w14:textId="3C5DFB6B" w:rsidR="00D04686" w:rsidRPr="00F34B12" w:rsidRDefault="32BE3F28" w:rsidP="6C54F3A7">
      <w:pPr>
        <w:pStyle w:val="Briefinglist1"/>
        <w:keepLines w:val="0"/>
        <w:tabs>
          <w:tab w:val="clear" w:pos="284"/>
        </w:tabs>
        <w:spacing w:before="120"/>
        <w:ind w:left="0" w:firstLine="0"/>
        <w:rPr>
          <w:rStyle w:val="K-TextInfoChar"/>
          <w:rFonts w:asciiTheme="minorHAnsi" w:eastAsiaTheme="minorEastAsia" w:hAnsiTheme="minorHAnsi" w:cstheme="minorBidi"/>
          <w:i w:val="0"/>
          <w:iCs w:val="0"/>
          <w:color w:val="auto"/>
          <w:sz w:val="20"/>
          <w:szCs w:val="20"/>
          <w:lang w:val="cs-CZ"/>
        </w:rPr>
      </w:pPr>
      <w:r w:rsidRPr="6C54F3A7">
        <w:rPr>
          <w:rStyle w:val="K-TextInfoChar"/>
          <w:rFonts w:asciiTheme="minorHAnsi" w:eastAsiaTheme="minorEastAsia" w:hAnsiTheme="minorHAnsi" w:cstheme="minorBidi"/>
          <w:i w:val="0"/>
          <w:iCs w:val="0"/>
          <w:color w:val="auto"/>
          <w:sz w:val="20"/>
          <w:szCs w:val="20"/>
          <w:lang w:val="cs-CZ"/>
        </w:rPr>
        <w:t xml:space="preserve">K zvýšení efektivity vkládaných veřejných prostředků bude investice do zdravotnického výzkumu realizována programovými </w:t>
      </w:r>
      <w:proofErr w:type="spellStart"/>
      <w:r w:rsidRPr="6C54F3A7">
        <w:rPr>
          <w:rStyle w:val="K-TextInfoChar"/>
          <w:rFonts w:asciiTheme="minorHAnsi" w:eastAsiaTheme="minorEastAsia" w:hAnsiTheme="minorHAnsi" w:cstheme="minorBidi"/>
          <w:i w:val="0"/>
          <w:iCs w:val="0"/>
          <w:color w:val="auto"/>
          <w:sz w:val="20"/>
          <w:szCs w:val="20"/>
          <w:lang w:val="cs-CZ"/>
        </w:rPr>
        <w:t>VaV</w:t>
      </w:r>
      <w:proofErr w:type="spellEnd"/>
      <w:r w:rsidRPr="6C54F3A7">
        <w:rPr>
          <w:rStyle w:val="K-TextInfoChar"/>
          <w:rFonts w:asciiTheme="minorHAnsi" w:eastAsiaTheme="minorEastAsia" w:hAnsiTheme="minorHAnsi" w:cstheme="minorBidi"/>
          <w:i w:val="0"/>
          <w:iCs w:val="0"/>
          <w:color w:val="auto"/>
          <w:sz w:val="20"/>
          <w:szCs w:val="20"/>
          <w:lang w:val="cs-CZ"/>
        </w:rPr>
        <w:t xml:space="preserve"> projekty, vybranými v transparentní veřejné soutěži ve </w:t>
      </w:r>
      <w:proofErr w:type="spellStart"/>
      <w:r w:rsidRPr="6C54F3A7">
        <w:rPr>
          <w:rStyle w:val="K-TextInfoChar"/>
          <w:rFonts w:asciiTheme="minorHAnsi" w:eastAsiaTheme="minorEastAsia" w:hAnsiTheme="minorHAnsi" w:cstheme="minorBidi"/>
          <w:i w:val="0"/>
          <w:iCs w:val="0"/>
          <w:color w:val="auto"/>
          <w:sz w:val="20"/>
          <w:szCs w:val="20"/>
          <w:lang w:val="cs-CZ"/>
        </w:rPr>
        <w:t>VaVaI</w:t>
      </w:r>
      <w:proofErr w:type="spellEnd"/>
      <w:r w:rsidRPr="6C54F3A7">
        <w:rPr>
          <w:rStyle w:val="K-TextInfoChar"/>
          <w:rFonts w:asciiTheme="minorHAnsi" w:eastAsiaTheme="minorEastAsia" w:hAnsiTheme="minorHAnsi" w:cstheme="minorBidi"/>
          <w:i w:val="0"/>
          <w:iCs w:val="0"/>
          <w:color w:val="auto"/>
          <w:sz w:val="20"/>
          <w:szCs w:val="20"/>
          <w:lang w:val="cs-CZ"/>
        </w:rPr>
        <w:t xml:space="preserve"> a nesmí být rozpuštěna pouze v provozních nákladech. Proto je i</w:t>
      </w:r>
      <w:r w:rsidR="7EE73852" w:rsidRPr="6C54F3A7">
        <w:rPr>
          <w:rStyle w:val="K-TextInfoChar"/>
          <w:rFonts w:asciiTheme="minorHAnsi" w:eastAsiaTheme="minorEastAsia" w:hAnsiTheme="minorHAnsi" w:cstheme="minorBidi"/>
          <w:i w:val="0"/>
          <w:iCs w:val="0"/>
          <w:color w:val="auto"/>
          <w:sz w:val="20"/>
          <w:szCs w:val="20"/>
          <w:lang w:val="cs-CZ"/>
        </w:rPr>
        <w:t>mplementace nového programu je založena na</w:t>
      </w:r>
      <w:r w:rsidR="7DCCBFCB" w:rsidRPr="6C54F3A7">
        <w:rPr>
          <w:rStyle w:val="K-TextInfoChar"/>
          <w:rFonts w:asciiTheme="minorHAnsi" w:eastAsiaTheme="minorEastAsia" w:hAnsiTheme="minorHAnsi" w:cstheme="minorBidi"/>
          <w:i w:val="0"/>
          <w:iCs w:val="0"/>
          <w:color w:val="auto"/>
          <w:sz w:val="20"/>
          <w:szCs w:val="20"/>
          <w:lang w:val="cs-CZ"/>
        </w:rPr>
        <w:t> </w:t>
      </w:r>
      <w:r w:rsidR="7EE73852" w:rsidRPr="6C54F3A7">
        <w:rPr>
          <w:rStyle w:val="K-TextInfoChar"/>
          <w:rFonts w:asciiTheme="minorHAnsi" w:eastAsiaTheme="minorEastAsia" w:hAnsiTheme="minorHAnsi" w:cstheme="minorBidi"/>
          <w:i w:val="0"/>
          <w:iCs w:val="0"/>
          <w:color w:val="auto"/>
          <w:sz w:val="20"/>
          <w:szCs w:val="20"/>
          <w:lang w:val="cs-CZ"/>
        </w:rPr>
        <w:t xml:space="preserve">ověřených schématech předepsaných </w:t>
      </w:r>
      <w:r w:rsidR="2A21EA9A" w:rsidRPr="6C54F3A7">
        <w:rPr>
          <w:rStyle w:val="K-TextInfoChar"/>
          <w:rFonts w:asciiTheme="minorHAnsi" w:eastAsiaTheme="minorEastAsia" w:hAnsiTheme="minorHAnsi" w:cstheme="minorBidi"/>
          <w:i w:val="0"/>
          <w:iCs w:val="0"/>
          <w:color w:val="auto"/>
          <w:sz w:val="20"/>
          <w:szCs w:val="20"/>
          <w:lang w:val="cs-CZ"/>
        </w:rPr>
        <w:t xml:space="preserve">národní </w:t>
      </w:r>
      <w:r w:rsidR="11C4B70F" w:rsidRPr="6C54F3A7">
        <w:rPr>
          <w:rStyle w:val="K-TextInfoChar"/>
          <w:rFonts w:asciiTheme="minorHAnsi" w:eastAsiaTheme="minorEastAsia" w:hAnsiTheme="minorHAnsi" w:cstheme="minorBidi"/>
          <w:i w:val="0"/>
          <w:iCs w:val="0"/>
          <w:color w:val="auto"/>
          <w:sz w:val="20"/>
          <w:szCs w:val="20"/>
          <w:lang w:val="cs-CZ"/>
        </w:rPr>
        <w:t>i </w:t>
      </w:r>
      <w:r w:rsidR="2A21EA9A" w:rsidRPr="6C54F3A7">
        <w:rPr>
          <w:rStyle w:val="K-TextInfoChar"/>
          <w:rFonts w:asciiTheme="minorHAnsi" w:eastAsiaTheme="minorEastAsia" w:hAnsiTheme="minorHAnsi" w:cstheme="minorBidi"/>
          <w:i w:val="0"/>
          <w:iCs w:val="0"/>
          <w:color w:val="auto"/>
          <w:sz w:val="20"/>
          <w:szCs w:val="20"/>
          <w:lang w:val="cs-CZ"/>
        </w:rPr>
        <w:t xml:space="preserve">evropskou legislativou, </w:t>
      </w:r>
      <w:r w:rsidR="7EE73852" w:rsidRPr="6C54F3A7">
        <w:rPr>
          <w:rStyle w:val="K-TextInfoChar"/>
          <w:rFonts w:asciiTheme="minorHAnsi" w:eastAsiaTheme="minorEastAsia" w:hAnsiTheme="minorHAnsi" w:cstheme="minorBidi"/>
          <w:i w:val="0"/>
          <w:iCs w:val="0"/>
          <w:color w:val="auto"/>
          <w:sz w:val="20"/>
          <w:szCs w:val="20"/>
          <w:lang w:val="cs-CZ"/>
        </w:rPr>
        <w:t>zák.</w:t>
      </w:r>
      <w:r w:rsidR="21B45BCE" w:rsidRPr="6C54F3A7">
        <w:rPr>
          <w:rStyle w:val="K-TextInfoChar"/>
          <w:rFonts w:asciiTheme="minorHAnsi" w:eastAsiaTheme="minorEastAsia" w:hAnsiTheme="minorHAnsi" w:cstheme="minorBidi"/>
          <w:i w:val="0"/>
          <w:iCs w:val="0"/>
          <w:color w:val="auto"/>
          <w:sz w:val="20"/>
          <w:szCs w:val="20"/>
          <w:lang w:val="cs-CZ"/>
        </w:rPr>
        <w:t xml:space="preserve"> </w:t>
      </w:r>
      <w:r w:rsidR="7EE73852" w:rsidRPr="6C54F3A7">
        <w:rPr>
          <w:rStyle w:val="K-TextInfoChar"/>
          <w:rFonts w:asciiTheme="minorHAnsi" w:eastAsiaTheme="minorEastAsia" w:hAnsiTheme="minorHAnsi" w:cstheme="minorBidi"/>
          <w:i w:val="0"/>
          <w:iCs w:val="0"/>
          <w:color w:val="auto"/>
          <w:sz w:val="20"/>
          <w:szCs w:val="20"/>
          <w:lang w:val="cs-CZ"/>
        </w:rPr>
        <w:t>č.130/2002Sb.</w:t>
      </w:r>
      <w:r w:rsidR="54DE6BBA" w:rsidRPr="6C54F3A7">
        <w:rPr>
          <w:rStyle w:val="K-TextInfoChar"/>
          <w:rFonts w:asciiTheme="minorHAnsi" w:eastAsiaTheme="minorEastAsia" w:hAnsiTheme="minorHAnsi" w:cstheme="minorBidi"/>
          <w:i w:val="0"/>
          <w:iCs w:val="0"/>
          <w:color w:val="auto"/>
          <w:sz w:val="20"/>
          <w:szCs w:val="20"/>
          <w:lang w:val="cs-CZ"/>
        </w:rPr>
        <w:t>,</w:t>
      </w:r>
      <w:r w:rsidR="11C4B70F" w:rsidRPr="6C54F3A7">
        <w:rPr>
          <w:rStyle w:val="K-TextInfoChar"/>
          <w:rFonts w:asciiTheme="minorHAnsi" w:eastAsiaTheme="minorEastAsia" w:hAnsiTheme="minorHAnsi" w:cstheme="minorBidi"/>
          <w:i w:val="0"/>
          <w:iCs w:val="0"/>
          <w:color w:val="auto"/>
          <w:sz w:val="20"/>
          <w:szCs w:val="20"/>
          <w:lang w:val="cs-CZ"/>
        </w:rPr>
        <w:t> </w:t>
      </w:r>
      <w:r w:rsidR="7EE73852" w:rsidRPr="6C54F3A7">
        <w:rPr>
          <w:rStyle w:val="K-TextInfoChar"/>
          <w:rFonts w:asciiTheme="minorHAnsi" w:eastAsiaTheme="minorEastAsia" w:hAnsiTheme="minorHAnsi" w:cstheme="minorBidi"/>
          <w:i w:val="0"/>
          <w:iCs w:val="0"/>
          <w:color w:val="auto"/>
          <w:sz w:val="20"/>
          <w:szCs w:val="20"/>
          <w:lang w:val="cs-CZ"/>
        </w:rPr>
        <w:t>nařízením Komise č. 651/2014</w:t>
      </w:r>
      <w:r w:rsidR="002059FE" w:rsidRPr="71E36747">
        <w:rPr>
          <w:rStyle w:val="Znakapoznpodarou"/>
          <w:rFonts w:asciiTheme="minorHAnsi" w:eastAsiaTheme="minorEastAsia" w:hAnsiTheme="minorHAnsi" w:cstheme="minorBidi"/>
          <w:sz w:val="20"/>
          <w:szCs w:val="20"/>
          <w:lang w:val="cs-CZ"/>
        </w:rPr>
        <w:footnoteReference w:id="14"/>
      </w:r>
      <w:r w:rsidR="7EE73852" w:rsidRPr="6C54F3A7">
        <w:rPr>
          <w:rStyle w:val="K-TextInfoChar"/>
          <w:rFonts w:asciiTheme="minorHAnsi" w:eastAsiaTheme="minorEastAsia" w:hAnsiTheme="minorHAnsi" w:cstheme="minorBidi"/>
          <w:i w:val="0"/>
          <w:iCs w:val="0"/>
          <w:color w:val="auto"/>
          <w:sz w:val="20"/>
          <w:szCs w:val="20"/>
          <w:lang w:val="cs-CZ"/>
        </w:rPr>
        <w:t xml:space="preserve"> (GBER)</w:t>
      </w:r>
      <w:r w:rsidR="35C4480F" w:rsidRPr="6C54F3A7">
        <w:rPr>
          <w:rStyle w:val="K-TextInfoChar"/>
          <w:rFonts w:asciiTheme="minorHAnsi" w:eastAsiaTheme="minorEastAsia" w:hAnsiTheme="minorHAnsi" w:cstheme="minorBidi"/>
          <w:i w:val="0"/>
          <w:iCs w:val="0"/>
          <w:color w:val="auto"/>
          <w:sz w:val="20"/>
          <w:szCs w:val="20"/>
          <w:lang w:val="cs-CZ"/>
        </w:rPr>
        <w:t xml:space="preserve"> </w:t>
      </w:r>
      <w:r w:rsidR="29A419A4" w:rsidRPr="6C54F3A7">
        <w:rPr>
          <w:rStyle w:val="K-TextInfoChar"/>
          <w:rFonts w:asciiTheme="minorHAnsi" w:eastAsiaTheme="minorEastAsia" w:hAnsiTheme="minorHAnsi" w:cstheme="minorBidi"/>
          <w:i w:val="0"/>
          <w:iCs w:val="0"/>
          <w:color w:val="auto"/>
          <w:sz w:val="20"/>
          <w:szCs w:val="20"/>
          <w:lang w:val="cs-CZ"/>
        </w:rPr>
        <w:t xml:space="preserve">a Rámcem pro státní podporu </w:t>
      </w:r>
      <w:proofErr w:type="spellStart"/>
      <w:r w:rsidR="520A5CC1" w:rsidRPr="6C54F3A7">
        <w:rPr>
          <w:rStyle w:val="K-TextInfoChar"/>
          <w:rFonts w:asciiTheme="minorHAnsi" w:eastAsiaTheme="minorEastAsia" w:hAnsiTheme="minorHAnsi" w:cstheme="minorBidi"/>
          <w:i w:val="0"/>
          <w:iCs w:val="0"/>
          <w:color w:val="auto"/>
          <w:sz w:val="20"/>
          <w:szCs w:val="20"/>
          <w:lang w:val="cs-CZ"/>
        </w:rPr>
        <w:t>VaVaI</w:t>
      </w:r>
      <w:proofErr w:type="spellEnd"/>
      <w:r w:rsidR="00CA5825" w:rsidRPr="6C54F3A7">
        <w:rPr>
          <w:rStyle w:val="K-TextInfoChar"/>
          <w:rFonts w:asciiTheme="minorHAnsi" w:eastAsiaTheme="minorEastAsia" w:hAnsiTheme="minorHAnsi" w:cstheme="minorBidi"/>
          <w:i w:val="0"/>
          <w:iCs w:val="0"/>
          <w:color w:val="auto"/>
          <w:sz w:val="20"/>
          <w:szCs w:val="20"/>
          <w:vertAlign w:val="superscript"/>
          <w:lang w:val="cs-CZ"/>
        </w:rPr>
        <w:footnoteReference w:id="15"/>
      </w:r>
      <w:r w:rsidR="325908FE" w:rsidRPr="6C54F3A7">
        <w:rPr>
          <w:rStyle w:val="K-TextInfoChar"/>
          <w:rFonts w:asciiTheme="minorHAnsi" w:eastAsiaTheme="minorEastAsia" w:hAnsiTheme="minorHAnsi" w:cstheme="minorBidi"/>
          <w:i w:val="0"/>
          <w:iCs w:val="0"/>
          <w:color w:val="auto"/>
          <w:sz w:val="20"/>
          <w:szCs w:val="20"/>
          <w:lang w:val="cs-CZ"/>
        </w:rPr>
        <w:t xml:space="preserve">, </w:t>
      </w:r>
      <w:r w:rsidR="35C4480F" w:rsidRPr="6C54F3A7">
        <w:rPr>
          <w:rStyle w:val="K-TextInfoChar"/>
          <w:rFonts w:asciiTheme="minorHAnsi" w:eastAsiaTheme="minorEastAsia" w:hAnsiTheme="minorHAnsi" w:cstheme="minorBidi"/>
          <w:i w:val="0"/>
          <w:iCs w:val="0"/>
          <w:color w:val="auto"/>
          <w:sz w:val="20"/>
          <w:szCs w:val="20"/>
          <w:lang w:val="cs-CZ"/>
        </w:rPr>
        <w:t>které zajistí efekt</w:t>
      </w:r>
      <w:r w:rsidR="7DCCBFCB" w:rsidRPr="6C54F3A7">
        <w:rPr>
          <w:rStyle w:val="K-TextInfoChar"/>
          <w:rFonts w:asciiTheme="minorHAnsi" w:eastAsiaTheme="minorEastAsia" w:hAnsiTheme="minorHAnsi" w:cstheme="minorBidi"/>
          <w:i w:val="0"/>
          <w:iCs w:val="0"/>
          <w:color w:val="auto"/>
          <w:sz w:val="20"/>
          <w:szCs w:val="20"/>
          <w:lang w:val="cs-CZ"/>
        </w:rPr>
        <w:t>i</w:t>
      </w:r>
      <w:r w:rsidR="35C4480F" w:rsidRPr="6C54F3A7">
        <w:rPr>
          <w:rStyle w:val="K-TextInfoChar"/>
          <w:rFonts w:asciiTheme="minorHAnsi" w:eastAsiaTheme="minorEastAsia" w:hAnsiTheme="minorHAnsi" w:cstheme="minorBidi"/>
          <w:i w:val="0"/>
          <w:iCs w:val="0"/>
          <w:color w:val="auto"/>
          <w:sz w:val="20"/>
          <w:szCs w:val="20"/>
          <w:lang w:val="cs-CZ"/>
        </w:rPr>
        <w:t>vní využití prostředků standardním a systémově státem kontrolovaným způsobem</w:t>
      </w:r>
      <w:r w:rsidR="7EE73852" w:rsidRPr="6C54F3A7">
        <w:rPr>
          <w:rStyle w:val="K-TextInfoChar"/>
          <w:rFonts w:asciiTheme="minorHAnsi" w:eastAsiaTheme="minorEastAsia" w:hAnsiTheme="minorHAnsi" w:cstheme="minorBidi"/>
          <w:i w:val="0"/>
          <w:iCs w:val="0"/>
          <w:color w:val="auto"/>
          <w:sz w:val="20"/>
          <w:szCs w:val="20"/>
          <w:lang w:val="cs-CZ"/>
        </w:rPr>
        <w:t>.</w:t>
      </w:r>
      <w:r w:rsidR="0A69198C" w:rsidRPr="6C54F3A7">
        <w:rPr>
          <w:rStyle w:val="K-TextInfoChar"/>
          <w:rFonts w:asciiTheme="minorHAnsi" w:eastAsiaTheme="minorEastAsia" w:hAnsiTheme="minorHAnsi" w:cstheme="minorBidi"/>
          <w:i w:val="0"/>
          <w:iCs w:val="0"/>
          <w:color w:val="auto"/>
          <w:sz w:val="20"/>
          <w:szCs w:val="20"/>
          <w:lang w:val="cs-CZ"/>
        </w:rPr>
        <w:t xml:space="preserve"> </w:t>
      </w:r>
      <w:r w:rsidR="22A3E0D0" w:rsidRPr="6C54F3A7">
        <w:rPr>
          <w:rStyle w:val="K-TextInfoChar"/>
          <w:rFonts w:asciiTheme="minorHAnsi" w:eastAsiaTheme="minorEastAsia" w:hAnsiTheme="minorHAnsi" w:cstheme="minorBidi"/>
          <w:i w:val="0"/>
          <w:iCs w:val="0"/>
          <w:color w:val="auto"/>
          <w:sz w:val="20"/>
          <w:szCs w:val="20"/>
          <w:lang w:val="cs-CZ"/>
        </w:rPr>
        <w:t xml:space="preserve"> </w:t>
      </w:r>
    </w:p>
    <w:p w14:paraId="7461640D" w14:textId="3F1AA21F" w:rsidR="003F7D17" w:rsidRPr="00992741" w:rsidRDefault="7EE73852" w:rsidP="6C54F3A7">
      <w:pPr>
        <w:pStyle w:val="Briefinglist1"/>
        <w:keepLines w:val="0"/>
        <w:tabs>
          <w:tab w:val="clear" w:pos="284"/>
        </w:tabs>
        <w:spacing w:before="120"/>
        <w:ind w:left="0" w:firstLine="0"/>
        <w:rPr>
          <w:rStyle w:val="K-TextInfoChar"/>
          <w:rFonts w:asciiTheme="minorHAnsi" w:eastAsiaTheme="minorEastAsia" w:hAnsiTheme="minorHAnsi" w:cstheme="minorBidi"/>
          <w:i w:val="0"/>
          <w:iCs w:val="0"/>
          <w:color w:val="auto"/>
          <w:sz w:val="20"/>
          <w:szCs w:val="20"/>
          <w:lang w:val="cs-CZ"/>
        </w:rPr>
      </w:pPr>
      <w:r w:rsidRPr="6C54F3A7">
        <w:rPr>
          <w:rStyle w:val="K-TextInfoChar"/>
          <w:rFonts w:asciiTheme="minorHAnsi" w:eastAsiaTheme="minorEastAsia" w:hAnsiTheme="minorHAnsi" w:cstheme="minorBidi"/>
          <w:i w:val="0"/>
          <w:iCs w:val="0"/>
          <w:color w:val="auto"/>
          <w:sz w:val="20"/>
          <w:szCs w:val="20"/>
          <w:lang w:val="cs-CZ"/>
        </w:rPr>
        <w:t xml:space="preserve">Na základě výsledků veřejné soutěže nový program </w:t>
      </w:r>
      <w:proofErr w:type="spellStart"/>
      <w:r w:rsidRPr="6C54F3A7">
        <w:rPr>
          <w:rStyle w:val="K-TextInfoChar"/>
          <w:rFonts w:asciiTheme="minorHAnsi" w:eastAsiaTheme="minorEastAsia" w:hAnsiTheme="minorHAnsi" w:cstheme="minorBidi"/>
          <w:i w:val="0"/>
          <w:iCs w:val="0"/>
          <w:color w:val="auto"/>
          <w:sz w:val="20"/>
          <w:szCs w:val="20"/>
          <w:lang w:val="cs-CZ"/>
        </w:rPr>
        <w:t>VaVaI</w:t>
      </w:r>
      <w:proofErr w:type="spellEnd"/>
      <w:r w:rsidRPr="6C54F3A7">
        <w:rPr>
          <w:rStyle w:val="K-TextInfoChar"/>
          <w:rFonts w:asciiTheme="minorHAnsi" w:eastAsiaTheme="minorEastAsia" w:hAnsiTheme="minorHAnsi" w:cstheme="minorBidi"/>
          <w:i w:val="0"/>
          <w:iCs w:val="0"/>
          <w:color w:val="auto"/>
          <w:sz w:val="20"/>
          <w:szCs w:val="20"/>
          <w:lang w:val="cs-CZ"/>
        </w:rPr>
        <w:t xml:space="preserve"> podpoří </w:t>
      </w:r>
      <w:r w:rsidR="35C4480F" w:rsidRPr="6C54F3A7">
        <w:rPr>
          <w:rStyle w:val="K-TextInfoChar"/>
          <w:rFonts w:asciiTheme="minorHAnsi" w:eastAsiaTheme="minorEastAsia" w:hAnsiTheme="minorHAnsi" w:cstheme="minorBidi"/>
          <w:i w:val="0"/>
          <w:iCs w:val="0"/>
          <w:color w:val="auto"/>
          <w:sz w:val="20"/>
          <w:szCs w:val="20"/>
          <w:lang w:val="cs-CZ"/>
        </w:rPr>
        <w:t>4-5</w:t>
      </w:r>
      <w:r w:rsidR="206D906A" w:rsidRPr="6C54F3A7">
        <w:rPr>
          <w:rStyle w:val="K-TextInfoChar"/>
          <w:rFonts w:asciiTheme="minorHAnsi" w:eastAsiaTheme="minorEastAsia" w:hAnsiTheme="minorHAnsi" w:cstheme="minorBidi"/>
          <w:i w:val="0"/>
          <w:iCs w:val="0"/>
          <w:color w:val="auto"/>
          <w:sz w:val="20"/>
          <w:szCs w:val="20"/>
          <w:lang w:val="cs-CZ"/>
        </w:rPr>
        <w:t xml:space="preserve"> </w:t>
      </w:r>
      <w:r w:rsidR="35C4480F" w:rsidRPr="6C54F3A7">
        <w:rPr>
          <w:rStyle w:val="K-TextInfoChar"/>
          <w:rFonts w:asciiTheme="minorHAnsi" w:eastAsiaTheme="minorEastAsia" w:hAnsiTheme="minorHAnsi" w:cstheme="minorBidi"/>
          <w:i w:val="0"/>
          <w:iCs w:val="0"/>
          <w:color w:val="auto"/>
          <w:sz w:val="20"/>
          <w:szCs w:val="20"/>
          <w:lang w:val="cs-CZ"/>
        </w:rPr>
        <w:t xml:space="preserve">nejlepších, </w:t>
      </w:r>
      <w:r w:rsidR="206D906A" w:rsidRPr="6C54F3A7">
        <w:rPr>
          <w:rStyle w:val="K-TextInfoChar"/>
          <w:rFonts w:asciiTheme="minorHAnsi" w:eastAsiaTheme="minorEastAsia" w:hAnsiTheme="minorHAnsi" w:cstheme="minorBidi"/>
          <w:i w:val="0"/>
          <w:iCs w:val="0"/>
          <w:color w:val="auto"/>
          <w:sz w:val="20"/>
          <w:szCs w:val="20"/>
          <w:lang w:val="cs-CZ"/>
        </w:rPr>
        <w:t xml:space="preserve">rozsáhlejších </w:t>
      </w:r>
      <w:r w:rsidRPr="6C54F3A7">
        <w:rPr>
          <w:rStyle w:val="K-TextInfoChar"/>
          <w:rFonts w:asciiTheme="minorHAnsi" w:eastAsiaTheme="minorEastAsia" w:hAnsiTheme="minorHAnsi" w:cstheme="minorBidi"/>
          <w:i w:val="0"/>
          <w:iCs w:val="0"/>
          <w:color w:val="auto"/>
          <w:sz w:val="20"/>
          <w:szCs w:val="20"/>
          <w:lang w:val="cs-CZ"/>
        </w:rPr>
        <w:t>konsorciální</w:t>
      </w:r>
      <w:r w:rsidR="206D906A" w:rsidRPr="6C54F3A7">
        <w:rPr>
          <w:rStyle w:val="K-TextInfoChar"/>
          <w:rFonts w:asciiTheme="minorHAnsi" w:eastAsiaTheme="minorEastAsia" w:hAnsiTheme="minorHAnsi" w:cstheme="minorBidi"/>
          <w:i w:val="0"/>
          <w:iCs w:val="0"/>
          <w:color w:val="auto"/>
          <w:sz w:val="20"/>
          <w:szCs w:val="20"/>
          <w:lang w:val="cs-CZ"/>
        </w:rPr>
        <w:t>ch</w:t>
      </w:r>
      <w:r w:rsidRPr="6C54F3A7">
        <w:rPr>
          <w:rStyle w:val="K-TextInfoChar"/>
          <w:rFonts w:asciiTheme="minorHAnsi" w:eastAsiaTheme="minorEastAsia" w:hAnsiTheme="minorHAnsi" w:cstheme="minorBidi"/>
          <w:i w:val="0"/>
          <w:iCs w:val="0"/>
          <w:color w:val="auto"/>
          <w:sz w:val="20"/>
          <w:szCs w:val="20"/>
          <w:lang w:val="cs-CZ"/>
        </w:rPr>
        <w:t xml:space="preserve"> projekt</w:t>
      </w:r>
      <w:r w:rsidR="206D906A" w:rsidRPr="6C54F3A7">
        <w:rPr>
          <w:rStyle w:val="K-TextInfoChar"/>
          <w:rFonts w:asciiTheme="minorHAnsi" w:eastAsiaTheme="minorEastAsia" w:hAnsiTheme="minorHAnsi" w:cstheme="minorBidi"/>
          <w:i w:val="0"/>
          <w:iCs w:val="0"/>
          <w:color w:val="auto"/>
          <w:sz w:val="20"/>
          <w:szCs w:val="20"/>
          <w:lang w:val="cs-CZ"/>
        </w:rPr>
        <w:t>ů</w:t>
      </w:r>
      <w:r w:rsidR="35C4480F" w:rsidRPr="6C54F3A7">
        <w:rPr>
          <w:rStyle w:val="K-TextInfoChar"/>
          <w:rFonts w:asciiTheme="minorHAnsi" w:eastAsiaTheme="minorEastAsia" w:hAnsiTheme="minorHAnsi" w:cstheme="minorBidi"/>
          <w:i w:val="0"/>
          <w:iCs w:val="0"/>
          <w:color w:val="auto"/>
          <w:sz w:val="20"/>
          <w:szCs w:val="20"/>
          <w:lang w:val="cs-CZ"/>
        </w:rPr>
        <w:t>, které pokryjí</w:t>
      </w:r>
      <w:r w:rsidR="5D14B801" w:rsidRPr="6C54F3A7">
        <w:rPr>
          <w:rStyle w:val="K-TextInfoChar"/>
          <w:rFonts w:asciiTheme="minorHAnsi" w:eastAsiaTheme="minorEastAsia" w:hAnsiTheme="minorHAnsi" w:cstheme="minorBidi"/>
          <w:i w:val="0"/>
          <w:iCs w:val="0"/>
          <w:color w:val="auto"/>
          <w:sz w:val="20"/>
          <w:szCs w:val="20"/>
          <w:lang w:val="cs-CZ"/>
        </w:rPr>
        <w:t xml:space="preserve"> </w:t>
      </w:r>
      <w:r w:rsidRPr="6C54F3A7">
        <w:rPr>
          <w:rStyle w:val="K-TextInfoChar"/>
          <w:rFonts w:asciiTheme="minorHAnsi" w:eastAsiaTheme="minorEastAsia" w:hAnsiTheme="minorHAnsi" w:cstheme="minorBidi"/>
          <w:i w:val="0"/>
          <w:iCs w:val="0"/>
          <w:color w:val="auto"/>
          <w:sz w:val="20"/>
          <w:szCs w:val="20"/>
          <w:lang w:val="cs-CZ"/>
        </w:rPr>
        <w:t>spolupráci relevantních univer</w:t>
      </w:r>
      <w:r w:rsidR="1F92DDBB" w:rsidRPr="6C54F3A7">
        <w:rPr>
          <w:rStyle w:val="K-TextInfoChar"/>
          <w:rFonts w:asciiTheme="minorHAnsi" w:eastAsiaTheme="minorEastAsia" w:hAnsiTheme="minorHAnsi" w:cstheme="minorBidi"/>
          <w:i w:val="0"/>
          <w:iCs w:val="0"/>
          <w:color w:val="auto"/>
          <w:sz w:val="20"/>
          <w:szCs w:val="20"/>
          <w:lang w:val="cs-CZ"/>
        </w:rPr>
        <w:t>z</w:t>
      </w:r>
      <w:r w:rsidRPr="6C54F3A7">
        <w:rPr>
          <w:rStyle w:val="K-TextInfoChar"/>
          <w:rFonts w:asciiTheme="minorHAnsi" w:eastAsiaTheme="minorEastAsia" w:hAnsiTheme="minorHAnsi" w:cstheme="minorBidi"/>
          <w:i w:val="0"/>
          <w:iCs w:val="0"/>
          <w:color w:val="auto"/>
          <w:sz w:val="20"/>
          <w:szCs w:val="20"/>
          <w:lang w:val="cs-CZ"/>
        </w:rPr>
        <w:t xml:space="preserve">it, veřejných výzkumných institucí </w:t>
      </w:r>
      <w:r w:rsidR="11C4B70F" w:rsidRPr="6C54F3A7">
        <w:rPr>
          <w:rStyle w:val="K-TextInfoChar"/>
          <w:rFonts w:asciiTheme="minorHAnsi" w:eastAsiaTheme="minorEastAsia" w:hAnsiTheme="minorHAnsi" w:cstheme="minorBidi"/>
          <w:i w:val="0"/>
          <w:iCs w:val="0"/>
          <w:color w:val="auto"/>
          <w:sz w:val="20"/>
          <w:szCs w:val="20"/>
          <w:lang w:val="cs-CZ"/>
        </w:rPr>
        <w:t>a </w:t>
      </w:r>
      <w:r w:rsidRPr="6C54F3A7">
        <w:rPr>
          <w:rStyle w:val="K-TextInfoChar"/>
          <w:rFonts w:asciiTheme="minorHAnsi" w:eastAsiaTheme="minorEastAsia" w:hAnsiTheme="minorHAnsi" w:cstheme="minorBidi"/>
          <w:i w:val="0"/>
          <w:iCs w:val="0"/>
          <w:color w:val="auto"/>
          <w:sz w:val="20"/>
          <w:szCs w:val="20"/>
          <w:lang w:val="cs-CZ"/>
        </w:rPr>
        <w:t xml:space="preserve">dalších veřejných </w:t>
      </w:r>
      <w:r w:rsidR="11C4B70F" w:rsidRPr="6C54F3A7">
        <w:rPr>
          <w:rStyle w:val="K-TextInfoChar"/>
          <w:rFonts w:asciiTheme="minorHAnsi" w:eastAsiaTheme="minorEastAsia" w:hAnsiTheme="minorHAnsi" w:cstheme="minorBidi"/>
          <w:i w:val="0"/>
          <w:iCs w:val="0"/>
          <w:color w:val="auto"/>
          <w:sz w:val="20"/>
          <w:szCs w:val="20"/>
          <w:lang w:val="cs-CZ"/>
        </w:rPr>
        <w:t>i </w:t>
      </w:r>
      <w:r w:rsidRPr="6C54F3A7">
        <w:rPr>
          <w:rStyle w:val="K-TextInfoChar"/>
          <w:rFonts w:asciiTheme="minorHAnsi" w:eastAsiaTheme="minorEastAsia" w:hAnsiTheme="minorHAnsi" w:cstheme="minorBidi"/>
          <w:i w:val="0"/>
          <w:iCs w:val="0"/>
          <w:color w:val="auto"/>
          <w:sz w:val="20"/>
          <w:szCs w:val="20"/>
          <w:lang w:val="cs-CZ"/>
        </w:rPr>
        <w:t xml:space="preserve">soukromých subjektů aplikační sféry zajišťujících potřebný transfer znalostí. Realizace </w:t>
      </w:r>
      <w:r w:rsidR="206D906A" w:rsidRPr="6C54F3A7">
        <w:rPr>
          <w:rStyle w:val="K-TextInfoChar"/>
          <w:rFonts w:asciiTheme="minorHAnsi" w:eastAsiaTheme="minorEastAsia" w:hAnsiTheme="minorHAnsi" w:cstheme="minorBidi"/>
          <w:i w:val="0"/>
          <w:iCs w:val="0"/>
          <w:color w:val="auto"/>
          <w:sz w:val="20"/>
          <w:szCs w:val="20"/>
          <w:lang w:val="cs-CZ"/>
        </w:rPr>
        <w:t xml:space="preserve">nízkého počtu </w:t>
      </w:r>
      <w:r w:rsidRPr="6C54F3A7">
        <w:rPr>
          <w:rStyle w:val="K-TextInfoChar"/>
          <w:rFonts w:asciiTheme="minorHAnsi" w:eastAsiaTheme="minorEastAsia" w:hAnsiTheme="minorHAnsi" w:cstheme="minorBidi"/>
          <w:i w:val="0"/>
          <w:iCs w:val="0"/>
          <w:color w:val="auto"/>
          <w:sz w:val="20"/>
          <w:szCs w:val="20"/>
          <w:lang w:val="cs-CZ"/>
        </w:rPr>
        <w:t>projektů</w:t>
      </w:r>
      <w:r w:rsidR="206D906A" w:rsidRPr="6C54F3A7">
        <w:rPr>
          <w:rStyle w:val="K-TextInfoChar"/>
          <w:rFonts w:asciiTheme="minorHAnsi" w:eastAsiaTheme="minorEastAsia" w:hAnsiTheme="minorHAnsi" w:cstheme="minorBidi"/>
          <w:i w:val="0"/>
          <w:iCs w:val="0"/>
          <w:color w:val="auto"/>
          <w:sz w:val="20"/>
          <w:szCs w:val="20"/>
          <w:lang w:val="cs-CZ"/>
        </w:rPr>
        <w:t xml:space="preserve"> umožní centralizaci </w:t>
      </w:r>
      <w:r w:rsidR="11C4B70F" w:rsidRPr="6C54F3A7">
        <w:rPr>
          <w:rStyle w:val="K-TextInfoChar"/>
          <w:rFonts w:asciiTheme="minorHAnsi" w:eastAsiaTheme="minorEastAsia" w:hAnsiTheme="minorHAnsi" w:cstheme="minorBidi"/>
          <w:i w:val="0"/>
          <w:iCs w:val="0"/>
          <w:color w:val="auto"/>
          <w:sz w:val="20"/>
          <w:szCs w:val="20"/>
          <w:lang w:val="cs-CZ"/>
        </w:rPr>
        <w:t>a </w:t>
      </w:r>
      <w:r w:rsidR="206D906A" w:rsidRPr="6C54F3A7">
        <w:rPr>
          <w:rStyle w:val="K-TextInfoChar"/>
          <w:rFonts w:asciiTheme="minorHAnsi" w:eastAsiaTheme="minorEastAsia" w:hAnsiTheme="minorHAnsi" w:cstheme="minorBidi"/>
          <w:i w:val="0"/>
          <w:iCs w:val="0"/>
          <w:color w:val="auto"/>
          <w:sz w:val="20"/>
          <w:szCs w:val="20"/>
          <w:lang w:val="cs-CZ"/>
        </w:rPr>
        <w:t xml:space="preserve">jasné zacílení finančních prostředků do prioritních témat, úspory </w:t>
      </w:r>
      <w:r w:rsidR="11C4B70F" w:rsidRPr="6C54F3A7">
        <w:rPr>
          <w:rStyle w:val="K-TextInfoChar"/>
          <w:rFonts w:asciiTheme="minorHAnsi" w:eastAsiaTheme="minorEastAsia" w:hAnsiTheme="minorHAnsi" w:cstheme="minorBidi"/>
          <w:i w:val="0"/>
          <w:iCs w:val="0"/>
          <w:color w:val="auto"/>
          <w:sz w:val="20"/>
          <w:szCs w:val="20"/>
          <w:lang w:val="cs-CZ"/>
        </w:rPr>
        <w:t>a </w:t>
      </w:r>
      <w:r w:rsidR="206D906A" w:rsidRPr="6C54F3A7">
        <w:rPr>
          <w:rStyle w:val="K-TextInfoChar"/>
          <w:rFonts w:asciiTheme="minorHAnsi" w:eastAsiaTheme="minorEastAsia" w:hAnsiTheme="minorHAnsi" w:cstheme="minorBidi"/>
          <w:i w:val="0"/>
          <w:iCs w:val="0"/>
          <w:color w:val="auto"/>
          <w:sz w:val="20"/>
          <w:szCs w:val="20"/>
          <w:lang w:val="cs-CZ"/>
        </w:rPr>
        <w:t xml:space="preserve">jejich efektivní zúročení, bez zbytečného rozdrobování. Přinese </w:t>
      </w:r>
      <w:r w:rsidR="2E48A8B3" w:rsidRPr="6C54F3A7">
        <w:rPr>
          <w:rStyle w:val="K-TextInfoChar"/>
          <w:rFonts w:asciiTheme="minorHAnsi" w:eastAsiaTheme="minorEastAsia" w:hAnsiTheme="minorHAnsi" w:cstheme="minorBidi"/>
          <w:i w:val="0"/>
          <w:iCs w:val="0"/>
          <w:color w:val="auto"/>
          <w:sz w:val="20"/>
          <w:szCs w:val="20"/>
          <w:lang w:val="cs-CZ"/>
        </w:rPr>
        <w:t xml:space="preserve">do systému </w:t>
      </w:r>
      <w:r w:rsidR="1D2D22F1" w:rsidRPr="6C54F3A7">
        <w:rPr>
          <w:rStyle w:val="K-TextInfoChar"/>
          <w:rFonts w:asciiTheme="minorHAnsi" w:eastAsiaTheme="minorEastAsia" w:hAnsiTheme="minorHAnsi" w:cstheme="minorBidi"/>
          <w:i w:val="0"/>
          <w:iCs w:val="0"/>
          <w:color w:val="auto"/>
          <w:sz w:val="20"/>
          <w:szCs w:val="20"/>
          <w:lang w:val="cs-CZ"/>
        </w:rPr>
        <w:t xml:space="preserve">i </w:t>
      </w:r>
      <w:r w:rsidR="2E48A8B3" w:rsidRPr="6C54F3A7">
        <w:rPr>
          <w:rStyle w:val="K-TextInfoChar"/>
          <w:rFonts w:asciiTheme="minorHAnsi" w:eastAsiaTheme="minorEastAsia" w:hAnsiTheme="minorHAnsi" w:cstheme="minorBidi"/>
          <w:i w:val="0"/>
          <w:iCs w:val="0"/>
          <w:color w:val="auto"/>
          <w:sz w:val="20"/>
          <w:szCs w:val="20"/>
          <w:lang w:val="cs-CZ"/>
        </w:rPr>
        <w:t xml:space="preserve">eliminaci nadbytečné administrativní zátěže. Vlastní realizace programu </w:t>
      </w:r>
      <w:r w:rsidR="11C4B70F" w:rsidRPr="6C54F3A7">
        <w:rPr>
          <w:rStyle w:val="K-TextInfoChar"/>
          <w:rFonts w:asciiTheme="minorHAnsi" w:eastAsiaTheme="minorEastAsia" w:hAnsiTheme="minorHAnsi" w:cstheme="minorBidi"/>
          <w:i w:val="0"/>
          <w:iCs w:val="0"/>
          <w:color w:val="auto"/>
          <w:sz w:val="20"/>
          <w:szCs w:val="20"/>
          <w:lang w:val="cs-CZ"/>
        </w:rPr>
        <w:t>i </w:t>
      </w:r>
      <w:r w:rsidR="2E48A8B3" w:rsidRPr="6C54F3A7">
        <w:rPr>
          <w:rStyle w:val="K-TextInfoChar"/>
          <w:rFonts w:asciiTheme="minorHAnsi" w:eastAsiaTheme="minorEastAsia" w:hAnsiTheme="minorHAnsi" w:cstheme="minorBidi"/>
          <w:i w:val="0"/>
          <w:iCs w:val="0"/>
          <w:color w:val="auto"/>
          <w:sz w:val="20"/>
          <w:szCs w:val="20"/>
          <w:lang w:val="cs-CZ"/>
        </w:rPr>
        <w:t>projektů</w:t>
      </w:r>
      <w:r w:rsidRPr="6C54F3A7">
        <w:rPr>
          <w:rStyle w:val="K-TextInfoChar"/>
          <w:rFonts w:asciiTheme="minorHAnsi" w:eastAsiaTheme="minorEastAsia" w:hAnsiTheme="minorHAnsi" w:cstheme="minorBidi"/>
          <w:i w:val="0"/>
          <w:iCs w:val="0"/>
          <w:color w:val="auto"/>
          <w:sz w:val="20"/>
          <w:szCs w:val="20"/>
          <w:lang w:val="cs-CZ"/>
        </w:rPr>
        <w:t xml:space="preserve">, meziroční monitoring, kontroly </w:t>
      </w:r>
      <w:r w:rsidR="11C4B70F" w:rsidRPr="6C54F3A7">
        <w:rPr>
          <w:rStyle w:val="K-TextInfoChar"/>
          <w:rFonts w:asciiTheme="minorHAnsi" w:eastAsiaTheme="minorEastAsia" w:hAnsiTheme="minorHAnsi" w:cstheme="minorBidi"/>
          <w:i w:val="0"/>
          <w:iCs w:val="0"/>
          <w:color w:val="auto"/>
          <w:sz w:val="20"/>
          <w:szCs w:val="20"/>
          <w:lang w:val="cs-CZ"/>
        </w:rPr>
        <w:t>a </w:t>
      </w:r>
      <w:r w:rsidRPr="6C54F3A7">
        <w:rPr>
          <w:rStyle w:val="K-TextInfoChar"/>
          <w:rFonts w:asciiTheme="minorHAnsi" w:eastAsiaTheme="minorEastAsia" w:hAnsiTheme="minorHAnsi" w:cstheme="minorBidi"/>
          <w:i w:val="0"/>
          <w:iCs w:val="0"/>
          <w:color w:val="auto"/>
          <w:sz w:val="20"/>
          <w:szCs w:val="20"/>
          <w:lang w:val="cs-CZ"/>
        </w:rPr>
        <w:t xml:space="preserve">evaluace </w:t>
      </w:r>
      <w:r w:rsidR="2E48A8B3" w:rsidRPr="6C54F3A7">
        <w:rPr>
          <w:rStyle w:val="K-TextInfoChar"/>
          <w:rFonts w:asciiTheme="minorHAnsi" w:eastAsiaTheme="minorEastAsia" w:hAnsiTheme="minorHAnsi" w:cstheme="minorBidi"/>
          <w:i w:val="0"/>
          <w:iCs w:val="0"/>
          <w:color w:val="auto"/>
          <w:sz w:val="20"/>
          <w:szCs w:val="20"/>
          <w:lang w:val="cs-CZ"/>
        </w:rPr>
        <w:t xml:space="preserve">budou probíhat osvědčenými </w:t>
      </w:r>
      <w:r w:rsidR="11C4B70F" w:rsidRPr="6C54F3A7">
        <w:rPr>
          <w:rStyle w:val="K-TextInfoChar"/>
          <w:rFonts w:asciiTheme="minorHAnsi" w:eastAsiaTheme="minorEastAsia" w:hAnsiTheme="minorHAnsi" w:cstheme="minorBidi"/>
          <w:i w:val="0"/>
          <w:iCs w:val="0"/>
          <w:color w:val="auto"/>
          <w:sz w:val="20"/>
          <w:szCs w:val="20"/>
          <w:lang w:val="cs-CZ"/>
        </w:rPr>
        <w:t>a </w:t>
      </w:r>
      <w:r w:rsidR="2E48A8B3" w:rsidRPr="6C54F3A7">
        <w:rPr>
          <w:rStyle w:val="K-TextInfoChar"/>
          <w:rFonts w:asciiTheme="minorHAnsi" w:eastAsiaTheme="minorEastAsia" w:hAnsiTheme="minorHAnsi" w:cstheme="minorBidi"/>
          <w:i w:val="0"/>
          <w:iCs w:val="0"/>
          <w:color w:val="auto"/>
          <w:sz w:val="20"/>
          <w:szCs w:val="20"/>
          <w:lang w:val="cs-CZ"/>
        </w:rPr>
        <w:t xml:space="preserve">systémem prověřenými postupy </w:t>
      </w:r>
      <w:r w:rsidRPr="6C54F3A7">
        <w:rPr>
          <w:rStyle w:val="K-TextInfoChar"/>
          <w:rFonts w:asciiTheme="minorHAnsi" w:eastAsiaTheme="minorEastAsia" w:hAnsiTheme="minorHAnsi" w:cstheme="minorBidi"/>
          <w:i w:val="0"/>
          <w:iCs w:val="0"/>
          <w:color w:val="auto"/>
          <w:sz w:val="20"/>
          <w:szCs w:val="20"/>
          <w:lang w:val="cs-CZ"/>
        </w:rPr>
        <w:t xml:space="preserve">podle zák. č. 130/2002 Sb. </w:t>
      </w:r>
      <w:r w:rsidR="11C4B70F" w:rsidRPr="6C54F3A7">
        <w:rPr>
          <w:rStyle w:val="K-TextInfoChar"/>
          <w:rFonts w:asciiTheme="minorHAnsi" w:eastAsiaTheme="minorEastAsia" w:hAnsiTheme="minorHAnsi" w:cstheme="minorBidi"/>
          <w:i w:val="0"/>
          <w:iCs w:val="0"/>
          <w:color w:val="auto"/>
          <w:sz w:val="20"/>
          <w:szCs w:val="20"/>
          <w:lang w:val="cs-CZ"/>
        </w:rPr>
        <w:t>a </w:t>
      </w:r>
      <w:r w:rsidRPr="6C54F3A7">
        <w:rPr>
          <w:rStyle w:val="K-TextInfoChar"/>
          <w:rFonts w:asciiTheme="minorHAnsi" w:eastAsiaTheme="minorEastAsia" w:hAnsiTheme="minorHAnsi" w:cstheme="minorBidi"/>
          <w:i w:val="0"/>
          <w:iCs w:val="0"/>
          <w:color w:val="auto"/>
          <w:sz w:val="20"/>
          <w:szCs w:val="20"/>
          <w:lang w:val="cs-CZ"/>
        </w:rPr>
        <w:t xml:space="preserve">dalších souvisejících právních předpisů. </w:t>
      </w:r>
    </w:p>
    <w:p w14:paraId="13FD7C12" w14:textId="6167ED33" w:rsidR="006E0317" w:rsidRPr="00992741" w:rsidRDefault="6C8AF0BD" w:rsidP="6C54F3A7">
      <w:pPr>
        <w:pStyle w:val="Briefinglist1"/>
        <w:keepLines w:val="0"/>
        <w:tabs>
          <w:tab w:val="clear" w:pos="284"/>
        </w:tabs>
        <w:spacing w:before="120"/>
        <w:ind w:left="0" w:firstLine="0"/>
        <w:rPr>
          <w:rStyle w:val="K-TextInfoChar"/>
          <w:rFonts w:asciiTheme="minorHAnsi" w:eastAsiaTheme="minorEastAsia" w:hAnsiTheme="minorHAnsi" w:cstheme="minorBidi"/>
          <w:i w:val="0"/>
          <w:iCs w:val="0"/>
          <w:color w:val="auto"/>
          <w:sz w:val="20"/>
          <w:szCs w:val="20"/>
          <w:lang w:val="cs-CZ"/>
        </w:rPr>
      </w:pPr>
      <w:r w:rsidRPr="6C54F3A7">
        <w:rPr>
          <w:rStyle w:val="K-TextInfoChar"/>
          <w:rFonts w:asciiTheme="minorHAnsi" w:eastAsiaTheme="minorEastAsia" w:hAnsiTheme="minorHAnsi" w:cstheme="minorBidi"/>
          <w:i w:val="0"/>
          <w:iCs w:val="0"/>
          <w:color w:val="auto"/>
          <w:sz w:val="20"/>
          <w:szCs w:val="20"/>
          <w:lang w:val="cs-CZ"/>
        </w:rPr>
        <w:t xml:space="preserve">Skutečnou reformní ambicí je tedy vytvořit celostátní síť propojující potenciál </w:t>
      </w:r>
      <w:r w:rsidR="1D2D22F1" w:rsidRPr="6C54F3A7">
        <w:rPr>
          <w:rStyle w:val="K-TextInfoChar"/>
          <w:rFonts w:asciiTheme="minorHAnsi" w:eastAsiaTheme="minorEastAsia" w:hAnsiTheme="minorHAnsi" w:cstheme="minorBidi"/>
          <w:i w:val="0"/>
          <w:iCs w:val="0"/>
          <w:color w:val="auto"/>
          <w:sz w:val="20"/>
          <w:szCs w:val="20"/>
          <w:lang w:val="cs-CZ"/>
        </w:rPr>
        <w:t xml:space="preserve">již existujících </w:t>
      </w:r>
      <w:r w:rsidR="10F8DF35" w:rsidRPr="6C54F3A7">
        <w:rPr>
          <w:rStyle w:val="K-TextInfoChar"/>
          <w:rFonts w:asciiTheme="minorHAnsi" w:eastAsiaTheme="minorEastAsia" w:hAnsiTheme="minorHAnsi" w:cstheme="minorBidi"/>
          <w:i w:val="0"/>
          <w:iCs w:val="0"/>
          <w:color w:val="auto"/>
          <w:sz w:val="20"/>
          <w:szCs w:val="20"/>
          <w:lang w:val="cs-CZ"/>
        </w:rPr>
        <w:t xml:space="preserve">R&amp;D </w:t>
      </w:r>
      <w:r w:rsidRPr="6C54F3A7">
        <w:rPr>
          <w:rStyle w:val="K-TextInfoChar"/>
          <w:rFonts w:asciiTheme="minorHAnsi" w:eastAsiaTheme="minorEastAsia" w:hAnsiTheme="minorHAnsi" w:cstheme="minorBidi"/>
          <w:i w:val="0"/>
          <w:iCs w:val="0"/>
          <w:color w:val="auto"/>
          <w:sz w:val="20"/>
          <w:szCs w:val="20"/>
          <w:lang w:val="cs-CZ"/>
        </w:rPr>
        <w:t xml:space="preserve">pracovišť </w:t>
      </w:r>
      <w:r w:rsidR="11C4B70F" w:rsidRPr="6C54F3A7">
        <w:rPr>
          <w:rStyle w:val="K-TextInfoChar"/>
          <w:rFonts w:asciiTheme="minorHAnsi" w:eastAsiaTheme="minorEastAsia" w:hAnsiTheme="minorHAnsi" w:cstheme="minorBidi"/>
          <w:i w:val="0"/>
          <w:iCs w:val="0"/>
          <w:color w:val="auto"/>
          <w:sz w:val="20"/>
          <w:szCs w:val="20"/>
          <w:lang w:val="cs-CZ"/>
        </w:rPr>
        <w:t>v </w:t>
      </w:r>
      <w:bookmarkStart w:id="2" w:name="_Hlk70517680"/>
      <w:r w:rsidRPr="6C54F3A7">
        <w:rPr>
          <w:rStyle w:val="K-TextInfoChar"/>
          <w:rFonts w:asciiTheme="minorHAnsi" w:eastAsiaTheme="minorEastAsia" w:hAnsiTheme="minorHAnsi" w:cstheme="minorBidi"/>
          <w:i w:val="0"/>
          <w:iCs w:val="0"/>
          <w:color w:val="auto"/>
          <w:sz w:val="20"/>
          <w:szCs w:val="20"/>
          <w:lang w:val="cs-CZ"/>
        </w:rPr>
        <w:t xml:space="preserve">podobě </w:t>
      </w:r>
      <w:r w:rsidR="0A51D085" w:rsidRPr="6C54F3A7">
        <w:rPr>
          <w:rStyle w:val="K-TextInfoChar"/>
          <w:rFonts w:asciiTheme="minorHAnsi" w:eastAsiaTheme="minorEastAsia" w:hAnsiTheme="minorHAnsi" w:cstheme="minorBidi"/>
          <w:i w:val="0"/>
          <w:iCs w:val="0"/>
          <w:color w:val="auto"/>
          <w:sz w:val="20"/>
          <w:szCs w:val="20"/>
          <w:lang w:val="cs-CZ"/>
        </w:rPr>
        <w:t>národních vědeckých autorit</w:t>
      </w:r>
      <w:r w:rsidR="69626741" w:rsidRPr="6C54F3A7">
        <w:rPr>
          <w:rStyle w:val="K-TextInfoChar"/>
          <w:rFonts w:asciiTheme="minorHAnsi" w:eastAsiaTheme="minorEastAsia" w:hAnsiTheme="minorHAnsi" w:cstheme="minorBidi"/>
          <w:i w:val="0"/>
          <w:iCs w:val="0"/>
          <w:color w:val="auto"/>
          <w:sz w:val="20"/>
          <w:szCs w:val="20"/>
          <w:lang w:val="cs-CZ"/>
        </w:rPr>
        <w:t xml:space="preserve"> </w:t>
      </w:r>
      <w:r w:rsidR="7E87A984" w:rsidRPr="6C54F3A7">
        <w:rPr>
          <w:rStyle w:val="K-TextInfoChar"/>
          <w:rFonts w:asciiTheme="minorHAnsi" w:eastAsiaTheme="minorEastAsia" w:hAnsiTheme="minorHAnsi" w:cstheme="minorBidi"/>
          <w:i w:val="0"/>
          <w:iCs w:val="0"/>
          <w:color w:val="auto"/>
          <w:sz w:val="20"/>
          <w:szCs w:val="20"/>
          <w:lang w:val="cs-CZ"/>
        </w:rPr>
        <w:t>kon</w:t>
      </w:r>
      <w:r w:rsidR="69626741" w:rsidRPr="6C54F3A7">
        <w:rPr>
          <w:rStyle w:val="K-TextInfoChar"/>
          <w:rFonts w:asciiTheme="minorHAnsi" w:eastAsiaTheme="minorEastAsia" w:hAnsiTheme="minorHAnsi" w:cstheme="minorBidi"/>
          <w:i w:val="0"/>
          <w:iCs w:val="0"/>
          <w:color w:val="auto"/>
          <w:sz w:val="20"/>
          <w:szCs w:val="20"/>
          <w:lang w:val="cs-CZ"/>
        </w:rPr>
        <w:t>s</w:t>
      </w:r>
      <w:r w:rsidR="7E87A984" w:rsidRPr="6C54F3A7">
        <w:rPr>
          <w:rStyle w:val="K-TextInfoChar"/>
          <w:rFonts w:asciiTheme="minorHAnsi" w:eastAsiaTheme="minorEastAsia" w:hAnsiTheme="minorHAnsi" w:cstheme="minorBidi"/>
          <w:i w:val="0"/>
          <w:iCs w:val="0"/>
          <w:color w:val="auto"/>
          <w:sz w:val="20"/>
          <w:szCs w:val="20"/>
          <w:lang w:val="cs-CZ"/>
        </w:rPr>
        <w:t>orc</w:t>
      </w:r>
      <w:r w:rsidR="69626741" w:rsidRPr="6C54F3A7">
        <w:rPr>
          <w:rStyle w:val="K-TextInfoChar"/>
          <w:rFonts w:asciiTheme="minorHAnsi" w:eastAsiaTheme="minorEastAsia" w:hAnsiTheme="minorHAnsi" w:cstheme="minorBidi"/>
          <w:i w:val="0"/>
          <w:iCs w:val="0"/>
          <w:color w:val="auto"/>
          <w:sz w:val="20"/>
          <w:szCs w:val="20"/>
          <w:lang w:val="cs-CZ"/>
        </w:rPr>
        <w:t>iál</w:t>
      </w:r>
      <w:r w:rsidR="7E87A984" w:rsidRPr="6C54F3A7">
        <w:rPr>
          <w:rStyle w:val="K-TextInfoChar"/>
          <w:rFonts w:asciiTheme="minorHAnsi" w:eastAsiaTheme="minorEastAsia" w:hAnsiTheme="minorHAnsi" w:cstheme="minorBidi"/>
          <w:i w:val="0"/>
          <w:iCs w:val="0"/>
          <w:color w:val="auto"/>
          <w:sz w:val="20"/>
          <w:szCs w:val="20"/>
          <w:lang w:val="cs-CZ"/>
        </w:rPr>
        <w:t xml:space="preserve">ního typu </w:t>
      </w:r>
      <w:bookmarkEnd w:id="2"/>
      <w:r w:rsidR="0A51D085" w:rsidRPr="6C54F3A7">
        <w:rPr>
          <w:rStyle w:val="K-TextInfoChar"/>
          <w:rFonts w:asciiTheme="minorHAnsi" w:eastAsiaTheme="minorEastAsia" w:hAnsiTheme="minorHAnsi" w:cstheme="minorBidi"/>
          <w:i w:val="0"/>
          <w:iCs w:val="0"/>
          <w:color w:val="auto"/>
          <w:sz w:val="20"/>
          <w:szCs w:val="20"/>
          <w:lang w:val="cs-CZ"/>
        </w:rPr>
        <w:t>– národních institutů,</w:t>
      </w:r>
      <w:r w:rsidRPr="6C54F3A7">
        <w:rPr>
          <w:rStyle w:val="K-TextInfoChar"/>
          <w:rFonts w:asciiTheme="minorHAnsi" w:eastAsiaTheme="minorEastAsia" w:hAnsiTheme="minorHAnsi" w:cstheme="minorBidi"/>
          <w:i w:val="0"/>
          <w:iCs w:val="0"/>
          <w:color w:val="auto"/>
          <w:sz w:val="20"/>
          <w:szCs w:val="20"/>
          <w:lang w:val="cs-CZ"/>
        </w:rPr>
        <w:t xml:space="preserve"> </w:t>
      </w:r>
      <w:r w:rsidR="0A51D085" w:rsidRPr="6C54F3A7">
        <w:rPr>
          <w:rStyle w:val="K-TextInfoChar"/>
          <w:rFonts w:asciiTheme="minorHAnsi" w:eastAsiaTheme="minorEastAsia" w:hAnsiTheme="minorHAnsi" w:cstheme="minorBidi"/>
          <w:i w:val="0"/>
          <w:iCs w:val="0"/>
          <w:color w:val="auto"/>
          <w:sz w:val="20"/>
          <w:szCs w:val="20"/>
          <w:lang w:val="cs-CZ"/>
        </w:rPr>
        <w:t>obdobně,</w:t>
      </w:r>
      <w:r w:rsidRPr="6C54F3A7">
        <w:rPr>
          <w:rStyle w:val="K-TextInfoChar"/>
          <w:rFonts w:asciiTheme="minorHAnsi" w:eastAsiaTheme="minorEastAsia" w:hAnsiTheme="minorHAnsi" w:cstheme="minorBidi"/>
          <w:i w:val="0"/>
          <w:iCs w:val="0"/>
          <w:color w:val="auto"/>
          <w:sz w:val="20"/>
          <w:szCs w:val="20"/>
          <w:lang w:val="cs-CZ"/>
        </w:rPr>
        <w:t xml:space="preserve"> jak</w:t>
      </w:r>
      <w:r w:rsidR="0A51D085" w:rsidRPr="6C54F3A7">
        <w:rPr>
          <w:rStyle w:val="K-TextInfoChar"/>
          <w:rFonts w:asciiTheme="minorHAnsi" w:eastAsiaTheme="minorEastAsia" w:hAnsiTheme="minorHAnsi" w:cstheme="minorBidi"/>
          <w:i w:val="0"/>
          <w:iCs w:val="0"/>
          <w:color w:val="auto"/>
          <w:sz w:val="20"/>
          <w:szCs w:val="20"/>
          <w:lang w:val="cs-CZ"/>
        </w:rPr>
        <w:t xml:space="preserve"> je tomu</w:t>
      </w:r>
      <w:r w:rsidRPr="6C54F3A7">
        <w:rPr>
          <w:rStyle w:val="K-TextInfoChar"/>
          <w:rFonts w:asciiTheme="minorHAnsi" w:eastAsiaTheme="minorEastAsia" w:hAnsiTheme="minorHAnsi" w:cstheme="minorBidi"/>
          <w:i w:val="0"/>
          <w:iCs w:val="0"/>
          <w:color w:val="auto"/>
          <w:sz w:val="20"/>
          <w:szCs w:val="20"/>
          <w:lang w:val="cs-CZ"/>
        </w:rPr>
        <w:t xml:space="preserve"> například ve</w:t>
      </w:r>
      <w:r w:rsidR="51F08B9C" w:rsidRPr="6C54F3A7">
        <w:rPr>
          <w:rStyle w:val="K-TextInfoChar"/>
          <w:rFonts w:asciiTheme="minorHAnsi" w:eastAsiaTheme="minorEastAsia" w:hAnsiTheme="minorHAnsi" w:cstheme="minorBidi"/>
          <w:i w:val="0"/>
          <w:iCs w:val="0"/>
          <w:color w:val="auto"/>
          <w:sz w:val="20"/>
          <w:szCs w:val="20"/>
          <w:lang w:val="cs-CZ"/>
        </w:rPr>
        <w:t> </w:t>
      </w:r>
      <w:r w:rsidRPr="6C54F3A7">
        <w:rPr>
          <w:rStyle w:val="K-TextInfoChar"/>
          <w:rFonts w:asciiTheme="minorHAnsi" w:eastAsiaTheme="minorEastAsia" w:hAnsiTheme="minorHAnsi" w:cstheme="minorBidi"/>
          <w:i w:val="0"/>
          <w:iCs w:val="0"/>
          <w:color w:val="auto"/>
          <w:sz w:val="20"/>
          <w:szCs w:val="20"/>
          <w:lang w:val="cs-CZ"/>
        </w:rPr>
        <w:t>Spojených státech</w:t>
      </w:r>
      <w:r w:rsidR="7E87A984" w:rsidRPr="6C54F3A7">
        <w:rPr>
          <w:rStyle w:val="K-TextInfoChar"/>
          <w:rFonts w:asciiTheme="minorHAnsi" w:eastAsiaTheme="minorEastAsia" w:hAnsiTheme="minorHAnsi" w:cstheme="minorBidi"/>
          <w:i w:val="0"/>
          <w:iCs w:val="0"/>
          <w:color w:val="auto"/>
          <w:sz w:val="20"/>
          <w:szCs w:val="20"/>
          <w:lang w:val="cs-CZ"/>
        </w:rPr>
        <w:t>, Německu</w:t>
      </w:r>
      <w:r w:rsidR="00AF7CDD" w:rsidRPr="71E36747">
        <w:rPr>
          <w:rStyle w:val="Znakapoznpodarou"/>
          <w:rFonts w:asciiTheme="minorHAnsi" w:eastAsiaTheme="minorEastAsia" w:hAnsiTheme="minorHAnsi" w:cstheme="minorBidi"/>
          <w:sz w:val="20"/>
          <w:szCs w:val="20"/>
          <w:lang w:val="cs-CZ"/>
        </w:rPr>
        <w:footnoteReference w:id="16"/>
      </w:r>
      <w:r w:rsidRPr="6C54F3A7">
        <w:rPr>
          <w:rStyle w:val="K-TextInfoChar"/>
          <w:rFonts w:asciiTheme="minorHAnsi" w:eastAsiaTheme="minorEastAsia" w:hAnsiTheme="minorHAnsi" w:cstheme="minorBidi"/>
          <w:i w:val="0"/>
          <w:iCs w:val="0"/>
          <w:color w:val="auto"/>
          <w:sz w:val="20"/>
          <w:szCs w:val="20"/>
          <w:lang w:val="cs-CZ"/>
        </w:rPr>
        <w:t xml:space="preserve"> nebo ve Francii. Jednotlivé týmy napříč univerzitami, veřejnými výzkumnými </w:t>
      </w:r>
      <w:r w:rsidR="79287DAA" w:rsidRPr="6C54F3A7">
        <w:rPr>
          <w:rStyle w:val="K-TextInfoChar"/>
          <w:rFonts w:asciiTheme="minorHAnsi" w:eastAsiaTheme="minorEastAsia" w:hAnsiTheme="minorHAnsi" w:cstheme="minorBidi"/>
          <w:i w:val="0"/>
          <w:iCs w:val="0"/>
          <w:color w:val="auto"/>
          <w:sz w:val="20"/>
          <w:szCs w:val="20"/>
          <w:lang w:val="cs-CZ"/>
        </w:rPr>
        <w:t>institucemi</w:t>
      </w:r>
      <w:r w:rsidRPr="6C54F3A7">
        <w:rPr>
          <w:rStyle w:val="K-TextInfoChar"/>
          <w:rFonts w:asciiTheme="minorHAnsi" w:eastAsiaTheme="minorEastAsia" w:hAnsiTheme="minorHAnsi" w:cstheme="minorBidi"/>
          <w:i w:val="0"/>
          <w:iCs w:val="0"/>
          <w:color w:val="auto"/>
          <w:sz w:val="20"/>
          <w:szCs w:val="20"/>
          <w:lang w:val="cs-CZ"/>
        </w:rPr>
        <w:t xml:space="preserve"> Akademie věd ČR </w:t>
      </w:r>
      <w:r w:rsidR="10F8DF35" w:rsidRPr="6C54F3A7">
        <w:rPr>
          <w:rStyle w:val="K-TextInfoChar"/>
          <w:rFonts w:asciiTheme="minorHAnsi" w:eastAsiaTheme="minorEastAsia" w:hAnsiTheme="minorHAnsi" w:cstheme="minorBidi"/>
          <w:i w:val="0"/>
          <w:iCs w:val="0"/>
          <w:color w:val="auto"/>
          <w:sz w:val="20"/>
          <w:szCs w:val="20"/>
          <w:lang w:val="cs-CZ"/>
        </w:rPr>
        <w:t>i soukromoprávními výzkumnými organizacemi a aplikační sférou</w:t>
      </w:r>
      <w:r w:rsidR="0A51D085" w:rsidRPr="6C54F3A7">
        <w:rPr>
          <w:rStyle w:val="K-TextInfoChar"/>
          <w:rFonts w:asciiTheme="minorHAnsi" w:eastAsiaTheme="minorEastAsia" w:hAnsiTheme="minorHAnsi" w:cstheme="minorBidi"/>
          <w:i w:val="0"/>
          <w:iCs w:val="0"/>
          <w:color w:val="auto"/>
          <w:sz w:val="20"/>
          <w:szCs w:val="20"/>
          <w:lang w:val="cs-CZ"/>
        </w:rPr>
        <w:t>,</w:t>
      </w:r>
      <w:r w:rsidRPr="6C54F3A7">
        <w:rPr>
          <w:rStyle w:val="K-TextInfoChar"/>
          <w:rFonts w:asciiTheme="minorHAnsi" w:eastAsiaTheme="minorEastAsia" w:hAnsiTheme="minorHAnsi" w:cstheme="minorBidi"/>
          <w:i w:val="0"/>
          <w:iCs w:val="0"/>
          <w:color w:val="auto"/>
          <w:sz w:val="20"/>
          <w:szCs w:val="20"/>
          <w:lang w:val="cs-CZ"/>
        </w:rPr>
        <w:t xml:space="preserve"> </w:t>
      </w:r>
      <w:r w:rsidR="0A51D085" w:rsidRPr="6C54F3A7">
        <w:rPr>
          <w:rStyle w:val="K-TextInfoChar"/>
          <w:rFonts w:asciiTheme="minorHAnsi" w:eastAsiaTheme="minorEastAsia" w:hAnsiTheme="minorHAnsi" w:cstheme="minorBidi"/>
          <w:i w:val="0"/>
          <w:iCs w:val="0"/>
          <w:color w:val="auto"/>
          <w:sz w:val="20"/>
          <w:szCs w:val="20"/>
          <w:lang w:val="cs-CZ"/>
        </w:rPr>
        <w:t xml:space="preserve">které </w:t>
      </w:r>
      <w:r w:rsidRPr="6C54F3A7">
        <w:rPr>
          <w:rStyle w:val="K-TextInfoChar"/>
          <w:rFonts w:asciiTheme="minorHAnsi" w:eastAsiaTheme="minorEastAsia" w:hAnsiTheme="minorHAnsi" w:cstheme="minorBidi"/>
          <w:i w:val="0"/>
          <w:iCs w:val="0"/>
          <w:color w:val="auto"/>
          <w:sz w:val="20"/>
          <w:szCs w:val="20"/>
          <w:lang w:val="cs-CZ"/>
        </w:rPr>
        <w:t xml:space="preserve">provádějí špičkový lékařský výzkum </w:t>
      </w:r>
      <w:r w:rsidR="11C4B70F" w:rsidRPr="6C54F3A7">
        <w:rPr>
          <w:rStyle w:val="K-TextInfoChar"/>
          <w:rFonts w:asciiTheme="minorHAnsi" w:eastAsiaTheme="minorEastAsia" w:hAnsiTheme="minorHAnsi" w:cstheme="minorBidi"/>
          <w:i w:val="0"/>
          <w:iCs w:val="0"/>
          <w:color w:val="auto"/>
          <w:sz w:val="20"/>
          <w:szCs w:val="20"/>
          <w:lang w:val="cs-CZ"/>
        </w:rPr>
        <w:t>v </w:t>
      </w:r>
      <w:r w:rsidRPr="6C54F3A7">
        <w:rPr>
          <w:rStyle w:val="K-TextInfoChar"/>
          <w:rFonts w:asciiTheme="minorHAnsi" w:eastAsiaTheme="minorEastAsia" w:hAnsiTheme="minorHAnsi" w:cstheme="minorBidi"/>
          <w:i w:val="0"/>
          <w:iCs w:val="0"/>
          <w:color w:val="auto"/>
          <w:sz w:val="20"/>
          <w:szCs w:val="20"/>
          <w:lang w:val="cs-CZ"/>
        </w:rPr>
        <w:t>České republice</w:t>
      </w:r>
      <w:r w:rsidR="0A51D085" w:rsidRPr="6C54F3A7">
        <w:rPr>
          <w:rStyle w:val="K-TextInfoChar"/>
          <w:rFonts w:asciiTheme="minorHAnsi" w:eastAsiaTheme="minorEastAsia" w:hAnsiTheme="minorHAnsi" w:cstheme="minorBidi"/>
          <w:i w:val="0"/>
          <w:iCs w:val="0"/>
          <w:color w:val="auto"/>
          <w:sz w:val="20"/>
          <w:szCs w:val="20"/>
          <w:lang w:val="cs-CZ"/>
        </w:rPr>
        <w:t xml:space="preserve"> často </w:t>
      </w:r>
      <w:r w:rsidR="1D2D22F1" w:rsidRPr="6C54F3A7">
        <w:rPr>
          <w:rStyle w:val="K-TextInfoChar"/>
          <w:rFonts w:asciiTheme="minorHAnsi" w:eastAsiaTheme="minorEastAsia" w:hAnsiTheme="minorHAnsi" w:cstheme="minorBidi"/>
          <w:i w:val="0"/>
          <w:iCs w:val="0"/>
          <w:color w:val="auto"/>
          <w:sz w:val="20"/>
          <w:szCs w:val="20"/>
          <w:lang w:val="cs-CZ"/>
        </w:rPr>
        <w:t xml:space="preserve">působí </w:t>
      </w:r>
      <w:r w:rsidR="1BD3B38E" w:rsidRPr="6C54F3A7">
        <w:rPr>
          <w:rStyle w:val="K-TextInfoChar"/>
          <w:rFonts w:asciiTheme="minorHAnsi" w:eastAsiaTheme="minorEastAsia" w:hAnsiTheme="minorHAnsi" w:cstheme="minorBidi"/>
          <w:i w:val="0"/>
          <w:iCs w:val="0"/>
          <w:color w:val="auto"/>
          <w:sz w:val="20"/>
          <w:szCs w:val="20"/>
          <w:lang w:val="cs-CZ"/>
        </w:rPr>
        <w:t xml:space="preserve">z pohledu České republiky lokálně, </w:t>
      </w:r>
      <w:r w:rsidR="0A51D085" w:rsidRPr="6C54F3A7">
        <w:rPr>
          <w:rStyle w:val="K-TextInfoChar"/>
          <w:rFonts w:asciiTheme="minorHAnsi" w:eastAsiaTheme="minorEastAsia" w:hAnsiTheme="minorHAnsi" w:cstheme="minorBidi"/>
          <w:i w:val="0"/>
          <w:iCs w:val="0"/>
          <w:color w:val="auto"/>
          <w:sz w:val="20"/>
          <w:szCs w:val="20"/>
          <w:lang w:val="cs-CZ"/>
        </w:rPr>
        <w:t>navzájem odděleně</w:t>
      </w:r>
      <w:r w:rsidR="10F8DF35" w:rsidRPr="6C54F3A7">
        <w:rPr>
          <w:rStyle w:val="K-TextInfoChar"/>
          <w:rFonts w:asciiTheme="minorHAnsi" w:eastAsiaTheme="minorEastAsia" w:hAnsiTheme="minorHAnsi" w:cstheme="minorBidi"/>
          <w:i w:val="0"/>
          <w:iCs w:val="0"/>
          <w:color w:val="auto"/>
          <w:sz w:val="20"/>
          <w:szCs w:val="20"/>
          <w:lang w:val="cs-CZ"/>
        </w:rPr>
        <w:t xml:space="preserve"> a je třeba je i finančně motivovat ke konsolidaci a kooperaci</w:t>
      </w:r>
      <w:r w:rsidR="1D2D22F1" w:rsidRPr="6C54F3A7">
        <w:rPr>
          <w:rStyle w:val="K-TextInfoChar"/>
          <w:rFonts w:asciiTheme="minorHAnsi" w:eastAsiaTheme="minorEastAsia" w:hAnsiTheme="minorHAnsi" w:cstheme="minorBidi"/>
          <w:i w:val="0"/>
          <w:iCs w:val="0"/>
          <w:color w:val="auto"/>
          <w:sz w:val="20"/>
          <w:szCs w:val="20"/>
          <w:lang w:val="cs-CZ"/>
        </w:rPr>
        <w:t xml:space="preserve">. </w:t>
      </w:r>
      <w:r w:rsidR="1BD3B38E" w:rsidRPr="6C54F3A7">
        <w:rPr>
          <w:rStyle w:val="K-TextInfoChar"/>
          <w:rFonts w:asciiTheme="minorHAnsi" w:eastAsiaTheme="minorEastAsia" w:hAnsiTheme="minorHAnsi" w:cstheme="minorBidi"/>
          <w:i w:val="0"/>
          <w:iCs w:val="0"/>
          <w:color w:val="auto"/>
          <w:sz w:val="20"/>
          <w:szCs w:val="20"/>
          <w:lang w:val="cs-CZ"/>
        </w:rPr>
        <w:t>Přílišná roztříštěnost a n</w:t>
      </w:r>
      <w:r w:rsidR="0A51D085" w:rsidRPr="6C54F3A7">
        <w:rPr>
          <w:rStyle w:val="K-TextInfoChar"/>
          <w:rFonts w:asciiTheme="minorHAnsi" w:eastAsiaTheme="minorEastAsia" w:hAnsiTheme="minorHAnsi" w:cstheme="minorBidi"/>
          <w:i w:val="0"/>
          <w:iCs w:val="0"/>
          <w:color w:val="auto"/>
          <w:sz w:val="20"/>
          <w:szCs w:val="20"/>
          <w:lang w:val="cs-CZ"/>
        </w:rPr>
        <w:t xml:space="preserve">edostatečná </w:t>
      </w:r>
      <w:r w:rsidR="1D2D22F1" w:rsidRPr="6C54F3A7">
        <w:rPr>
          <w:rStyle w:val="K-TextInfoChar"/>
          <w:rFonts w:asciiTheme="minorHAnsi" w:eastAsiaTheme="minorEastAsia" w:hAnsiTheme="minorHAnsi" w:cstheme="minorBidi"/>
          <w:i w:val="0"/>
          <w:iCs w:val="0"/>
          <w:color w:val="auto"/>
          <w:sz w:val="20"/>
          <w:szCs w:val="20"/>
          <w:lang w:val="cs-CZ"/>
        </w:rPr>
        <w:t>schopnost jejich</w:t>
      </w:r>
      <w:r w:rsidR="0A51D085" w:rsidRPr="6C54F3A7">
        <w:rPr>
          <w:rStyle w:val="K-TextInfoChar"/>
          <w:rFonts w:asciiTheme="minorHAnsi" w:eastAsiaTheme="minorEastAsia" w:hAnsiTheme="minorHAnsi" w:cstheme="minorBidi"/>
          <w:i w:val="0"/>
          <w:iCs w:val="0"/>
          <w:color w:val="auto"/>
          <w:sz w:val="20"/>
          <w:szCs w:val="20"/>
          <w:lang w:val="cs-CZ"/>
        </w:rPr>
        <w:t xml:space="preserve"> koordinace se projevovala zejména na</w:t>
      </w:r>
      <w:r w:rsidR="1BD3B38E" w:rsidRPr="6C54F3A7">
        <w:rPr>
          <w:rStyle w:val="K-TextInfoChar"/>
          <w:rFonts w:asciiTheme="minorHAnsi" w:eastAsiaTheme="minorEastAsia" w:hAnsiTheme="minorHAnsi" w:cstheme="minorBidi"/>
          <w:i w:val="0"/>
          <w:iCs w:val="0"/>
          <w:color w:val="auto"/>
          <w:sz w:val="20"/>
          <w:szCs w:val="20"/>
          <w:lang w:val="cs-CZ"/>
        </w:rPr>
        <w:t> </w:t>
      </w:r>
      <w:r w:rsidR="0A51D085" w:rsidRPr="6C54F3A7">
        <w:rPr>
          <w:rStyle w:val="K-TextInfoChar"/>
          <w:rFonts w:asciiTheme="minorHAnsi" w:eastAsiaTheme="minorEastAsia" w:hAnsiTheme="minorHAnsi" w:cstheme="minorBidi"/>
          <w:i w:val="0"/>
          <w:iCs w:val="0"/>
          <w:color w:val="auto"/>
          <w:sz w:val="20"/>
          <w:szCs w:val="20"/>
          <w:lang w:val="cs-CZ"/>
        </w:rPr>
        <w:t>počátku krizového stavu</w:t>
      </w:r>
      <w:r w:rsidR="10F8DF35" w:rsidRPr="6C54F3A7">
        <w:rPr>
          <w:rStyle w:val="K-TextInfoChar"/>
          <w:rFonts w:asciiTheme="minorHAnsi" w:eastAsiaTheme="minorEastAsia" w:hAnsiTheme="minorHAnsi" w:cstheme="minorBidi"/>
          <w:i w:val="0"/>
          <w:iCs w:val="0"/>
          <w:color w:val="auto"/>
          <w:sz w:val="20"/>
          <w:szCs w:val="20"/>
          <w:lang w:val="cs-CZ"/>
        </w:rPr>
        <w:t xml:space="preserve"> a její důsledky pronikly i do veřejnoprávních médií a na sociální sítě</w:t>
      </w:r>
      <w:r w:rsidRPr="6C54F3A7">
        <w:rPr>
          <w:rStyle w:val="K-TextInfoChar"/>
          <w:rFonts w:asciiTheme="minorHAnsi" w:eastAsiaTheme="minorEastAsia" w:hAnsiTheme="minorHAnsi" w:cstheme="minorBidi"/>
          <w:i w:val="0"/>
          <w:iCs w:val="0"/>
          <w:color w:val="auto"/>
          <w:sz w:val="20"/>
          <w:szCs w:val="20"/>
          <w:lang w:val="cs-CZ"/>
        </w:rPr>
        <w:t xml:space="preserve">. </w:t>
      </w:r>
    </w:p>
    <w:p w14:paraId="38B58966" w14:textId="1A1C8F98" w:rsidR="006E0317" w:rsidRPr="00992741" w:rsidRDefault="32BE3F28" w:rsidP="6C54F3A7">
      <w:pPr>
        <w:pStyle w:val="Briefinglist1"/>
        <w:keepLines w:val="0"/>
        <w:tabs>
          <w:tab w:val="clear" w:pos="284"/>
        </w:tabs>
        <w:spacing w:before="120"/>
        <w:ind w:left="0" w:firstLine="0"/>
        <w:rPr>
          <w:rStyle w:val="K-TextInfoChar"/>
          <w:rFonts w:asciiTheme="minorHAnsi" w:eastAsiaTheme="minorEastAsia" w:hAnsiTheme="minorHAnsi" w:cstheme="minorBidi"/>
          <w:i w:val="0"/>
          <w:iCs w:val="0"/>
          <w:color w:val="auto"/>
          <w:sz w:val="20"/>
          <w:szCs w:val="20"/>
          <w:lang w:val="cs-CZ"/>
        </w:rPr>
      </w:pPr>
      <w:r w:rsidRPr="6C54F3A7">
        <w:rPr>
          <w:rStyle w:val="K-TextInfoChar"/>
          <w:rFonts w:asciiTheme="minorHAnsi" w:eastAsiaTheme="minorEastAsia" w:hAnsiTheme="minorHAnsi" w:cstheme="minorBidi"/>
          <w:i w:val="0"/>
          <w:iCs w:val="0"/>
          <w:color w:val="auto"/>
          <w:sz w:val="20"/>
          <w:szCs w:val="20"/>
          <w:lang w:val="cs-CZ"/>
        </w:rPr>
        <w:t>Cílená f</w:t>
      </w:r>
      <w:r w:rsidR="6C8AF0BD" w:rsidRPr="6C54F3A7">
        <w:rPr>
          <w:rStyle w:val="K-TextInfoChar"/>
          <w:rFonts w:asciiTheme="minorHAnsi" w:eastAsiaTheme="minorEastAsia" w:hAnsiTheme="minorHAnsi" w:cstheme="minorBidi"/>
          <w:i w:val="0"/>
          <w:iCs w:val="0"/>
          <w:color w:val="auto"/>
          <w:sz w:val="20"/>
          <w:szCs w:val="20"/>
          <w:lang w:val="cs-CZ"/>
        </w:rPr>
        <w:t xml:space="preserve">inanční podpora z Národního plánu obnovy umožní </w:t>
      </w:r>
      <w:r w:rsidR="1D2D22F1" w:rsidRPr="6C54F3A7">
        <w:rPr>
          <w:rStyle w:val="K-TextInfoChar"/>
          <w:rFonts w:asciiTheme="minorHAnsi" w:eastAsiaTheme="minorEastAsia" w:hAnsiTheme="minorHAnsi" w:cstheme="minorBidi"/>
          <w:i w:val="0"/>
          <w:iCs w:val="0"/>
          <w:color w:val="auto"/>
          <w:sz w:val="20"/>
          <w:szCs w:val="20"/>
          <w:lang w:val="cs-CZ"/>
        </w:rPr>
        <w:t xml:space="preserve">špičkovým pracovištím v oblastech státem definovaných priorit zvýšit </w:t>
      </w:r>
      <w:r w:rsidR="1F92DDBB" w:rsidRPr="6C54F3A7">
        <w:rPr>
          <w:rStyle w:val="K-TextInfoChar"/>
          <w:rFonts w:asciiTheme="minorHAnsi" w:eastAsiaTheme="minorEastAsia" w:hAnsiTheme="minorHAnsi" w:cstheme="minorBidi"/>
          <w:i w:val="0"/>
          <w:iCs w:val="0"/>
          <w:color w:val="auto"/>
          <w:sz w:val="20"/>
          <w:szCs w:val="20"/>
          <w:lang w:val="cs-CZ"/>
        </w:rPr>
        <w:t xml:space="preserve">dlouhodobou </w:t>
      </w:r>
      <w:r w:rsidR="1D2D22F1" w:rsidRPr="6C54F3A7">
        <w:rPr>
          <w:rStyle w:val="K-TextInfoChar"/>
          <w:rFonts w:asciiTheme="minorHAnsi" w:eastAsiaTheme="minorEastAsia" w:hAnsiTheme="minorHAnsi" w:cstheme="minorBidi"/>
          <w:i w:val="0"/>
          <w:iCs w:val="0"/>
          <w:color w:val="auto"/>
          <w:sz w:val="20"/>
          <w:szCs w:val="20"/>
          <w:lang w:val="cs-CZ"/>
        </w:rPr>
        <w:t xml:space="preserve">spolupráci směrem k vyšší efektivitě výzkumu, kvalitě </w:t>
      </w:r>
      <w:r w:rsidR="1F92DDBB" w:rsidRPr="6C54F3A7">
        <w:rPr>
          <w:rStyle w:val="K-TextInfoChar"/>
          <w:rFonts w:asciiTheme="minorHAnsi" w:eastAsiaTheme="minorEastAsia" w:hAnsiTheme="minorHAnsi" w:cstheme="minorBidi"/>
          <w:i w:val="0"/>
          <w:iCs w:val="0"/>
          <w:color w:val="auto"/>
          <w:sz w:val="20"/>
          <w:szCs w:val="20"/>
          <w:lang w:val="cs-CZ"/>
        </w:rPr>
        <w:t xml:space="preserve">jeho výsledků a služeb společnosti </w:t>
      </w:r>
      <w:r w:rsidR="1D2D22F1" w:rsidRPr="6C54F3A7">
        <w:rPr>
          <w:rStyle w:val="K-TextInfoChar"/>
          <w:rFonts w:asciiTheme="minorHAnsi" w:eastAsiaTheme="minorEastAsia" w:hAnsiTheme="minorHAnsi" w:cstheme="minorBidi"/>
          <w:i w:val="0"/>
          <w:iCs w:val="0"/>
          <w:color w:val="auto"/>
          <w:sz w:val="20"/>
          <w:szCs w:val="20"/>
          <w:lang w:val="cs-CZ"/>
        </w:rPr>
        <w:t>a konkurenceschopnosti v mezinárodním prostředí</w:t>
      </w:r>
      <w:r w:rsidR="6C8AF0BD" w:rsidRPr="6C54F3A7">
        <w:rPr>
          <w:rStyle w:val="K-TextInfoChar"/>
          <w:rFonts w:asciiTheme="minorHAnsi" w:eastAsiaTheme="minorEastAsia" w:hAnsiTheme="minorHAnsi" w:cstheme="minorBidi"/>
          <w:i w:val="0"/>
          <w:iCs w:val="0"/>
          <w:color w:val="auto"/>
          <w:sz w:val="20"/>
          <w:szCs w:val="20"/>
          <w:lang w:val="cs-CZ"/>
        </w:rPr>
        <w:t xml:space="preserve">. </w:t>
      </w:r>
    </w:p>
    <w:p w14:paraId="741369DA" w14:textId="319D9AC5" w:rsidR="002059FE" w:rsidRPr="00992741" w:rsidRDefault="5E8C829E" w:rsidP="6C54F3A7">
      <w:pPr>
        <w:pStyle w:val="Briefinglist1"/>
        <w:keepLines w:val="0"/>
        <w:tabs>
          <w:tab w:val="clear" w:pos="284"/>
        </w:tabs>
        <w:spacing w:before="120"/>
        <w:ind w:left="0" w:firstLine="0"/>
        <w:rPr>
          <w:rStyle w:val="K-TextInfoChar"/>
          <w:rFonts w:asciiTheme="minorHAnsi" w:eastAsiaTheme="minorEastAsia" w:hAnsiTheme="minorHAnsi" w:cstheme="minorBidi"/>
          <w:i w:val="0"/>
          <w:iCs w:val="0"/>
          <w:color w:val="auto"/>
          <w:sz w:val="20"/>
          <w:szCs w:val="20"/>
          <w:lang w:val="cs-CZ"/>
        </w:rPr>
      </w:pPr>
      <w:r w:rsidRPr="6C54F3A7">
        <w:rPr>
          <w:rStyle w:val="K-TextInfoChar"/>
          <w:rFonts w:asciiTheme="minorHAnsi" w:eastAsiaTheme="minorEastAsia" w:hAnsiTheme="minorHAnsi" w:cstheme="minorBidi"/>
          <w:i w:val="0"/>
          <w:iCs w:val="0"/>
          <w:color w:val="auto"/>
          <w:sz w:val="20"/>
          <w:szCs w:val="20"/>
          <w:lang w:val="cs-CZ"/>
        </w:rPr>
        <w:lastRenderedPageBreak/>
        <w:t xml:space="preserve">Vzhledem k ambici této komponenty dosáhnout kvalitativního posunu ve spolupráci, koordinaci, řízení a efektivitě výzkumu špičkových pracovišť ve vybraných oblastech státního zájmu považujeme za nezbytné v rámci nového programu zmodernizovat a renovovat jejich infrastrukturní vědecká zázemí na evropské standardy a zároveň investovat do vytvoření a rozvoje znalostní sítě nové kvality s efektivním a transparentním řízením (vč. řízení lidských zdrojů ve výzkumu), strategickým dohledem, sdílenou infrastrukturou a kapacitami napříč výzkumným spektrem, generující relevantní R&amp;D výsledky i strategie ve státem definovaných prioritních oblastech </w:t>
      </w:r>
      <w:r w:rsidR="37410BAA" w:rsidRPr="6C54F3A7">
        <w:rPr>
          <w:rStyle w:val="K-TextInfoChar"/>
          <w:rFonts w:asciiTheme="minorHAnsi" w:eastAsiaTheme="minorEastAsia" w:hAnsiTheme="minorHAnsi" w:cstheme="minorBidi"/>
          <w:i w:val="0"/>
          <w:iCs w:val="0"/>
          <w:color w:val="auto"/>
          <w:sz w:val="20"/>
          <w:szCs w:val="20"/>
          <w:lang w:val="cs-CZ"/>
        </w:rPr>
        <w:t xml:space="preserve">a </w:t>
      </w:r>
      <w:r w:rsidRPr="6C54F3A7">
        <w:rPr>
          <w:rStyle w:val="K-TextInfoChar"/>
          <w:rFonts w:asciiTheme="minorHAnsi" w:eastAsiaTheme="minorEastAsia" w:hAnsiTheme="minorHAnsi" w:cstheme="minorBidi"/>
          <w:i w:val="0"/>
          <w:iCs w:val="0"/>
          <w:color w:val="auto"/>
          <w:sz w:val="20"/>
          <w:szCs w:val="20"/>
          <w:lang w:val="cs-CZ"/>
        </w:rPr>
        <w:t>díky transferu znalostí a jejich následnému uvádění do</w:t>
      </w:r>
      <w:r w:rsidR="51F08B9C" w:rsidRPr="6C54F3A7">
        <w:rPr>
          <w:rStyle w:val="K-TextInfoChar"/>
          <w:rFonts w:asciiTheme="minorHAnsi" w:eastAsiaTheme="minorEastAsia" w:hAnsiTheme="minorHAnsi" w:cstheme="minorBidi"/>
          <w:i w:val="0"/>
          <w:iCs w:val="0"/>
          <w:color w:val="auto"/>
          <w:sz w:val="20"/>
          <w:szCs w:val="20"/>
          <w:lang w:val="cs-CZ"/>
        </w:rPr>
        <w:t> </w:t>
      </w:r>
      <w:r w:rsidRPr="6C54F3A7">
        <w:rPr>
          <w:rStyle w:val="K-TextInfoChar"/>
          <w:rFonts w:asciiTheme="minorHAnsi" w:eastAsiaTheme="minorEastAsia" w:hAnsiTheme="minorHAnsi" w:cstheme="minorBidi"/>
          <w:i w:val="0"/>
          <w:iCs w:val="0"/>
          <w:color w:val="auto"/>
          <w:sz w:val="20"/>
          <w:szCs w:val="20"/>
          <w:lang w:val="cs-CZ"/>
        </w:rPr>
        <w:t xml:space="preserve">praxe </w:t>
      </w:r>
      <w:r w:rsidR="37410BAA" w:rsidRPr="6C54F3A7">
        <w:rPr>
          <w:rStyle w:val="K-TextInfoChar"/>
          <w:rFonts w:asciiTheme="minorHAnsi" w:eastAsiaTheme="minorEastAsia" w:hAnsiTheme="minorHAnsi" w:cstheme="minorBidi"/>
          <w:i w:val="0"/>
          <w:iCs w:val="0"/>
          <w:color w:val="auto"/>
          <w:sz w:val="20"/>
          <w:szCs w:val="20"/>
          <w:lang w:val="cs-CZ"/>
        </w:rPr>
        <w:t>s dalšími pozitivními dopady do</w:t>
      </w:r>
      <w:r w:rsidRPr="6C54F3A7">
        <w:rPr>
          <w:rStyle w:val="K-TextInfoChar"/>
          <w:rFonts w:asciiTheme="minorHAnsi" w:eastAsiaTheme="minorEastAsia" w:hAnsiTheme="minorHAnsi" w:cstheme="minorBidi"/>
          <w:i w:val="0"/>
          <w:iCs w:val="0"/>
          <w:color w:val="auto"/>
          <w:sz w:val="20"/>
          <w:szCs w:val="20"/>
          <w:lang w:val="cs-CZ"/>
        </w:rPr>
        <w:t xml:space="preserve"> oblasti léčebné péče a veřejného zdraví (- ty už </w:t>
      </w:r>
      <w:r w:rsidR="37410BAA" w:rsidRPr="6C54F3A7">
        <w:rPr>
          <w:rStyle w:val="K-TextInfoChar"/>
          <w:rFonts w:asciiTheme="minorHAnsi" w:eastAsiaTheme="minorEastAsia" w:hAnsiTheme="minorHAnsi" w:cstheme="minorBidi"/>
          <w:i w:val="0"/>
          <w:iCs w:val="0"/>
          <w:color w:val="auto"/>
          <w:sz w:val="20"/>
          <w:szCs w:val="20"/>
          <w:lang w:val="cs-CZ"/>
        </w:rPr>
        <w:t xml:space="preserve">ale </w:t>
      </w:r>
      <w:r w:rsidRPr="6C54F3A7">
        <w:rPr>
          <w:rStyle w:val="K-TextInfoChar"/>
          <w:rFonts w:asciiTheme="minorHAnsi" w:eastAsiaTheme="minorEastAsia" w:hAnsiTheme="minorHAnsi" w:cstheme="minorBidi"/>
          <w:i w:val="0"/>
          <w:iCs w:val="0"/>
          <w:color w:val="auto"/>
          <w:sz w:val="20"/>
          <w:szCs w:val="20"/>
          <w:lang w:val="cs-CZ"/>
        </w:rPr>
        <w:t xml:space="preserve">budou realizovány mimo tuto komponentu). </w:t>
      </w:r>
    </w:p>
    <w:p w14:paraId="74AE33C8" w14:textId="2B21794D" w:rsidR="00F63BB9" w:rsidRPr="00992741" w:rsidRDefault="47336A48" w:rsidP="6C54F3A7">
      <w:pPr>
        <w:pStyle w:val="Briefinglist1"/>
        <w:keepLines w:val="0"/>
        <w:tabs>
          <w:tab w:val="clear" w:pos="284"/>
        </w:tabs>
        <w:spacing w:before="120"/>
        <w:ind w:left="0" w:firstLine="0"/>
        <w:rPr>
          <w:rStyle w:val="K-TextInfoChar"/>
          <w:rFonts w:asciiTheme="minorHAnsi" w:eastAsiaTheme="minorEastAsia" w:hAnsiTheme="minorHAnsi" w:cstheme="minorBidi"/>
          <w:i w:val="0"/>
          <w:iCs w:val="0"/>
          <w:color w:val="auto"/>
          <w:sz w:val="20"/>
          <w:szCs w:val="20"/>
          <w:lang w:val="cs-CZ"/>
        </w:rPr>
      </w:pPr>
      <w:r w:rsidRPr="6C54F3A7">
        <w:rPr>
          <w:rStyle w:val="K-TextInfoChar"/>
          <w:rFonts w:asciiTheme="minorHAnsi" w:eastAsiaTheme="minorEastAsia" w:hAnsiTheme="minorHAnsi" w:cstheme="minorBidi"/>
          <w:i w:val="0"/>
          <w:iCs w:val="0"/>
          <w:color w:val="auto"/>
          <w:sz w:val="20"/>
          <w:szCs w:val="20"/>
          <w:lang w:val="cs-CZ"/>
        </w:rPr>
        <w:t>Účastníky projektů podpořených v této komponentě mohou být vědecké týmy z univerzit, veřejných výzkumných institucí sdružených v Akademii věd ČR i působících v oblasti zdravotnictví, ze</w:t>
      </w:r>
      <w:r w:rsidR="37410BAA" w:rsidRPr="6C54F3A7">
        <w:rPr>
          <w:rStyle w:val="K-TextInfoChar"/>
          <w:rFonts w:asciiTheme="minorHAnsi" w:eastAsiaTheme="minorEastAsia" w:hAnsiTheme="minorHAnsi" w:cstheme="minorBidi"/>
          <w:i w:val="0"/>
          <w:iCs w:val="0"/>
          <w:color w:val="auto"/>
          <w:sz w:val="20"/>
          <w:szCs w:val="20"/>
          <w:lang w:val="cs-CZ"/>
        </w:rPr>
        <w:t> </w:t>
      </w:r>
      <w:r w:rsidRPr="6C54F3A7">
        <w:rPr>
          <w:rStyle w:val="K-TextInfoChar"/>
          <w:rFonts w:asciiTheme="minorHAnsi" w:eastAsiaTheme="minorEastAsia" w:hAnsiTheme="minorHAnsi" w:cstheme="minorBidi"/>
          <w:i w:val="0"/>
          <w:iCs w:val="0"/>
          <w:color w:val="auto"/>
          <w:sz w:val="20"/>
          <w:szCs w:val="20"/>
          <w:lang w:val="cs-CZ"/>
        </w:rPr>
        <w:t>soukromoprávních výzkumných organizací</w:t>
      </w:r>
      <w:r w:rsidR="60D30D84" w:rsidRPr="6C54F3A7">
        <w:rPr>
          <w:rStyle w:val="K-TextInfoChar"/>
          <w:rFonts w:asciiTheme="minorHAnsi" w:eastAsiaTheme="minorEastAsia" w:hAnsiTheme="minorHAnsi" w:cstheme="minorBidi"/>
          <w:i w:val="0"/>
          <w:iCs w:val="0"/>
          <w:color w:val="auto"/>
          <w:sz w:val="20"/>
          <w:szCs w:val="20"/>
          <w:lang w:val="cs-CZ"/>
        </w:rPr>
        <w:t>,</w:t>
      </w:r>
      <w:r w:rsidRPr="6C54F3A7">
        <w:rPr>
          <w:rStyle w:val="K-TextInfoChar"/>
          <w:rFonts w:asciiTheme="minorHAnsi" w:eastAsiaTheme="minorEastAsia" w:hAnsiTheme="minorHAnsi" w:cstheme="minorBidi"/>
          <w:i w:val="0"/>
          <w:iCs w:val="0"/>
          <w:color w:val="auto"/>
          <w:sz w:val="20"/>
          <w:szCs w:val="20"/>
          <w:lang w:val="cs-CZ"/>
        </w:rPr>
        <w:t xml:space="preserve"> </w:t>
      </w:r>
      <w:r w:rsidR="60D30D84" w:rsidRPr="6C54F3A7">
        <w:rPr>
          <w:rStyle w:val="K-TextInfoChar"/>
          <w:rFonts w:asciiTheme="minorHAnsi" w:eastAsiaTheme="minorEastAsia" w:hAnsiTheme="minorHAnsi" w:cstheme="minorBidi"/>
          <w:i w:val="0"/>
          <w:iCs w:val="0"/>
          <w:color w:val="auto"/>
          <w:sz w:val="20"/>
          <w:szCs w:val="20"/>
          <w:lang w:val="cs-CZ"/>
        </w:rPr>
        <w:t xml:space="preserve">z podniků s výzkumným potenciálem </w:t>
      </w:r>
      <w:r w:rsidRPr="6C54F3A7">
        <w:rPr>
          <w:rStyle w:val="K-TextInfoChar"/>
          <w:rFonts w:asciiTheme="minorHAnsi" w:eastAsiaTheme="minorEastAsia" w:hAnsiTheme="minorHAnsi" w:cstheme="minorBidi"/>
          <w:i w:val="0"/>
          <w:iCs w:val="0"/>
          <w:color w:val="auto"/>
          <w:sz w:val="20"/>
          <w:szCs w:val="20"/>
          <w:lang w:val="cs-CZ"/>
        </w:rPr>
        <w:t xml:space="preserve">a z další subjektů působících ve </w:t>
      </w:r>
      <w:r w:rsidR="37410BAA" w:rsidRPr="6C54F3A7">
        <w:rPr>
          <w:rStyle w:val="K-TextInfoChar"/>
          <w:rFonts w:asciiTheme="minorHAnsi" w:eastAsiaTheme="minorEastAsia" w:hAnsiTheme="minorHAnsi" w:cstheme="minorBidi"/>
          <w:i w:val="0"/>
          <w:iCs w:val="0"/>
          <w:color w:val="auto"/>
          <w:sz w:val="20"/>
          <w:szCs w:val="20"/>
          <w:lang w:val="cs-CZ"/>
        </w:rPr>
        <w:t>R</w:t>
      </w:r>
      <w:r w:rsidRPr="6C54F3A7">
        <w:rPr>
          <w:rStyle w:val="K-TextInfoChar"/>
          <w:rFonts w:asciiTheme="minorHAnsi" w:eastAsiaTheme="minorEastAsia" w:hAnsiTheme="minorHAnsi" w:cstheme="minorBidi"/>
          <w:i w:val="0"/>
          <w:iCs w:val="0"/>
          <w:color w:val="auto"/>
          <w:sz w:val="20"/>
          <w:szCs w:val="20"/>
          <w:lang w:val="cs-CZ"/>
        </w:rPr>
        <w:t>&amp;</w:t>
      </w:r>
      <w:r w:rsidR="37410BAA" w:rsidRPr="6C54F3A7">
        <w:rPr>
          <w:rStyle w:val="K-TextInfoChar"/>
          <w:rFonts w:asciiTheme="minorHAnsi" w:eastAsiaTheme="minorEastAsia" w:hAnsiTheme="minorHAnsi" w:cstheme="minorBidi"/>
          <w:i w:val="0"/>
          <w:iCs w:val="0"/>
          <w:color w:val="auto"/>
          <w:sz w:val="20"/>
          <w:szCs w:val="20"/>
          <w:lang w:val="cs-CZ"/>
        </w:rPr>
        <w:t>D</w:t>
      </w:r>
      <w:r w:rsidR="60D30D84" w:rsidRPr="6C54F3A7">
        <w:rPr>
          <w:rStyle w:val="K-TextInfoChar"/>
          <w:rFonts w:asciiTheme="minorHAnsi" w:eastAsiaTheme="minorEastAsia" w:hAnsiTheme="minorHAnsi" w:cstheme="minorBidi"/>
          <w:i w:val="0"/>
          <w:iCs w:val="0"/>
          <w:color w:val="auto"/>
          <w:sz w:val="20"/>
          <w:szCs w:val="20"/>
          <w:lang w:val="cs-CZ"/>
        </w:rPr>
        <w:t xml:space="preserve"> jako</w:t>
      </w:r>
      <w:r w:rsidRPr="6C54F3A7">
        <w:rPr>
          <w:rStyle w:val="K-TextInfoChar"/>
          <w:rFonts w:asciiTheme="minorHAnsi" w:eastAsiaTheme="minorEastAsia" w:hAnsiTheme="minorHAnsi" w:cstheme="minorBidi"/>
          <w:i w:val="0"/>
          <w:iCs w:val="0"/>
          <w:color w:val="auto"/>
          <w:sz w:val="20"/>
          <w:szCs w:val="20"/>
          <w:lang w:val="cs-CZ"/>
        </w:rPr>
        <w:t xml:space="preserve"> “ověřovatelé</w:t>
      </w:r>
      <w:r w:rsidR="60D30D84" w:rsidRPr="6C54F3A7">
        <w:rPr>
          <w:rStyle w:val="K-TextInfoChar"/>
          <w:rFonts w:asciiTheme="minorHAnsi" w:eastAsiaTheme="minorEastAsia" w:hAnsiTheme="minorHAnsi" w:cstheme="minorBidi"/>
          <w:i w:val="0"/>
          <w:iCs w:val="0"/>
          <w:color w:val="auto"/>
          <w:sz w:val="20"/>
          <w:szCs w:val="20"/>
          <w:lang w:val="cs-CZ"/>
        </w:rPr>
        <w:t>“</w:t>
      </w:r>
      <w:r w:rsidRPr="6C54F3A7">
        <w:rPr>
          <w:rStyle w:val="K-TextInfoChar"/>
          <w:rFonts w:asciiTheme="minorHAnsi" w:eastAsiaTheme="minorEastAsia" w:hAnsiTheme="minorHAnsi" w:cstheme="minorBidi"/>
          <w:i w:val="0"/>
          <w:iCs w:val="0"/>
          <w:color w:val="auto"/>
          <w:sz w:val="20"/>
          <w:szCs w:val="20"/>
          <w:lang w:val="cs-CZ"/>
        </w:rPr>
        <w:t xml:space="preserve"> aplikačních výstupů v</w:t>
      </w:r>
      <w:r w:rsidR="60D30D84" w:rsidRPr="6C54F3A7">
        <w:rPr>
          <w:rStyle w:val="K-TextInfoChar"/>
          <w:rFonts w:asciiTheme="minorHAnsi" w:eastAsiaTheme="minorEastAsia" w:hAnsiTheme="minorHAnsi" w:cstheme="minorBidi"/>
          <w:i w:val="0"/>
          <w:iCs w:val="0"/>
          <w:color w:val="auto"/>
          <w:sz w:val="20"/>
          <w:szCs w:val="20"/>
          <w:lang w:val="cs-CZ"/>
        </w:rPr>
        <w:t> identifikovaných prioritních</w:t>
      </w:r>
      <w:r w:rsidRPr="6C54F3A7">
        <w:rPr>
          <w:rStyle w:val="K-TextInfoChar"/>
          <w:rFonts w:asciiTheme="minorHAnsi" w:eastAsiaTheme="minorEastAsia" w:hAnsiTheme="minorHAnsi" w:cstheme="minorBidi"/>
          <w:i w:val="0"/>
          <w:iCs w:val="0"/>
          <w:color w:val="auto"/>
          <w:sz w:val="20"/>
          <w:szCs w:val="20"/>
          <w:lang w:val="cs-CZ"/>
        </w:rPr>
        <w:t xml:space="preserve"> oblast</w:t>
      </w:r>
      <w:r w:rsidR="60D30D84" w:rsidRPr="6C54F3A7">
        <w:rPr>
          <w:rStyle w:val="K-TextInfoChar"/>
          <w:rFonts w:asciiTheme="minorHAnsi" w:eastAsiaTheme="minorEastAsia" w:hAnsiTheme="minorHAnsi" w:cstheme="minorBidi"/>
          <w:i w:val="0"/>
          <w:iCs w:val="0"/>
          <w:color w:val="auto"/>
          <w:sz w:val="20"/>
          <w:szCs w:val="20"/>
          <w:lang w:val="cs-CZ"/>
        </w:rPr>
        <w:t xml:space="preserve">ech. </w:t>
      </w:r>
      <w:r w:rsidR="37410BAA" w:rsidRPr="6C54F3A7">
        <w:rPr>
          <w:rStyle w:val="K-TextInfoChar"/>
          <w:rFonts w:asciiTheme="minorHAnsi" w:eastAsiaTheme="minorEastAsia" w:hAnsiTheme="minorHAnsi" w:cstheme="minorBidi"/>
          <w:i w:val="0"/>
          <w:iCs w:val="0"/>
          <w:color w:val="auto"/>
          <w:sz w:val="20"/>
          <w:szCs w:val="20"/>
          <w:lang w:val="cs-CZ"/>
        </w:rPr>
        <w:t>V projektech této investice, jak již bylo zdůrazněno</w:t>
      </w:r>
      <w:r w:rsidR="5F029356" w:rsidRPr="6C54F3A7">
        <w:rPr>
          <w:rStyle w:val="K-TextInfoChar"/>
          <w:rFonts w:asciiTheme="minorHAnsi" w:eastAsiaTheme="minorEastAsia" w:hAnsiTheme="minorHAnsi" w:cstheme="minorBidi"/>
          <w:i w:val="0"/>
          <w:iCs w:val="0"/>
          <w:color w:val="auto"/>
          <w:sz w:val="20"/>
          <w:szCs w:val="20"/>
          <w:lang w:val="cs-CZ"/>
        </w:rPr>
        <w:t>,</w:t>
      </w:r>
      <w:r w:rsidR="37410BAA" w:rsidRPr="6C54F3A7">
        <w:rPr>
          <w:rStyle w:val="K-TextInfoChar"/>
          <w:rFonts w:asciiTheme="minorHAnsi" w:eastAsiaTheme="minorEastAsia" w:hAnsiTheme="minorHAnsi" w:cstheme="minorBidi"/>
          <w:i w:val="0"/>
          <w:iCs w:val="0"/>
          <w:color w:val="auto"/>
          <w:sz w:val="20"/>
          <w:szCs w:val="20"/>
          <w:lang w:val="cs-CZ"/>
        </w:rPr>
        <w:t xml:space="preserve"> b</w:t>
      </w:r>
      <w:r w:rsidR="60D30D84" w:rsidRPr="6C54F3A7">
        <w:rPr>
          <w:rStyle w:val="K-TextInfoChar"/>
          <w:rFonts w:asciiTheme="minorHAnsi" w:eastAsiaTheme="minorEastAsia" w:hAnsiTheme="minorHAnsi" w:cstheme="minorBidi"/>
          <w:i w:val="0"/>
          <w:iCs w:val="0"/>
          <w:color w:val="auto"/>
          <w:sz w:val="20"/>
          <w:szCs w:val="20"/>
          <w:lang w:val="cs-CZ"/>
        </w:rPr>
        <w:t>ud</w:t>
      </w:r>
      <w:r w:rsidR="5F029356" w:rsidRPr="6C54F3A7">
        <w:rPr>
          <w:rStyle w:val="K-TextInfoChar"/>
          <w:rFonts w:asciiTheme="minorHAnsi" w:eastAsiaTheme="minorEastAsia" w:hAnsiTheme="minorHAnsi" w:cstheme="minorBidi"/>
          <w:i w:val="0"/>
          <w:iCs w:val="0"/>
          <w:color w:val="auto"/>
          <w:sz w:val="20"/>
          <w:szCs w:val="20"/>
          <w:lang w:val="cs-CZ"/>
        </w:rPr>
        <w:t>ou</w:t>
      </w:r>
      <w:r w:rsidR="60D30D84" w:rsidRPr="6C54F3A7">
        <w:rPr>
          <w:rStyle w:val="K-TextInfoChar"/>
          <w:rFonts w:asciiTheme="minorHAnsi" w:eastAsiaTheme="minorEastAsia" w:hAnsiTheme="minorHAnsi" w:cstheme="minorBidi"/>
          <w:i w:val="0"/>
          <w:iCs w:val="0"/>
          <w:color w:val="auto"/>
          <w:sz w:val="20"/>
          <w:szCs w:val="20"/>
          <w:lang w:val="cs-CZ"/>
        </w:rPr>
        <w:t xml:space="preserve"> hrazen</w:t>
      </w:r>
      <w:r w:rsidR="37410BAA" w:rsidRPr="6C54F3A7">
        <w:rPr>
          <w:rStyle w:val="K-TextInfoChar"/>
          <w:rFonts w:asciiTheme="minorHAnsi" w:eastAsiaTheme="minorEastAsia" w:hAnsiTheme="minorHAnsi" w:cstheme="minorBidi"/>
          <w:i w:val="0"/>
          <w:iCs w:val="0"/>
          <w:color w:val="auto"/>
          <w:sz w:val="20"/>
          <w:szCs w:val="20"/>
          <w:lang w:val="cs-CZ"/>
        </w:rPr>
        <w:t>y</w:t>
      </w:r>
      <w:r w:rsidR="60D30D84" w:rsidRPr="6C54F3A7">
        <w:rPr>
          <w:rStyle w:val="K-TextInfoChar"/>
          <w:rFonts w:asciiTheme="minorHAnsi" w:eastAsiaTheme="minorEastAsia" w:hAnsiTheme="minorHAnsi" w:cstheme="minorBidi"/>
          <w:i w:val="0"/>
          <w:iCs w:val="0"/>
          <w:color w:val="auto"/>
          <w:sz w:val="20"/>
          <w:szCs w:val="20"/>
          <w:lang w:val="cs-CZ"/>
        </w:rPr>
        <w:t xml:space="preserve"> pouze </w:t>
      </w:r>
      <w:r w:rsidR="37410BAA" w:rsidRPr="6C54F3A7">
        <w:rPr>
          <w:rStyle w:val="K-TextInfoChar"/>
          <w:rFonts w:asciiTheme="minorHAnsi" w:eastAsiaTheme="minorEastAsia" w:hAnsiTheme="minorHAnsi" w:cstheme="minorBidi"/>
          <w:i w:val="0"/>
          <w:iCs w:val="0"/>
          <w:color w:val="auto"/>
          <w:sz w:val="20"/>
          <w:szCs w:val="20"/>
          <w:lang w:val="cs-CZ"/>
        </w:rPr>
        <w:t>projektové R&amp;D aktivity</w:t>
      </w:r>
      <w:r w:rsidR="60D30D84" w:rsidRPr="6C54F3A7">
        <w:rPr>
          <w:rStyle w:val="K-TextInfoChar"/>
          <w:rFonts w:asciiTheme="minorHAnsi" w:eastAsiaTheme="minorEastAsia" w:hAnsiTheme="minorHAnsi" w:cstheme="minorBidi"/>
          <w:i w:val="0"/>
          <w:iCs w:val="0"/>
          <w:color w:val="auto"/>
          <w:sz w:val="20"/>
          <w:szCs w:val="20"/>
          <w:lang w:val="cs-CZ"/>
        </w:rPr>
        <w:t xml:space="preserve">. V komponentě nebude hrazen běžný </w:t>
      </w:r>
      <w:r w:rsidRPr="6C54F3A7">
        <w:rPr>
          <w:rStyle w:val="K-TextInfoChar"/>
          <w:rFonts w:asciiTheme="minorHAnsi" w:eastAsiaTheme="minorEastAsia" w:hAnsiTheme="minorHAnsi" w:cstheme="minorBidi"/>
          <w:i w:val="0"/>
          <w:iCs w:val="0"/>
          <w:color w:val="auto"/>
          <w:sz w:val="20"/>
          <w:szCs w:val="20"/>
          <w:lang w:val="cs-CZ"/>
        </w:rPr>
        <w:t>provoz nemocnic</w:t>
      </w:r>
      <w:r w:rsidR="60D30D84" w:rsidRPr="6C54F3A7">
        <w:rPr>
          <w:rStyle w:val="K-TextInfoChar"/>
          <w:rFonts w:asciiTheme="minorHAnsi" w:eastAsiaTheme="minorEastAsia" w:hAnsiTheme="minorHAnsi" w:cstheme="minorBidi"/>
          <w:i w:val="0"/>
          <w:iCs w:val="0"/>
          <w:color w:val="auto"/>
          <w:sz w:val="20"/>
          <w:szCs w:val="20"/>
          <w:lang w:val="cs-CZ"/>
        </w:rPr>
        <w:t>, jejich servisních laboratoří</w:t>
      </w:r>
      <w:r w:rsidRPr="6C54F3A7">
        <w:rPr>
          <w:rStyle w:val="K-TextInfoChar"/>
          <w:rFonts w:asciiTheme="minorHAnsi" w:eastAsiaTheme="minorEastAsia" w:hAnsiTheme="minorHAnsi" w:cstheme="minorBidi"/>
          <w:i w:val="0"/>
          <w:iCs w:val="0"/>
          <w:color w:val="auto"/>
          <w:sz w:val="20"/>
          <w:szCs w:val="20"/>
          <w:lang w:val="cs-CZ"/>
        </w:rPr>
        <w:t xml:space="preserve"> </w:t>
      </w:r>
      <w:r w:rsidR="60D30D84" w:rsidRPr="6C54F3A7">
        <w:rPr>
          <w:rStyle w:val="K-TextInfoChar"/>
          <w:rFonts w:asciiTheme="minorHAnsi" w:eastAsiaTheme="minorEastAsia" w:hAnsiTheme="minorHAnsi" w:cstheme="minorBidi"/>
          <w:i w:val="0"/>
          <w:iCs w:val="0"/>
          <w:color w:val="auto"/>
          <w:sz w:val="20"/>
          <w:szCs w:val="20"/>
          <w:lang w:val="cs-CZ"/>
        </w:rPr>
        <w:t>a ani jiných zdravotnických zařízení, ani</w:t>
      </w:r>
      <w:r w:rsidRPr="6C54F3A7">
        <w:rPr>
          <w:rStyle w:val="K-TextInfoChar"/>
          <w:rFonts w:asciiTheme="minorHAnsi" w:eastAsiaTheme="minorEastAsia" w:hAnsiTheme="minorHAnsi" w:cstheme="minorBidi"/>
          <w:i w:val="0"/>
          <w:iCs w:val="0"/>
          <w:color w:val="auto"/>
          <w:sz w:val="20"/>
          <w:szCs w:val="20"/>
          <w:lang w:val="cs-CZ"/>
        </w:rPr>
        <w:t xml:space="preserve"> vla</w:t>
      </w:r>
      <w:r w:rsidR="60D30D84" w:rsidRPr="6C54F3A7">
        <w:rPr>
          <w:rStyle w:val="K-TextInfoChar"/>
          <w:rFonts w:asciiTheme="minorHAnsi" w:eastAsiaTheme="minorEastAsia" w:hAnsiTheme="minorHAnsi" w:cstheme="minorBidi"/>
          <w:i w:val="0"/>
          <w:iCs w:val="0"/>
          <w:color w:val="auto"/>
          <w:sz w:val="20"/>
          <w:szCs w:val="20"/>
          <w:lang w:val="cs-CZ"/>
        </w:rPr>
        <w:t>s</w:t>
      </w:r>
      <w:r w:rsidRPr="6C54F3A7">
        <w:rPr>
          <w:rStyle w:val="K-TextInfoChar"/>
          <w:rFonts w:asciiTheme="minorHAnsi" w:eastAsiaTheme="minorEastAsia" w:hAnsiTheme="minorHAnsi" w:cstheme="minorBidi"/>
          <w:i w:val="0"/>
          <w:iCs w:val="0"/>
          <w:color w:val="auto"/>
          <w:sz w:val="20"/>
          <w:szCs w:val="20"/>
          <w:lang w:val="cs-CZ"/>
        </w:rPr>
        <w:t>tní lé</w:t>
      </w:r>
      <w:r w:rsidR="60D30D84" w:rsidRPr="6C54F3A7">
        <w:rPr>
          <w:rStyle w:val="K-TextInfoChar"/>
          <w:rFonts w:asciiTheme="minorHAnsi" w:eastAsiaTheme="minorEastAsia" w:hAnsiTheme="minorHAnsi" w:cstheme="minorBidi"/>
          <w:i w:val="0"/>
          <w:iCs w:val="0"/>
          <w:color w:val="auto"/>
          <w:sz w:val="20"/>
          <w:szCs w:val="20"/>
          <w:lang w:val="cs-CZ"/>
        </w:rPr>
        <w:t xml:space="preserve">čebná péče nebo činnosti, které jsou předmětem podpory v jiných komponentách NPO nebo </w:t>
      </w:r>
      <w:r w:rsidR="37410BAA" w:rsidRPr="6C54F3A7">
        <w:rPr>
          <w:rStyle w:val="K-TextInfoChar"/>
          <w:rFonts w:asciiTheme="minorHAnsi" w:eastAsiaTheme="minorEastAsia" w:hAnsiTheme="minorHAnsi" w:cstheme="minorBidi"/>
          <w:i w:val="0"/>
          <w:iCs w:val="0"/>
          <w:color w:val="auto"/>
          <w:sz w:val="20"/>
          <w:szCs w:val="20"/>
          <w:lang w:val="cs-CZ"/>
        </w:rPr>
        <w:t xml:space="preserve">v </w:t>
      </w:r>
      <w:r w:rsidR="60D30D84" w:rsidRPr="6C54F3A7">
        <w:rPr>
          <w:rStyle w:val="K-TextInfoChar"/>
          <w:rFonts w:asciiTheme="minorHAnsi" w:eastAsiaTheme="minorEastAsia" w:hAnsiTheme="minorHAnsi" w:cstheme="minorBidi"/>
          <w:i w:val="0"/>
          <w:iCs w:val="0"/>
          <w:color w:val="auto"/>
          <w:sz w:val="20"/>
          <w:szCs w:val="20"/>
          <w:lang w:val="cs-CZ"/>
        </w:rPr>
        <w:t>jiných dotačních opatření</w:t>
      </w:r>
      <w:r w:rsidR="37410BAA" w:rsidRPr="6C54F3A7">
        <w:rPr>
          <w:rStyle w:val="K-TextInfoChar"/>
          <w:rFonts w:asciiTheme="minorHAnsi" w:eastAsiaTheme="minorEastAsia" w:hAnsiTheme="minorHAnsi" w:cstheme="minorBidi"/>
          <w:i w:val="0"/>
          <w:iCs w:val="0"/>
          <w:color w:val="auto"/>
          <w:sz w:val="20"/>
          <w:szCs w:val="20"/>
          <w:lang w:val="cs-CZ"/>
        </w:rPr>
        <w:t>ch</w:t>
      </w:r>
      <w:r w:rsidR="60D30D84" w:rsidRPr="6C54F3A7">
        <w:rPr>
          <w:rStyle w:val="K-TextInfoChar"/>
          <w:rFonts w:asciiTheme="minorHAnsi" w:eastAsiaTheme="minorEastAsia" w:hAnsiTheme="minorHAnsi" w:cstheme="minorBidi"/>
          <w:i w:val="0"/>
          <w:iCs w:val="0"/>
          <w:color w:val="auto"/>
          <w:sz w:val="20"/>
          <w:szCs w:val="20"/>
          <w:lang w:val="cs-CZ"/>
        </w:rPr>
        <w:t>.</w:t>
      </w:r>
    </w:p>
    <w:p w14:paraId="53088716" w14:textId="7303316F" w:rsidR="005031B0" w:rsidRPr="00992741" w:rsidRDefault="2CDC4C02" w:rsidP="6C54F3A7">
      <w:pPr>
        <w:pStyle w:val="Briefinglist1"/>
        <w:keepLines w:val="0"/>
        <w:tabs>
          <w:tab w:val="clear" w:pos="284"/>
        </w:tabs>
        <w:spacing w:before="120"/>
        <w:ind w:left="0" w:firstLine="0"/>
        <w:rPr>
          <w:rStyle w:val="K-TextInfoChar"/>
          <w:rFonts w:asciiTheme="minorHAnsi" w:eastAsiaTheme="minorEastAsia" w:hAnsiTheme="minorHAnsi" w:cstheme="minorBidi"/>
          <w:i w:val="0"/>
          <w:iCs w:val="0"/>
          <w:color w:val="auto"/>
          <w:sz w:val="20"/>
          <w:szCs w:val="20"/>
          <w:lang w:val="cs-CZ"/>
        </w:rPr>
      </w:pPr>
      <w:r w:rsidRPr="6C54F3A7">
        <w:rPr>
          <w:rStyle w:val="K-TextInfoChar"/>
          <w:rFonts w:asciiTheme="minorHAnsi" w:eastAsiaTheme="minorEastAsia" w:hAnsiTheme="minorHAnsi" w:cstheme="minorBidi"/>
          <w:i w:val="0"/>
          <w:iCs w:val="0"/>
          <w:color w:val="auto"/>
          <w:sz w:val="20"/>
          <w:szCs w:val="20"/>
          <w:lang w:val="cs-CZ"/>
        </w:rPr>
        <w:t xml:space="preserve">Předmětem podpory </w:t>
      </w:r>
      <w:r w:rsidR="11C4B70F" w:rsidRPr="6C54F3A7">
        <w:rPr>
          <w:rStyle w:val="K-TextInfoChar"/>
          <w:rFonts w:asciiTheme="minorHAnsi" w:eastAsiaTheme="minorEastAsia" w:hAnsiTheme="minorHAnsi" w:cstheme="minorBidi"/>
          <w:i w:val="0"/>
          <w:iCs w:val="0"/>
          <w:color w:val="auto"/>
          <w:sz w:val="20"/>
          <w:szCs w:val="20"/>
          <w:lang w:val="cs-CZ"/>
        </w:rPr>
        <w:t>i </w:t>
      </w:r>
      <w:r w:rsidRPr="6C54F3A7">
        <w:rPr>
          <w:rStyle w:val="K-TextInfoChar"/>
          <w:rFonts w:asciiTheme="minorHAnsi" w:eastAsiaTheme="minorEastAsia" w:hAnsiTheme="minorHAnsi" w:cstheme="minorBidi"/>
          <w:i w:val="0"/>
          <w:iCs w:val="0"/>
          <w:color w:val="auto"/>
          <w:sz w:val="20"/>
          <w:szCs w:val="20"/>
          <w:lang w:val="cs-CZ"/>
        </w:rPr>
        <w:t xml:space="preserve">nezbytnou podmínkou pro další fungování </w:t>
      </w:r>
      <w:r w:rsidR="2C4404B5" w:rsidRPr="6C54F3A7">
        <w:rPr>
          <w:rStyle w:val="K-TextInfoChar"/>
          <w:rFonts w:asciiTheme="minorHAnsi" w:eastAsiaTheme="minorEastAsia" w:hAnsiTheme="minorHAnsi" w:cstheme="minorBidi"/>
          <w:i w:val="0"/>
          <w:iCs w:val="0"/>
          <w:color w:val="auto"/>
          <w:sz w:val="20"/>
          <w:szCs w:val="20"/>
          <w:lang w:val="cs-CZ"/>
        </w:rPr>
        <w:t>takto zformovaných národních výzkumných platforem (konsorciálních institutů)</w:t>
      </w:r>
      <w:r w:rsidRPr="6C54F3A7">
        <w:rPr>
          <w:rStyle w:val="K-TextInfoChar"/>
          <w:rFonts w:asciiTheme="minorHAnsi" w:eastAsiaTheme="minorEastAsia" w:hAnsiTheme="minorHAnsi" w:cstheme="minorBidi"/>
          <w:i w:val="0"/>
          <w:iCs w:val="0"/>
          <w:color w:val="auto"/>
          <w:sz w:val="20"/>
          <w:szCs w:val="20"/>
          <w:lang w:val="cs-CZ"/>
        </w:rPr>
        <w:t xml:space="preserve"> </w:t>
      </w:r>
      <w:r w:rsidR="2C4404B5" w:rsidRPr="6C54F3A7">
        <w:rPr>
          <w:rStyle w:val="K-TextInfoChar"/>
          <w:rFonts w:asciiTheme="minorHAnsi" w:eastAsiaTheme="minorEastAsia" w:hAnsiTheme="minorHAnsi" w:cstheme="minorBidi"/>
          <w:i w:val="0"/>
          <w:iCs w:val="0"/>
          <w:color w:val="auto"/>
          <w:sz w:val="20"/>
          <w:szCs w:val="20"/>
          <w:lang w:val="cs-CZ"/>
        </w:rPr>
        <w:t>bude</w:t>
      </w:r>
      <w:r w:rsidRPr="6C54F3A7">
        <w:rPr>
          <w:rStyle w:val="K-TextInfoChar"/>
          <w:rFonts w:asciiTheme="minorHAnsi" w:eastAsiaTheme="minorEastAsia" w:hAnsiTheme="minorHAnsi" w:cstheme="minorBidi"/>
          <w:i w:val="0"/>
          <w:iCs w:val="0"/>
          <w:color w:val="auto"/>
          <w:sz w:val="20"/>
          <w:szCs w:val="20"/>
          <w:lang w:val="cs-CZ"/>
        </w:rPr>
        <w:t xml:space="preserve"> </w:t>
      </w:r>
      <w:r w:rsidR="37410BAA" w:rsidRPr="6C54F3A7">
        <w:rPr>
          <w:rStyle w:val="K-TextInfoChar"/>
          <w:rFonts w:asciiTheme="minorHAnsi" w:eastAsiaTheme="minorEastAsia" w:hAnsiTheme="minorHAnsi" w:cstheme="minorBidi"/>
          <w:i w:val="0"/>
          <w:iCs w:val="0"/>
          <w:color w:val="auto"/>
          <w:sz w:val="20"/>
          <w:szCs w:val="20"/>
          <w:lang w:val="cs-CZ"/>
        </w:rPr>
        <w:t xml:space="preserve">také </w:t>
      </w:r>
      <w:r w:rsidR="6C8AF0BD" w:rsidRPr="6C54F3A7">
        <w:rPr>
          <w:rStyle w:val="K-TextInfoChar"/>
          <w:rFonts w:asciiTheme="minorHAnsi" w:eastAsiaTheme="minorEastAsia" w:hAnsiTheme="minorHAnsi" w:cstheme="minorBidi"/>
          <w:i w:val="0"/>
          <w:iCs w:val="0"/>
          <w:color w:val="auto"/>
          <w:sz w:val="20"/>
          <w:szCs w:val="20"/>
          <w:lang w:val="cs-CZ"/>
        </w:rPr>
        <w:t xml:space="preserve">aplikovaný výzkum </w:t>
      </w:r>
      <w:r w:rsidR="11C4B70F" w:rsidRPr="6C54F3A7">
        <w:rPr>
          <w:rStyle w:val="K-TextInfoChar"/>
          <w:rFonts w:asciiTheme="minorHAnsi" w:eastAsiaTheme="minorEastAsia" w:hAnsiTheme="minorHAnsi" w:cstheme="minorBidi"/>
          <w:i w:val="0"/>
          <w:iCs w:val="0"/>
          <w:color w:val="auto"/>
          <w:sz w:val="20"/>
          <w:szCs w:val="20"/>
          <w:lang w:val="cs-CZ"/>
        </w:rPr>
        <w:t>v </w:t>
      </w:r>
      <w:r w:rsidR="6C8AF0BD" w:rsidRPr="6C54F3A7">
        <w:rPr>
          <w:rStyle w:val="K-TextInfoChar"/>
          <w:rFonts w:asciiTheme="minorHAnsi" w:eastAsiaTheme="minorEastAsia" w:hAnsiTheme="minorHAnsi" w:cstheme="minorBidi"/>
          <w:i w:val="0"/>
          <w:iCs w:val="0"/>
          <w:color w:val="auto"/>
          <w:sz w:val="20"/>
          <w:szCs w:val="20"/>
          <w:lang w:val="cs-CZ"/>
        </w:rPr>
        <w:t xml:space="preserve">oblasti společenských věd, přímo spojený </w:t>
      </w:r>
      <w:r w:rsidR="11C4B70F" w:rsidRPr="6C54F3A7">
        <w:rPr>
          <w:rStyle w:val="K-TextInfoChar"/>
          <w:rFonts w:asciiTheme="minorHAnsi" w:eastAsiaTheme="minorEastAsia" w:hAnsiTheme="minorHAnsi" w:cstheme="minorBidi"/>
          <w:i w:val="0"/>
          <w:iCs w:val="0"/>
          <w:color w:val="auto"/>
          <w:sz w:val="20"/>
          <w:szCs w:val="20"/>
          <w:lang w:val="cs-CZ"/>
        </w:rPr>
        <w:t>s </w:t>
      </w:r>
      <w:r w:rsidR="6C8AF0BD" w:rsidRPr="6C54F3A7">
        <w:rPr>
          <w:rStyle w:val="K-TextInfoChar"/>
          <w:rFonts w:asciiTheme="minorHAnsi" w:eastAsiaTheme="minorEastAsia" w:hAnsiTheme="minorHAnsi" w:cstheme="minorBidi"/>
          <w:i w:val="0"/>
          <w:iCs w:val="0"/>
          <w:color w:val="auto"/>
          <w:sz w:val="20"/>
          <w:szCs w:val="20"/>
          <w:lang w:val="cs-CZ"/>
        </w:rPr>
        <w:t>podporovanými aktivitami</w:t>
      </w:r>
      <w:r w:rsidR="37410BAA" w:rsidRPr="6C54F3A7">
        <w:rPr>
          <w:rStyle w:val="K-TextInfoChar"/>
          <w:rFonts w:asciiTheme="minorHAnsi" w:eastAsiaTheme="minorEastAsia" w:hAnsiTheme="minorHAnsi" w:cstheme="minorBidi"/>
          <w:i w:val="0"/>
          <w:iCs w:val="0"/>
          <w:color w:val="auto"/>
          <w:sz w:val="20"/>
          <w:szCs w:val="20"/>
          <w:lang w:val="cs-CZ"/>
        </w:rPr>
        <w:t xml:space="preserve"> oblasti zdrav</w:t>
      </w:r>
      <w:r w:rsidR="0C1D595C" w:rsidRPr="6C54F3A7">
        <w:rPr>
          <w:rStyle w:val="K-TextInfoChar"/>
          <w:rFonts w:asciiTheme="minorHAnsi" w:eastAsiaTheme="minorEastAsia" w:hAnsiTheme="minorHAnsi" w:cstheme="minorBidi"/>
          <w:i w:val="0"/>
          <w:iCs w:val="0"/>
          <w:color w:val="auto"/>
          <w:sz w:val="20"/>
          <w:szCs w:val="20"/>
          <w:lang w:val="cs-CZ"/>
        </w:rPr>
        <w:t>o</w:t>
      </w:r>
      <w:r w:rsidR="37410BAA" w:rsidRPr="6C54F3A7">
        <w:rPr>
          <w:rStyle w:val="K-TextInfoChar"/>
          <w:rFonts w:asciiTheme="minorHAnsi" w:eastAsiaTheme="minorEastAsia" w:hAnsiTheme="minorHAnsi" w:cstheme="minorBidi"/>
          <w:i w:val="0"/>
          <w:iCs w:val="0"/>
          <w:color w:val="auto"/>
          <w:sz w:val="20"/>
          <w:szCs w:val="20"/>
          <w:lang w:val="cs-CZ"/>
        </w:rPr>
        <w:t>tnictví</w:t>
      </w:r>
      <w:r w:rsidR="6C8AF0BD" w:rsidRPr="6C54F3A7">
        <w:rPr>
          <w:rStyle w:val="K-TextInfoChar"/>
          <w:rFonts w:asciiTheme="minorHAnsi" w:eastAsiaTheme="minorEastAsia" w:hAnsiTheme="minorHAnsi" w:cstheme="minorBidi"/>
          <w:i w:val="0"/>
          <w:iCs w:val="0"/>
          <w:color w:val="auto"/>
          <w:sz w:val="20"/>
          <w:szCs w:val="20"/>
          <w:lang w:val="cs-CZ"/>
        </w:rPr>
        <w:t xml:space="preserve">, který bude systematicky sledovat </w:t>
      </w:r>
      <w:r w:rsidR="11C4B70F" w:rsidRPr="6C54F3A7">
        <w:rPr>
          <w:rStyle w:val="K-TextInfoChar"/>
          <w:rFonts w:asciiTheme="minorHAnsi" w:eastAsiaTheme="minorEastAsia" w:hAnsiTheme="minorHAnsi" w:cstheme="minorBidi"/>
          <w:i w:val="0"/>
          <w:iCs w:val="0"/>
          <w:color w:val="auto"/>
          <w:sz w:val="20"/>
          <w:szCs w:val="20"/>
          <w:lang w:val="cs-CZ"/>
        </w:rPr>
        <w:t>a </w:t>
      </w:r>
      <w:r w:rsidR="6C8AF0BD" w:rsidRPr="6C54F3A7">
        <w:rPr>
          <w:rStyle w:val="K-TextInfoChar"/>
          <w:rFonts w:asciiTheme="minorHAnsi" w:eastAsiaTheme="minorEastAsia" w:hAnsiTheme="minorHAnsi" w:cstheme="minorBidi"/>
          <w:i w:val="0"/>
          <w:iCs w:val="0"/>
          <w:color w:val="auto"/>
          <w:sz w:val="20"/>
          <w:szCs w:val="20"/>
          <w:lang w:val="cs-CZ"/>
        </w:rPr>
        <w:t>analyzovat dopady na</w:t>
      </w:r>
      <w:r w:rsidR="37410BAA" w:rsidRPr="6C54F3A7">
        <w:rPr>
          <w:rStyle w:val="K-TextInfoChar"/>
          <w:rFonts w:asciiTheme="minorHAnsi" w:eastAsiaTheme="minorEastAsia" w:hAnsiTheme="minorHAnsi" w:cstheme="minorBidi"/>
          <w:i w:val="0"/>
          <w:iCs w:val="0"/>
          <w:color w:val="auto"/>
          <w:sz w:val="20"/>
          <w:szCs w:val="20"/>
          <w:lang w:val="cs-CZ"/>
        </w:rPr>
        <w:t> </w:t>
      </w:r>
      <w:r w:rsidR="6C8AF0BD" w:rsidRPr="6C54F3A7">
        <w:rPr>
          <w:rStyle w:val="K-TextInfoChar"/>
          <w:rFonts w:asciiTheme="minorHAnsi" w:eastAsiaTheme="minorEastAsia" w:hAnsiTheme="minorHAnsi" w:cstheme="minorBidi"/>
          <w:i w:val="0"/>
          <w:iCs w:val="0"/>
          <w:color w:val="auto"/>
          <w:sz w:val="20"/>
          <w:szCs w:val="20"/>
          <w:lang w:val="cs-CZ"/>
        </w:rPr>
        <w:t>společnost až na úroveň občanů</w:t>
      </w:r>
      <w:r w:rsidR="15E1F833" w:rsidRPr="6C54F3A7">
        <w:rPr>
          <w:rStyle w:val="K-TextInfoChar"/>
          <w:rFonts w:asciiTheme="minorHAnsi" w:eastAsiaTheme="minorEastAsia" w:hAnsiTheme="minorHAnsi" w:cstheme="minorBidi"/>
          <w:i w:val="0"/>
          <w:iCs w:val="0"/>
          <w:color w:val="auto"/>
          <w:sz w:val="20"/>
          <w:szCs w:val="20"/>
          <w:lang w:val="cs-CZ"/>
        </w:rPr>
        <w:t xml:space="preserve"> a jejich sociodemografických skupin (dle pohlaví, věku apod.),</w:t>
      </w:r>
      <w:r w:rsidR="37410BAA" w:rsidRPr="6C54F3A7">
        <w:rPr>
          <w:rStyle w:val="K-TextInfoChar"/>
          <w:rFonts w:asciiTheme="minorHAnsi" w:eastAsiaTheme="minorEastAsia" w:hAnsiTheme="minorHAnsi" w:cstheme="minorBidi"/>
          <w:i w:val="0"/>
          <w:iCs w:val="0"/>
          <w:color w:val="auto"/>
          <w:sz w:val="20"/>
          <w:szCs w:val="20"/>
          <w:lang w:val="cs-CZ"/>
        </w:rPr>
        <w:t xml:space="preserve"> který bude </w:t>
      </w:r>
      <w:r w:rsidR="6C8AF0BD" w:rsidRPr="6C54F3A7">
        <w:rPr>
          <w:rStyle w:val="K-TextInfoChar"/>
          <w:rFonts w:asciiTheme="minorHAnsi" w:eastAsiaTheme="minorEastAsia" w:hAnsiTheme="minorHAnsi" w:cstheme="minorBidi"/>
          <w:i w:val="0"/>
          <w:iCs w:val="0"/>
          <w:color w:val="auto"/>
          <w:sz w:val="20"/>
          <w:szCs w:val="20"/>
          <w:lang w:val="cs-CZ"/>
        </w:rPr>
        <w:t xml:space="preserve">identifikovat nové </w:t>
      </w:r>
      <w:r w:rsidR="567210E2" w:rsidRPr="6C54F3A7">
        <w:rPr>
          <w:rStyle w:val="K-TextInfoChar"/>
          <w:rFonts w:asciiTheme="minorHAnsi" w:eastAsiaTheme="minorEastAsia" w:hAnsiTheme="minorHAnsi" w:cstheme="minorBidi"/>
          <w:i w:val="0"/>
          <w:iCs w:val="0"/>
          <w:color w:val="auto"/>
          <w:sz w:val="20"/>
          <w:szCs w:val="20"/>
          <w:lang w:val="cs-CZ"/>
        </w:rPr>
        <w:t>s</w:t>
      </w:r>
      <w:r w:rsidR="6C8AF0BD" w:rsidRPr="6C54F3A7">
        <w:rPr>
          <w:rStyle w:val="K-TextInfoChar"/>
          <w:rFonts w:asciiTheme="minorHAnsi" w:eastAsiaTheme="minorEastAsia" w:hAnsiTheme="minorHAnsi" w:cstheme="minorBidi"/>
          <w:i w:val="0"/>
          <w:iCs w:val="0"/>
          <w:color w:val="auto"/>
          <w:sz w:val="20"/>
          <w:szCs w:val="20"/>
          <w:lang w:val="cs-CZ"/>
        </w:rPr>
        <w:t xml:space="preserve">polečenské </w:t>
      </w:r>
      <w:r w:rsidR="567210E2" w:rsidRPr="6C54F3A7">
        <w:rPr>
          <w:rStyle w:val="K-TextInfoChar"/>
          <w:rFonts w:asciiTheme="minorHAnsi" w:eastAsiaTheme="minorEastAsia" w:hAnsiTheme="minorHAnsi" w:cstheme="minorBidi"/>
          <w:i w:val="0"/>
          <w:iCs w:val="0"/>
          <w:color w:val="auto"/>
          <w:sz w:val="20"/>
          <w:szCs w:val="20"/>
          <w:lang w:val="cs-CZ"/>
        </w:rPr>
        <w:t>výzvy</w:t>
      </w:r>
      <w:r w:rsidR="6C8AF0BD" w:rsidRPr="6C54F3A7">
        <w:rPr>
          <w:rStyle w:val="K-TextInfoChar"/>
          <w:rFonts w:asciiTheme="minorHAnsi" w:eastAsiaTheme="minorEastAsia" w:hAnsiTheme="minorHAnsi" w:cstheme="minorBidi"/>
          <w:i w:val="0"/>
          <w:iCs w:val="0"/>
          <w:color w:val="auto"/>
          <w:sz w:val="20"/>
          <w:szCs w:val="20"/>
          <w:lang w:val="cs-CZ"/>
        </w:rPr>
        <w:t xml:space="preserve"> </w:t>
      </w:r>
      <w:r w:rsidR="11C4B70F" w:rsidRPr="6C54F3A7">
        <w:rPr>
          <w:rStyle w:val="K-TextInfoChar"/>
          <w:rFonts w:asciiTheme="minorHAnsi" w:eastAsiaTheme="minorEastAsia" w:hAnsiTheme="minorHAnsi" w:cstheme="minorBidi"/>
          <w:i w:val="0"/>
          <w:iCs w:val="0"/>
          <w:color w:val="auto"/>
          <w:sz w:val="20"/>
          <w:szCs w:val="20"/>
          <w:lang w:val="cs-CZ"/>
        </w:rPr>
        <w:t>a </w:t>
      </w:r>
      <w:r w:rsidRPr="6C54F3A7">
        <w:rPr>
          <w:rStyle w:val="K-TextInfoChar"/>
          <w:rFonts w:asciiTheme="minorHAnsi" w:eastAsiaTheme="minorEastAsia" w:hAnsiTheme="minorHAnsi" w:cstheme="minorBidi"/>
          <w:i w:val="0"/>
          <w:iCs w:val="0"/>
          <w:color w:val="auto"/>
          <w:sz w:val="20"/>
          <w:szCs w:val="20"/>
          <w:lang w:val="cs-CZ"/>
        </w:rPr>
        <w:t xml:space="preserve">rizika </w:t>
      </w:r>
      <w:r w:rsidR="37410BAA" w:rsidRPr="6C54F3A7">
        <w:rPr>
          <w:rStyle w:val="K-TextInfoChar"/>
          <w:rFonts w:asciiTheme="minorHAnsi" w:eastAsiaTheme="minorEastAsia" w:hAnsiTheme="minorHAnsi" w:cstheme="minorBidi"/>
          <w:i w:val="0"/>
          <w:iCs w:val="0"/>
          <w:color w:val="auto"/>
          <w:sz w:val="20"/>
          <w:szCs w:val="20"/>
          <w:lang w:val="cs-CZ"/>
        </w:rPr>
        <w:t xml:space="preserve">a poskytovat vědecká data </w:t>
      </w:r>
      <w:r w:rsidR="11C4B70F" w:rsidRPr="6C54F3A7">
        <w:rPr>
          <w:rStyle w:val="K-TextInfoChar"/>
          <w:rFonts w:asciiTheme="minorHAnsi" w:eastAsiaTheme="minorEastAsia" w:hAnsiTheme="minorHAnsi" w:cstheme="minorBidi"/>
          <w:i w:val="0"/>
          <w:iCs w:val="0"/>
          <w:color w:val="auto"/>
          <w:sz w:val="20"/>
          <w:szCs w:val="20"/>
          <w:lang w:val="cs-CZ"/>
        </w:rPr>
        <w:t>v </w:t>
      </w:r>
      <w:r w:rsidR="37410BAA" w:rsidRPr="6C54F3A7">
        <w:rPr>
          <w:rStyle w:val="K-TextInfoChar"/>
          <w:rFonts w:asciiTheme="minorHAnsi" w:eastAsiaTheme="minorEastAsia" w:hAnsiTheme="minorHAnsi" w:cstheme="minorBidi"/>
          <w:i w:val="0"/>
          <w:iCs w:val="0"/>
          <w:color w:val="auto"/>
          <w:sz w:val="20"/>
          <w:szCs w:val="20"/>
          <w:lang w:val="cs-CZ"/>
        </w:rPr>
        <w:t xml:space="preserve">prioritních </w:t>
      </w:r>
      <w:r w:rsidR="6C8AF0BD" w:rsidRPr="6C54F3A7">
        <w:rPr>
          <w:rStyle w:val="K-TextInfoChar"/>
          <w:rFonts w:asciiTheme="minorHAnsi" w:eastAsiaTheme="minorEastAsia" w:hAnsiTheme="minorHAnsi" w:cstheme="minorBidi"/>
          <w:i w:val="0"/>
          <w:iCs w:val="0"/>
          <w:color w:val="auto"/>
          <w:sz w:val="20"/>
          <w:szCs w:val="20"/>
          <w:lang w:val="cs-CZ"/>
        </w:rPr>
        <w:t xml:space="preserve">oblastech pro potřeby vědecké komunity </w:t>
      </w:r>
      <w:r w:rsidR="11C4B70F" w:rsidRPr="6C54F3A7">
        <w:rPr>
          <w:rStyle w:val="K-TextInfoChar"/>
          <w:rFonts w:asciiTheme="minorHAnsi" w:eastAsiaTheme="minorEastAsia" w:hAnsiTheme="minorHAnsi" w:cstheme="minorBidi"/>
          <w:i w:val="0"/>
          <w:iCs w:val="0"/>
          <w:color w:val="auto"/>
          <w:sz w:val="20"/>
          <w:szCs w:val="20"/>
          <w:lang w:val="cs-CZ"/>
        </w:rPr>
        <w:t>a </w:t>
      </w:r>
      <w:r w:rsidR="6C8AF0BD" w:rsidRPr="6C54F3A7">
        <w:rPr>
          <w:rStyle w:val="K-TextInfoChar"/>
          <w:rFonts w:asciiTheme="minorHAnsi" w:eastAsiaTheme="minorEastAsia" w:hAnsiTheme="minorHAnsi" w:cstheme="minorBidi"/>
          <w:i w:val="0"/>
          <w:iCs w:val="0"/>
          <w:color w:val="auto"/>
          <w:sz w:val="20"/>
          <w:szCs w:val="20"/>
          <w:lang w:val="cs-CZ"/>
        </w:rPr>
        <w:t xml:space="preserve">zejména </w:t>
      </w:r>
      <w:r w:rsidRPr="6C54F3A7">
        <w:rPr>
          <w:rStyle w:val="K-TextInfoChar"/>
          <w:rFonts w:asciiTheme="minorHAnsi" w:eastAsiaTheme="minorEastAsia" w:hAnsiTheme="minorHAnsi" w:cstheme="minorBidi"/>
          <w:i w:val="0"/>
          <w:iCs w:val="0"/>
          <w:color w:val="auto"/>
          <w:sz w:val="20"/>
          <w:szCs w:val="20"/>
          <w:lang w:val="cs-CZ"/>
        </w:rPr>
        <w:t xml:space="preserve">pro </w:t>
      </w:r>
      <w:r w:rsidR="6C8AF0BD" w:rsidRPr="6C54F3A7">
        <w:rPr>
          <w:rStyle w:val="K-TextInfoChar"/>
          <w:rFonts w:asciiTheme="minorHAnsi" w:eastAsiaTheme="minorEastAsia" w:hAnsiTheme="minorHAnsi" w:cstheme="minorBidi"/>
          <w:i w:val="0"/>
          <w:iCs w:val="0"/>
          <w:color w:val="auto"/>
          <w:sz w:val="20"/>
          <w:szCs w:val="20"/>
          <w:lang w:val="cs-CZ"/>
        </w:rPr>
        <w:t xml:space="preserve">rozhodování </w:t>
      </w:r>
      <w:r w:rsidR="11C4B70F" w:rsidRPr="6C54F3A7">
        <w:rPr>
          <w:rStyle w:val="K-TextInfoChar"/>
          <w:rFonts w:asciiTheme="minorHAnsi" w:eastAsiaTheme="minorEastAsia" w:hAnsiTheme="minorHAnsi" w:cstheme="minorBidi"/>
          <w:i w:val="0"/>
          <w:iCs w:val="0"/>
          <w:color w:val="auto"/>
          <w:sz w:val="20"/>
          <w:szCs w:val="20"/>
          <w:lang w:val="cs-CZ"/>
        </w:rPr>
        <w:t>a </w:t>
      </w:r>
      <w:r w:rsidR="6C8AF0BD" w:rsidRPr="6C54F3A7">
        <w:rPr>
          <w:rStyle w:val="K-TextInfoChar"/>
          <w:rFonts w:asciiTheme="minorHAnsi" w:eastAsiaTheme="minorEastAsia" w:hAnsiTheme="minorHAnsi" w:cstheme="minorBidi"/>
          <w:i w:val="0"/>
          <w:iCs w:val="0"/>
          <w:color w:val="auto"/>
          <w:sz w:val="20"/>
          <w:szCs w:val="20"/>
          <w:lang w:val="cs-CZ"/>
        </w:rPr>
        <w:t>účinné řízení vnitrostátních orgánů.</w:t>
      </w:r>
    </w:p>
    <w:p w14:paraId="7D90A223" w14:textId="2452F272" w:rsidR="004275B8" w:rsidRPr="00992741" w:rsidRDefault="1F360EE9" w:rsidP="6C54F3A7">
      <w:pPr>
        <w:pStyle w:val="Briefinglist1"/>
        <w:keepLines w:val="0"/>
        <w:tabs>
          <w:tab w:val="clear" w:pos="284"/>
        </w:tabs>
        <w:spacing w:before="120"/>
        <w:ind w:left="0" w:firstLine="0"/>
        <w:rPr>
          <w:rStyle w:val="K-TextInfoChar"/>
          <w:rFonts w:asciiTheme="minorHAnsi" w:eastAsiaTheme="minorEastAsia" w:hAnsiTheme="minorHAnsi" w:cstheme="minorBidi"/>
          <w:i w:val="0"/>
          <w:iCs w:val="0"/>
          <w:color w:val="auto"/>
          <w:sz w:val="20"/>
          <w:szCs w:val="20"/>
          <w:lang w:val="cs-CZ"/>
        </w:rPr>
      </w:pPr>
      <w:r w:rsidRPr="6C54F3A7">
        <w:rPr>
          <w:rStyle w:val="K-TextInfoChar"/>
          <w:rFonts w:asciiTheme="minorHAnsi" w:eastAsiaTheme="minorEastAsia" w:hAnsiTheme="minorHAnsi" w:cstheme="minorBidi"/>
          <w:i w:val="0"/>
          <w:iCs w:val="0"/>
          <w:color w:val="auto"/>
          <w:sz w:val="20"/>
          <w:szCs w:val="20"/>
          <w:lang w:val="cs-CZ"/>
        </w:rPr>
        <w:t xml:space="preserve">Obdobně nezbytná je i požadovaná vysoká míra internacionalizace národních vědeckých autorit, jejich </w:t>
      </w:r>
      <w:r w:rsidR="220B7343" w:rsidRPr="6C54F3A7">
        <w:rPr>
          <w:rStyle w:val="K-TextInfoChar"/>
          <w:rFonts w:asciiTheme="minorHAnsi" w:eastAsiaTheme="minorEastAsia" w:hAnsiTheme="minorHAnsi" w:cstheme="minorBidi"/>
          <w:i w:val="0"/>
          <w:iCs w:val="0"/>
          <w:color w:val="auto"/>
          <w:sz w:val="20"/>
          <w:szCs w:val="20"/>
          <w:lang w:val="cs-CZ"/>
        </w:rPr>
        <w:t xml:space="preserve">užší </w:t>
      </w:r>
      <w:r w:rsidRPr="6C54F3A7">
        <w:rPr>
          <w:rStyle w:val="K-TextInfoChar"/>
          <w:rFonts w:asciiTheme="minorHAnsi" w:eastAsiaTheme="minorEastAsia" w:hAnsiTheme="minorHAnsi" w:cstheme="minorBidi"/>
          <w:i w:val="0"/>
          <w:iCs w:val="0"/>
          <w:color w:val="auto"/>
          <w:sz w:val="20"/>
          <w:szCs w:val="20"/>
          <w:lang w:val="cs-CZ"/>
        </w:rPr>
        <w:t xml:space="preserve">aktivní zapojení do mezinárodních oborových organizací a vědeckých sítí. </w:t>
      </w:r>
      <w:r w:rsidR="220B7343" w:rsidRPr="6C54F3A7">
        <w:rPr>
          <w:rStyle w:val="K-TextInfoChar"/>
          <w:rFonts w:asciiTheme="minorHAnsi" w:eastAsiaTheme="minorEastAsia" w:hAnsiTheme="minorHAnsi" w:cstheme="minorBidi"/>
          <w:i w:val="0"/>
          <w:iCs w:val="0"/>
          <w:color w:val="auto"/>
          <w:sz w:val="20"/>
          <w:szCs w:val="20"/>
          <w:lang w:val="cs-CZ"/>
        </w:rPr>
        <w:t>T</w:t>
      </w:r>
      <w:r w:rsidRPr="6C54F3A7">
        <w:rPr>
          <w:rStyle w:val="K-TextInfoChar"/>
          <w:rFonts w:asciiTheme="minorHAnsi" w:eastAsiaTheme="minorEastAsia" w:hAnsiTheme="minorHAnsi" w:cstheme="minorBidi"/>
          <w:i w:val="0"/>
          <w:iCs w:val="0"/>
          <w:color w:val="auto"/>
          <w:sz w:val="20"/>
          <w:szCs w:val="20"/>
          <w:lang w:val="cs-CZ"/>
        </w:rPr>
        <w:t xml:space="preserve">aková to zapojení </w:t>
      </w:r>
      <w:r w:rsidR="220B7343" w:rsidRPr="6C54F3A7">
        <w:rPr>
          <w:rStyle w:val="K-TextInfoChar"/>
          <w:rFonts w:asciiTheme="minorHAnsi" w:eastAsiaTheme="minorEastAsia" w:hAnsiTheme="minorHAnsi" w:cstheme="minorBidi"/>
          <w:i w:val="0"/>
          <w:iCs w:val="0"/>
          <w:color w:val="auto"/>
          <w:sz w:val="20"/>
          <w:szCs w:val="20"/>
          <w:lang w:val="cs-CZ"/>
        </w:rPr>
        <w:t xml:space="preserve">by měla </w:t>
      </w:r>
      <w:r w:rsidR="37410BAA" w:rsidRPr="6C54F3A7">
        <w:rPr>
          <w:rStyle w:val="K-TextInfoChar"/>
          <w:rFonts w:asciiTheme="minorHAnsi" w:eastAsiaTheme="minorEastAsia" w:hAnsiTheme="minorHAnsi" w:cstheme="minorBidi"/>
          <w:i w:val="0"/>
          <w:iCs w:val="0"/>
          <w:color w:val="auto"/>
          <w:sz w:val="20"/>
          <w:szCs w:val="20"/>
          <w:lang w:val="cs-CZ"/>
        </w:rPr>
        <w:t xml:space="preserve">již existovat </w:t>
      </w:r>
      <w:r w:rsidR="220B7343" w:rsidRPr="6C54F3A7">
        <w:rPr>
          <w:rStyle w:val="K-TextInfoChar"/>
          <w:rFonts w:asciiTheme="minorHAnsi" w:eastAsiaTheme="minorEastAsia" w:hAnsiTheme="minorHAnsi" w:cstheme="minorBidi"/>
          <w:i w:val="0"/>
          <w:iCs w:val="0"/>
          <w:color w:val="auto"/>
          <w:sz w:val="20"/>
          <w:szCs w:val="20"/>
          <w:lang w:val="cs-CZ"/>
        </w:rPr>
        <w:t xml:space="preserve">minimálně na personální úrovni u </w:t>
      </w:r>
      <w:r w:rsidR="37410BAA" w:rsidRPr="6C54F3A7">
        <w:rPr>
          <w:rStyle w:val="K-TextInfoChar"/>
          <w:rFonts w:asciiTheme="minorHAnsi" w:eastAsiaTheme="minorEastAsia" w:hAnsiTheme="minorHAnsi" w:cstheme="minorBidi"/>
          <w:i w:val="0"/>
          <w:iCs w:val="0"/>
          <w:color w:val="auto"/>
          <w:sz w:val="20"/>
          <w:szCs w:val="20"/>
          <w:lang w:val="cs-CZ"/>
        </w:rPr>
        <w:t>su</w:t>
      </w:r>
      <w:r w:rsidR="220B7343" w:rsidRPr="6C54F3A7">
        <w:rPr>
          <w:rStyle w:val="K-TextInfoChar"/>
          <w:rFonts w:asciiTheme="minorHAnsi" w:eastAsiaTheme="minorEastAsia" w:hAnsiTheme="minorHAnsi" w:cstheme="minorBidi"/>
          <w:i w:val="0"/>
          <w:iCs w:val="0"/>
          <w:color w:val="auto"/>
          <w:sz w:val="20"/>
          <w:szCs w:val="20"/>
          <w:lang w:val="cs-CZ"/>
        </w:rPr>
        <w:t xml:space="preserve">bjektů vstupujících do konsorcií a </w:t>
      </w:r>
      <w:r w:rsidR="37410BAA" w:rsidRPr="6C54F3A7">
        <w:rPr>
          <w:rStyle w:val="K-TextInfoChar"/>
          <w:rFonts w:asciiTheme="minorHAnsi" w:eastAsiaTheme="minorEastAsia" w:hAnsiTheme="minorHAnsi" w:cstheme="minorBidi"/>
          <w:i w:val="0"/>
          <w:iCs w:val="0"/>
          <w:color w:val="auto"/>
          <w:sz w:val="20"/>
          <w:szCs w:val="20"/>
          <w:lang w:val="cs-CZ"/>
        </w:rPr>
        <w:t>jsou</w:t>
      </w:r>
      <w:r w:rsidR="220B7343" w:rsidRPr="6C54F3A7">
        <w:rPr>
          <w:rStyle w:val="K-TextInfoChar"/>
          <w:rFonts w:asciiTheme="minorHAnsi" w:eastAsiaTheme="minorEastAsia" w:hAnsiTheme="minorHAnsi" w:cstheme="minorBidi"/>
          <w:i w:val="0"/>
          <w:iCs w:val="0"/>
          <w:color w:val="auto"/>
          <w:sz w:val="20"/>
          <w:szCs w:val="20"/>
          <w:lang w:val="cs-CZ"/>
        </w:rPr>
        <w:t xml:space="preserve"> </w:t>
      </w:r>
      <w:r w:rsidRPr="6C54F3A7">
        <w:rPr>
          <w:rStyle w:val="K-TextInfoChar"/>
          <w:rFonts w:asciiTheme="minorHAnsi" w:eastAsiaTheme="minorEastAsia" w:hAnsiTheme="minorHAnsi" w:cstheme="minorBidi"/>
          <w:i w:val="0"/>
          <w:iCs w:val="0"/>
          <w:color w:val="auto"/>
          <w:sz w:val="20"/>
          <w:szCs w:val="20"/>
          <w:lang w:val="cs-CZ"/>
        </w:rPr>
        <w:t>jednou z</w:t>
      </w:r>
      <w:r w:rsidR="37410BAA" w:rsidRPr="6C54F3A7">
        <w:rPr>
          <w:rStyle w:val="K-TextInfoChar"/>
          <w:rFonts w:asciiTheme="minorHAnsi" w:eastAsiaTheme="minorEastAsia" w:hAnsiTheme="minorHAnsi" w:cstheme="minorBidi"/>
          <w:i w:val="0"/>
          <w:iCs w:val="0"/>
          <w:color w:val="auto"/>
          <w:sz w:val="20"/>
          <w:szCs w:val="20"/>
          <w:lang w:val="cs-CZ"/>
        </w:rPr>
        <w:t>e</w:t>
      </w:r>
      <w:r w:rsidR="51F08B9C" w:rsidRPr="6C54F3A7">
        <w:rPr>
          <w:rStyle w:val="K-TextInfoChar"/>
          <w:rFonts w:asciiTheme="minorHAnsi" w:eastAsiaTheme="minorEastAsia" w:hAnsiTheme="minorHAnsi" w:cstheme="minorBidi"/>
          <w:i w:val="0"/>
          <w:iCs w:val="0"/>
          <w:color w:val="auto"/>
          <w:sz w:val="20"/>
          <w:szCs w:val="20"/>
          <w:lang w:val="cs-CZ"/>
        </w:rPr>
        <w:t> </w:t>
      </w:r>
      <w:r w:rsidR="37410BAA" w:rsidRPr="6C54F3A7">
        <w:rPr>
          <w:rStyle w:val="K-TextInfoChar"/>
          <w:rFonts w:asciiTheme="minorHAnsi" w:eastAsiaTheme="minorEastAsia" w:hAnsiTheme="minorHAnsi" w:cstheme="minorBidi"/>
          <w:i w:val="0"/>
          <w:iCs w:val="0"/>
          <w:color w:val="auto"/>
          <w:sz w:val="20"/>
          <w:szCs w:val="20"/>
          <w:lang w:val="cs-CZ"/>
        </w:rPr>
        <w:t xml:space="preserve">vstupních </w:t>
      </w:r>
      <w:r w:rsidRPr="6C54F3A7">
        <w:rPr>
          <w:rStyle w:val="K-TextInfoChar"/>
          <w:rFonts w:asciiTheme="minorHAnsi" w:eastAsiaTheme="minorEastAsia" w:hAnsiTheme="minorHAnsi" w:cstheme="minorBidi"/>
          <w:i w:val="0"/>
          <w:iCs w:val="0"/>
          <w:color w:val="auto"/>
          <w:sz w:val="20"/>
          <w:szCs w:val="20"/>
          <w:lang w:val="cs-CZ"/>
        </w:rPr>
        <w:t>podmínek pro z</w:t>
      </w:r>
      <w:r w:rsidR="220B7343" w:rsidRPr="6C54F3A7">
        <w:rPr>
          <w:rStyle w:val="K-TextInfoChar"/>
          <w:rFonts w:asciiTheme="minorHAnsi" w:eastAsiaTheme="minorEastAsia" w:hAnsiTheme="minorHAnsi" w:cstheme="minorBidi"/>
          <w:i w:val="0"/>
          <w:iCs w:val="0"/>
          <w:color w:val="auto"/>
          <w:sz w:val="20"/>
          <w:szCs w:val="20"/>
          <w:lang w:val="cs-CZ"/>
        </w:rPr>
        <w:t>í</w:t>
      </w:r>
      <w:r w:rsidRPr="6C54F3A7">
        <w:rPr>
          <w:rStyle w:val="K-TextInfoChar"/>
          <w:rFonts w:asciiTheme="minorHAnsi" w:eastAsiaTheme="minorEastAsia" w:hAnsiTheme="minorHAnsi" w:cstheme="minorBidi"/>
          <w:i w:val="0"/>
          <w:iCs w:val="0"/>
          <w:color w:val="auto"/>
          <w:sz w:val="20"/>
          <w:szCs w:val="20"/>
          <w:lang w:val="cs-CZ"/>
        </w:rPr>
        <w:t>skání podpory</w:t>
      </w:r>
      <w:r w:rsidR="220B7343" w:rsidRPr="6C54F3A7">
        <w:rPr>
          <w:rStyle w:val="K-TextInfoChar"/>
          <w:rFonts w:asciiTheme="minorHAnsi" w:eastAsiaTheme="minorEastAsia" w:hAnsiTheme="minorHAnsi" w:cstheme="minorBidi"/>
          <w:i w:val="0"/>
          <w:iCs w:val="0"/>
          <w:color w:val="auto"/>
          <w:sz w:val="20"/>
          <w:szCs w:val="20"/>
          <w:lang w:val="cs-CZ"/>
        </w:rPr>
        <w:t>.</w:t>
      </w:r>
      <w:r w:rsidRPr="6C54F3A7">
        <w:rPr>
          <w:rStyle w:val="K-TextInfoChar"/>
          <w:rFonts w:asciiTheme="minorHAnsi" w:eastAsiaTheme="minorEastAsia" w:hAnsiTheme="minorHAnsi" w:cstheme="minorBidi"/>
          <w:i w:val="0"/>
          <w:iCs w:val="0"/>
          <w:color w:val="auto"/>
          <w:sz w:val="20"/>
          <w:szCs w:val="20"/>
          <w:lang w:val="cs-CZ"/>
        </w:rPr>
        <w:t xml:space="preserve"> </w:t>
      </w:r>
      <w:r w:rsidR="220B7343" w:rsidRPr="6C54F3A7">
        <w:rPr>
          <w:rStyle w:val="K-TextInfoChar"/>
          <w:rFonts w:asciiTheme="minorHAnsi" w:eastAsiaTheme="minorEastAsia" w:hAnsiTheme="minorHAnsi" w:cstheme="minorBidi"/>
          <w:i w:val="0"/>
          <w:iCs w:val="0"/>
          <w:color w:val="auto"/>
          <w:sz w:val="20"/>
          <w:szCs w:val="20"/>
          <w:lang w:val="cs-CZ"/>
        </w:rPr>
        <w:t xml:space="preserve">Konkrétní způsob internacionalizace a jejího kvalitativního rozvoje v konsorciu bude součástí hodnocení a výběru realizačních projektů v implementačním programu této komponenty. </w:t>
      </w:r>
      <w:r w:rsidRPr="6C54F3A7">
        <w:rPr>
          <w:rStyle w:val="K-TextInfoChar"/>
          <w:rFonts w:asciiTheme="minorHAnsi" w:eastAsiaTheme="minorEastAsia" w:hAnsiTheme="minorHAnsi" w:cstheme="minorBidi"/>
          <w:i w:val="0"/>
          <w:iCs w:val="0"/>
          <w:color w:val="auto"/>
          <w:sz w:val="20"/>
          <w:szCs w:val="20"/>
          <w:lang w:val="cs-CZ"/>
        </w:rPr>
        <w:t xml:space="preserve"> </w:t>
      </w:r>
    </w:p>
    <w:p w14:paraId="1E505E7D" w14:textId="417A8E1D" w:rsidR="002C20CF" w:rsidRPr="00992741" w:rsidRDefault="2DB997A7" w:rsidP="6C54F3A7">
      <w:pPr>
        <w:pStyle w:val="Nadpis2"/>
        <w:spacing w:line="240" w:lineRule="auto"/>
        <w:rPr>
          <w:rFonts w:asciiTheme="minorHAnsi" w:eastAsiaTheme="minorEastAsia" w:hAnsiTheme="minorHAnsi" w:cstheme="minorBidi"/>
          <w:color w:val="auto"/>
          <w:sz w:val="20"/>
          <w:szCs w:val="20"/>
        </w:rPr>
      </w:pPr>
      <w:r w:rsidRPr="6C54F3A7">
        <w:rPr>
          <w:rFonts w:asciiTheme="minorHAnsi" w:eastAsiaTheme="minorEastAsia" w:hAnsiTheme="minorHAnsi" w:cstheme="minorBidi"/>
          <w:color w:val="auto"/>
          <w:sz w:val="20"/>
          <w:szCs w:val="20"/>
        </w:rPr>
        <w:t xml:space="preserve">2. </w:t>
      </w:r>
      <w:r w:rsidR="5ED66E3C" w:rsidRPr="6C54F3A7">
        <w:rPr>
          <w:rStyle w:val="K-Nadpis2Char"/>
          <w:rFonts w:asciiTheme="minorHAnsi" w:eastAsiaTheme="minorEastAsia" w:hAnsiTheme="minorHAnsi" w:cstheme="minorBidi"/>
          <w:b/>
          <w:bCs/>
          <w:color w:val="auto"/>
          <w:sz w:val="20"/>
          <w:szCs w:val="20"/>
        </w:rPr>
        <w:t xml:space="preserve">Hlavní výzvy </w:t>
      </w:r>
      <w:r w:rsidR="11C4B70F" w:rsidRPr="6C54F3A7">
        <w:rPr>
          <w:rStyle w:val="K-Nadpis2Char"/>
          <w:rFonts w:asciiTheme="minorHAnsi" w:eastAsiaTheme="minorEastAsia" w:hAnsiTheme="minorHAnsi" w:cstheme="minorBidi"/>
          <w:b/>
          <w:bCs/>
          <w:color w:val="auto"/>
          <w:sz w:val="20"/>
          <w:szCs w:val="20"/>
        </w:rPr>
        <w:t>a </w:t>
      </w:r>
      <w:r w:rsidR="5ED66E3C" w:rsidRPr="6C54F3A7">
        <w:rPr>
          <w:rStyle w:val="K-Nadpis2Char"/>
          <w:rFonts w:asciiTheme="minorHAnsi" w:eastAsiaTheme="minorEastAsia" w:hAnsiTheme="minorHAnsi" w:cstheme="minorBidi"/>
          <w:b/>
          <w:bCs/>
          <w:color w:val="auto"/>
          <w:sz w:val="20"/>
          <w:szCs w:val="20"/>
        </w:rPr>
        <w:t>cíle</w:t>
      </w:r>
    </w:p>
    <w:p w14:paraId="4357DEF3" w14:textId="2708450A" w:rsidR="002C20CF" w:rsidRPr="00992741" w:rsidRDefault="2DB997A7" w:rsidP="6C54F3A7">
      <w:pPr>
        <w:pStyle w:val="Default"/>
        <w:spacing w:after="120"/>
        <w:jc w:val="both"/>
        <w:rPr>
          <w:rFonts w:asciiTheme="minorHAnsi" w:eastAsiaTheme="minorEastAsia" w:hAnsiTheme="minorHAnsi" w:cstheme="minorBidi"/>
          <w:b/>
          <w:bCs/>
          <w:color w:val="auto"/>
          <w:sz w:val="20"/>
          <w:szCs w:val="20"/>
        </w:rPr>
      </w:pPr>
      <w:r w:rsidRPr="6C54F3A7">
        <w:rPr>
          <w:rStyle w:val="K-Nadpis3Char"/>
          <w:rFonts w:asciiTheme="minorHAnsi" w:eastAsiaTheme="minorEastAsia" w:hAnsiTheme="minorHAnsi" w:cstheme="minorBidi"/>
          <w:color w:val="auto"/>
          <w:sz w:val="20"/>
          <w:szCs w:val="20"/>
        </w:rPr>
        <w:t xml:space="preserve">a) </w:t>
      </w:r>
      <w:r w:rsidR="5ED66E3C" w:rsidRPr="6C54F3A7">
        <w:rPr>
          <w:rStyle w:val="K-Nadpis3Char"/>
          <w:rFonts w:asciiTheme="minorHAnsi" w:eastAsiaTheme="minorEastAsia" w:hAnsiTheme="minorHAnsi" w:cstheme="minorBidi"/>
          <w:color w:val="auto"/>
          <w:sz w:val="20"/>
          <w:szCs w:val="20"/>
        </w:rPr>
        <w:t>Hlavní výzvy</w:t>
      </w:r>
    </w:p>
    <w:p w14:paraId="22E918ED" w14:textId="5052A1DE" w:rsidR="00DF4B2E" w:rsidRPr="00F34B12" w:rsidRDefault="75A8889C"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 xml:space="preserve">Zdraví </w:t>
      </w:r>
      <w:r w:rsidR="1B328B4B" w:rsidRPr="6C54F3A7">
        <w:rPr>
          <w:rFonts w:asciiTheme="minorHAnsi" w:eastAsiaTheme="minorEastAsia" w:hAnsiTheme="minorHAnsi" w:cstheme="minorBidi"/>
          <w:i w:val="0"/>
          <w:iCs w:val="0"/>
          <w:color w:val="auto"/>
          <w:sz w:val="20"/>
          <w:szCs w:val="20"/>
        </w:rPr>
        <w:t>a kvalita zdravotnictví jsou</w:t>
      </w:r>
      <w:r w:rsidRPr="6C54F3A7">
        <w:rPr>
          <w:rFonts w:asciiTheme="minorHAnsi" w:eastAsiaTheme="minorEastAsia" w:hAnsiTheme="minorHAnsi" w:cstheme="minorBidi"/>
          <w:i w:val="0"/>
          <w:iCs w:val="0"/>
          <w:color w:val="auto"/>
          <w:sz w:val="20"/>
          <w:szCs w:val="20"/>
        </w:rPr>
        <w:t xml:space="preserve"> zásadní prioritou celé ČR</w:t>
      </w:r>
      <w:r w:rsidR="65D438C5" w:rsidRPr="6C54F3A7">
        <w:rPr>
          <w:rFonts w:asciiTheme="minorHAnsi" w:eastAsiaTheme="minorEastAsia" w:hAnsiTheme="minorHAnsi" w:cstheme="minorBidi"/>
          <w:i w:val="0"/>
          <w:iCs w:val="0"/>
          <w:color w:val="auto"/>
          <w:sz w:val="20"/>
          <w:szCs w:val="20"/>
        </w:rPr>
        <w:t xml:space="preserve"> </w:t>
      </w:r>
      <w:r w:rsidR="11C4B70F" w:rsidRPr="6C54F3A7">
        <w:rPr>
          <w:rFonts w:asciiTheme="minorHAnsi" w:eastAsiaTheme="minorEastAsia" w:hAnsiTheme="minorHAnsi" w:cstheme="minorBidi"/>
          <w:i w:val="0"/>
          <w:iCs w:val="0"/>
          <w:color w:val="auto"/>
          <w:sz w:val="20"/>
          <w:szCs w:val="20"/>
        </w:rPr>
        <w:t>a </w:t>
      </w:r>
      <w:r w:rsidR="65D438C5" w:rsidRPr="6C54F3A7">
        <w:rPr>
          <w:rFonts w:asciiTheme="minorHAnsi" w:eastAsiaTheme="minorEastAsia" w:hAnsiTheme="minorHAnsi" w:cstheme="minorBidi"/>
          <w:i w:val="0"/>
          <w:iCs w:val="0"/>
          <w:color w:val="auto"/>
          <w:sz w:val="20"/>
          <w:szCs w:val="20"/>
        </w:rPr>
        <w:t>m</w:t>
      </w:r>
      <w:r w:rsidR="1B328B4B" w:rsidRPr="6C54F3A7">
        <w:rPr>
          <w:rFonts w:asciiTheme="minorHAnsi" w:eastAsiaTheme="minorEastAsia" w:hAnsiTheme="minorHAnsi" w:cstheme="minorBidi"/>
          <w:i w:val="0"/>
          <w:iCs w:val="0"/>
          <w:color w:val="auto"/>
          <w:sz w:val="20"/>
          <w:szCs w:val="20"/>
        </w:rPr>
        <w:t>ají</w:t>
      </w:r>
      <w:r w:rsidR="65D438C5" w:rsidRPr="6C54F3A7">
        <w:rPr>
          <w:rFonts w:asciiTheme="minorHAnsi" w:eastAsiaTheme="minorEastAsia" w:hAnsiTheme="minorHAnsi" w:cstheme="minorBidi"/>
          <w:i w:val="0"/>
          <w:iCs w:val="0"/>
          <w:color w:val="auto"/>
          <w:sz w:val="20"/>
          <w:szCs w:val="20"/>
        </w:rPr>
        <w:t xml:space="preserve"> </w:t>
      </w:r>
      <w:r w:rsidRPr="6C54F3A7">
        <w:rPr>
          <w:rFonts w:asciiTheme="minorHAnsi" w:eastAsiaTheme="minorEastAsia" w:hAnsiTheme="minorHAnsi" w:cstheme="minorBidi"/>
          <w:i w:val="0"/>
          <w:iCs w:val="0"/>
          <w:color w:val="auto"/>
          <w:sz w:val="20"/>
          <w:szCs w:val="20"/>
        </w:rPr>
        <w:t xml:space="preserve">významný ekonomický dopad, který se projevuje </w:t>
      </w:r>
      <w:r w:rsidR="11C4B70F" w:rsidRPr="6C54F3A7">
        <w:rPr>
          <w:rFonts w:asciiTheme="minorHAnsi" w:eastAsiaTheme="minorEastAsia" w:hAnsiTheme="minorHAnsi" w:cstheme="minorBidi"/>
          <w:i w:val="0"/>
          <w:iCs w:val="0"/>
          <w:color w:val="auto"/>
          <w:sz w:val="20"/>
          <w:szCs w:val="20"/>
        </w:rPr>
        <w:t>v </w:t>
      </w:r>
      <w:r w:rsidRPr="6C54F3A7">
        <w:rPr>
          <w:rFonts w:asciiTheme="minorHAnsi" w:eastAsiaTheme="minorEastAsia" w:hAnsiTheme="minorHAnsi" w:cstheme="minorBidi"/>
          <w:i w:val="0"/>
          <w:iCs w:val="0"/>
          <w:color w:val="auto"/>
          <w:sz w:val="20"/>
          <w:szCs w:val="20"/>
        </w:rPr>
        <w:t xml:space="preserve">míře zaměstnanosti či zatížení zdravotního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 xml:space="preserve">sociálního systému. </w:t>
      </w:r>
      <w:r w:rsidR="65D438C5" w:rsidRPr="6C54F3A7">
        <w:rPr>
          <w:rFonts w:asciiTheme="minorHAnsi" w:eastAsiaTheme="minorEastAsia" w:hAnsiTheme="minorHAnsi" w:cstheme="minorBidi"/>
          <w:i w:val="0"/>
          <w:iCs w:val="0"/>
          <w:color w:val="auto"/>
          <w:sz w:val="20"/>
          <w:szCs w:val="20"/>
        </w:rPr>
        <w:t xml:space="preserve">Tuto </w:t>
      </w:r>
      <w:r w:rsidRPr="6C54F3A7">
        <w:rPr>
          <w:rFonts w:asciiTheme="minorHAnsi" w:eastAsiaTheme="minorEastAsia" w:hAnsiTheme="minorHAnsi" w:cstheme="minorBidi"/>
          <w:i w:val="0"/>
          <w:iCs w:val="0"/>
          <w:color w:val="auto"/>
          <w:sz w:val="20"/>
          <w:szCs w:val="20"/>
        </w:rPr>
        <w:t xml:space="preserve">provázanost </w:t>
      </w:r>
      <w:r w:rsidR="11C4B70F" w:rsidRPr="6C54F3A7">
        <w:rPr>
          <w:rFonts w:asciiTheme="minorHAnsi" w:eastAsiaTheme="minorEastAsia" w:hAnsiTheme="minorHAnsi" w:cstheme="minorBidi"/>
          <w:i w:val="0"/>
          <w:iCs w:val="0"/>
          <w:color w:val="auto"/>
          <w:sz w:val="20"/>
          <w:szCs w:val="20"/>
        </w:rPr>
        <w:t>s </w:t>
      </w:r>
      <w:r w:rsidRPr="6C54F3A7">
        <w:rPr>
          <w:rFonts w:asciiTheme="minorHAnsi" w:eastAsiaTheme="minorEastAsia" w:hAnsiTheme="minorHAnsi" w:cstheme="minorBidi"/>
          <w:i w:val="0"/>
          <w:iCs w:val="0"/>
          <w:color w:val="auto"/>
          <w:sz w:val="20"/>
          <w:szCs w:val="20"/>
        </w:rPr>
        <w:t xml:space="preserve">národním hospodářstvím podtrhla současná pandemie COVID-19, která si </w:t>
      </w:r>
      <w:r w:rsidR="65D438C5" w:rsidRPr="6C54F3A7">
        <w:rPr>
          <w:rFonts w:asciiTheme="minorHAnsi" w:eastAsiaTheme="minorEastAsia" w:hAnsiTheme="minorHAnsi" w:cstheme="minorBidi"/>
          <w:i w:val="0"/>
          <w:iCs w:val="0"/>
          <w:color w:val="auto"/>
          <w:sz w:val="20"/>
          <w:szCs w:val="20"/>
        </w:rPr>
        <w:t xml:space="preserve">nejen </w:t>
      </w:r>
      <w:r w:rsidRPr="6C54F3A7">
        <w:rPr>
          <w:rFonts w:asciiTheme="minorHAnsi" w:eastAsiaTheme="minorEastAsia" w:hAnsiTheme="minorHAnsi" w:cstheme="minorBidi"/>
          <w:i w:val="0"/>
          <w:iCs w:val="0"/>
          <w:color w:val="auto"/>
          <w:sz w:val="20"/>
          <w:szCs w:val="20"/>
        </w:rPr>
        <w:t>vyžádala zásadní omezení ve všech aspektech života</w:t>
      </w:r>
      <w:r w:rsidR="65D438C5" w:rsidRPr="6C54F3A7">
        <w:rPr>
          <w:rFonts w:asciiTheme="minorHAnsi" w:eastAsiaTheme="minorEastAsia" w:hAnsiTheme="minorHAnsi" w:cstheme="minorBidi"/>
          <w:i w:val="0"/>
          <w:iCs w:val="0"/>
          <w:color w:val="auto"/>
          <w:sz w:val="20"/>
          <w:szCs w:val="20"/>
        </w:rPr>
        <w:t xml:space="preserve">, ale ukázala </w:t>
      </w:r>
      <w:r w:rsidR="1B328B4B" w:rsidRPr="6C54F3A7">
        <w:rPr>
          <w:rFonts w:asciiTheme="minorHAnsi" w:eastAsiaTheme="minorEastAsia" w:hAnsiTheme="minorHAnsi" w:cstheme="minorBidi"/>
          <w:i w:val="0"/>
          <w:iCs w:val="0"/>
          <w:color w:val="auto"/>
          <w:sz w:val="20"/>
          <w:szCs w:val="20"/>
        </w:rPr>
        <w:t>i některé dílčí, ale z hlediska dopa</w:t>
      </w:r>
      <w:r w:rsidR="4260D39B" w:rsidRPr="6C54F3A7">
        <w:rPr>
          <w:rFonts w:asciiTheme="minorHAnsi" w:eastAsiaTheme="minorEastAsia" w:hAnsiTheme="minorHAnsi" w:cstheme="minorBidi"/>
          <w:i w:val="0"/>
          <w:iCs w:val="0"/>
          <w:color w:val="auto"/>
          <w:sz w:val="20"/>
          <w:szCs w:val="20"/>
        </w:rPr>
        <w:t>d</w:t>
      </w:r>
      <w:r w:rsidR="1B328B4B" w:rsidRPr="6C54F3A7">
        <w:rPr>
          <w:rFonts w:asciiTheme="minorHAnsi" w:eastAsiaTheme="minorEastAsia" w:hAnsiTheme="minorHAnsi" w:cstheme="minorBidi"/>
          <w:i w:val="0"/>
          <w:iCs w:val="0"/>
          <w:color w:val="auto"/>
          <w:sz w:val="20"/>
          <w:szCs w:val="20"/>
        </w:rPr>
        <w:t xml:space="preserve">ů klíčové </w:t>
      </w:r>
      <w:r w:rsidR="65D438C5" w:rsidRPr="6C54F3A7">
        <w:rPr>
          <w:rFonts w:asciiTheme="minorHAnsi" w:eastAsiaTheme="minorEastAsia" w:hAnsiTheme="minorHAnsi" w:cstheme="minorBidi"/>
          <w:i w:val="0"/>
          <w:iCs w:val="0"/>
          <w:color w:val="auto"/>
          <w:sz w:val="20"/>
          <w:szCs w:val="20"/>
        </w:rPr>
        <w:t xml:space="preserve">slabiny </w:t>
      </w:r>
      <w:r w:rsidRPr="6C54F3A7">
        <w:rPr>
          <w:rFonts w:asciiTheme="minorHAnsi" w:eastAsiaTheme="minorEastAsia" w:hAnsiTheme="minorHAnsi" w:cstheme="minorBidi"/>
          <w:i w:val="0"/>
          <w:iCs w:val="0"/>
          <w:color w:val="auto"/>
          <w:sz w:val="20"/>
          <w:szCs w:val="20"/>
        </w:rPr>
        <w:t>zdravotnického systému</w:t>
      </w:r>
      <w:r w:rsidR="4260D39B" w:rsidRPr="6C54F3A7">
        <w:rPr>
          <w:rFonts w:asciiTheme="minorHAnsi" w:eastAsiaTheme="minorEastAsia" w:hAnsiTheme="minorHAnsi" w:cstheme="minorBidi"/>
          <w:i w:val="0"/>
          <w:iCs w:val="0"/>
          <w:color w:val="auto"/>
          <w:sz w:val="20"/>
          <w:szCs w:val="20"/>
        </w:rPr>
        <w:t>, mezery a určitou nedostatečnost vědecké základny zdravotnického výzkumu</w:t>
      </w:r>
      <w:r w:rsidR="65D438C5" w:rsidRPr="6C54F3A7">
        <w:rPr>
          <w:rFonts w:asciiTheme="minorHAnsi" w:eastAsiaTheme="minorEastAsia" w:hAnsiTheme="minorHAnsi" w:cstheme="minorBidi"/>
          <w:i w:val="0"/>
          <w:iCs w:val="0"/>
          <w:color w:val="auto"/>
          <w:sz w:val="20"/>
          <w:szCs w:val="20"/>
        </w:rPr>
        <w:t xml:space="preserve">, nutnost </w:t>
      </w:r>
      <w:r w:rsidRPr="6C54F3A7">
        <w:rPr>
          <w:rFonts w:asciiTheme="minorHAnsi" w:eastAsiaTheme="minorEastAsia" w:hAnsiTheme="minorHAnsi" w:cstheme="minorBidi"/>
          <w:i w:val="0"/>
          <w:iCs w:val="0"/>
          <w:color w:val="auto"/>
          <w:sz w:val="20"/>
          <w:szCs w:val="20"/>
        </w:rPr>
        <w:t xml:space="preserve">řešení řady jeho strukturálních problémů </w:t>
      </w:r>
      <w:r w:rsidR="11C4B70F" w:rsidRPr="6C54F3A7">
        <w:rPr>
          <w:rFonts w:asciiTheme="minorHAnsi" w:eastAsiaTheme="minorEastAsia" w:hAnsiTheme="minorHAnsi" w:cstheme="minorBidi"/>
          <w:i w:val="0"/>
          <w:iCs w:val="0"/>
          <w:color w:val="auto"/>
          <w:sz w:val="20"/>
          <w:szCs w:val="20"/>
        </w:rPr>
        <w:t>i </w:t>
      </w:r>
      <w:r w:rsidR="1B328B4B" w:rsidRPr="6C54F3A7">
        <w:rPr>
          <w:rFonts w:asciiTheme="minorHAnsi" w:eastAsiaTheme="minorEastAsia" w:hAnsiTheme="minorHAnsi" w:cstheme="minorBidi"/>
          <w:i w:val="0"/>
          <w:iCs w:val="0"/>
          <w:color w:val="auto"/>
          <w:sz w:val="20"/>
          <w:szCs w:val="20"/>
        </w:rPr>
        <w:t xml:space="preserve">nezbytnost </w:t>
      </w:r>
      <w:r w:rsidRPr="6C54F3A7">
        <w:rPr>
          <w:rFonts w:asciiTheme="minorHAnsi" w:eastAsiaTheme="minorEastAsia" w:hAnsiTheme="minorHAnsi" w:cstheme="minorBidi"/>
          <w:i w:val="0"/>
          <w:iCs w:val="0"/>
          <w:color w:val="auto"/>
          <w:sz w:val="20"/>
          <w:szCs w:val="20"/>
        </w:rPr>
        <w:t>investic do budov</w:t>
      </w:r>
      <w:r w:rsidR="2A6FCB9B" w:rsidRPr="6C54F3A7">
        <w:rPr>
          <w:rFonts w:asciiTheme="minorHAnsi" w:eastAsiaTheme="minorEastAsia" w:hAnsiTheme="minorHAnsi" w:cstheme="minorBidi"/>
          <w:i w:val="0"/>
          <w:iCs w:val="0"/>
          <w:color w:val="auto"/>
          <w:sz w:val="20"/>
          <w:szCs w:val="20"/>
        </w:rPr>
        <w:t>á</w:t>
      </w:r>
      <w:r w:rsidRPr="6C54F3A7">
        <w:rPr>
          <w:rFonts w:asciiTheme="minorHAnsi" w:eastAsiaTheme="minorEastAsia" w:hAnsiTheme="minorHAnsi" w:cstheme="minorBidi"/>
          <w:i w:val="0"/>
          <w:iCs w:val="0"/>
          <w:color w:val="auto"/>
          <w:sz w:val="20"/>
          <w:szCs w:val="20"/>
        </w:rPr>
        <w:t xml:space="preserve">ní </w:t>
      </w:r>
      <w:r w:rsidR="1B328B4B" w:rsidRPr="6C54F3A7">
        <w:rPr>
          <w:rFonts w:asciiTheme="minorHAnsi" w:eastAsiaTheme="minorEastAsia" w:hAnsiTheme="minorHAnsi" w:cstheme="minorBidi"/>
          <w:i w:val="0"/>
          <w:iCs w:val="0"/>
          <w:color w:val="auto"/>
          <w:sz w:val="20"/>
          <w:szCs w:val="20"/>
        </w:rPr>
        <w:t xml:space="preserve">jeho </w:t>
      </w:r>
      <w:r w:rsidRPr="6C54F3A7">
        <w:rPr>
          <w:rFonts w:asciiTheme="minorHAnsi" w:eastAsiaTheme="minorEastAsia" w:hAnsiTheme="minorHAnsi" w:cstheme="minorBidi"/>
          <w:i w:val="0"/>
          <w:iCs w:val="0"/>
          <w:color w:val="auto"/>
          <w:sz w:val="20"/>
          <w:szCs w:val="20"/>
        </w:rPr>
        <w:t>specifických kapacit.</w:t>
      </w:r>
      <w:r w:rsidR="65D438C5" w:rsidRPr="6C54F3A7">
        <w:rPr>
          <w:rFonts w:asciiTheme="minorHAnsi" w:eastAsiaTheme="minorEastAsia" w:hAnsiTheme="minorHAnsi" w:cstheme="minorBidi"/>
          <w:i w:val="0"/>
          <w:iCs w:val="0"/>
          <w:color w:val="auto"/>
          <w:sz w:val="20"/>
          <w:szCs w:val="20"/>
        </w:rPr>
        <w:t xml:space="preserve"> </w:t>
      </w:r>
    </w:p>
    <w:p w14:paraId="360CB7A9" w14:textId="49C2AA03" w:rsidR="00A005F9" w:rsidRPr="00992741" w:rsidRDefault="1B328B4B" w:rsidP="6C54F3A7">
      <w:pPr>
        <w:pStyle w:val="K-TextInfo"/>
        <w:rPr>
          <w:rStyle w:val="K-TextInfoChar"/>
          <w:rFonts w:asciiTheme="minorHAnsi" w:eastAsiaTheme="minorEastAsia" w:hAnsiTheme="minorHAnsi" w:cstheme="minorBidi"/>
          <w:color w:val="auto"/>
          <w:sz w:val="20"/>
          <w:szCs w:val="20"/>
        </w:rPr>
      </w:pPr>
      <w:r w:rsidRPr="6C54F3A7">
        <w:rPr>
          <w:rFonts w:asciiTheme="minorHAnsi" w:eastAsiaTheme="minorEastAsia" w:hAnsiTheme="minorHAnsi" w:cstheme="minorBidi"/>
          <w:i w:val="0"/>
          <w:iCs w:val="0"/>
          <w:color w:val="auto"/>
          <w:sz w:val="20"/>
          <w:szCs w:val="20"/>
        </w:rPr>
        <w:t>S podporou analýz zpracovaných Technologickým centrem AV ČR</w:t>
      </w:r>
      <w:r w:rsidR="00A005F9" w:rsidRPr="6C54F3A7">
        <w:rPr>
          <w:rStyle w:val="Znakapoznpodarou"/>
          <w:rFonts w:asciiTheme="minorHAnsi" w:eastAsiaTheme="minorEastAsia" w:hAnsiTheme="minorHAnsi" w:cstheme="minorBidi"/>
          <w:i w:val="0"/>
          <w:iCs w:val="0"/>
          <w:color w:val="auto"/>
          <w:sz w:val="20"/>
          <w:szCs w:val="20"/>
        </w:rPr>
        <w:footnoteReference w:id="17"/>
      </w:r>
      <w:r w:rsidRPr="6C54F3A7">
        <w:rPr>
          <w:rFonts w:asciiTheme="minorHAnsi" w:eastAsiaTheme="minorEastAsia" w:hAnsiTheme="minorHAnsi" w:cstheme="minorBidi"/>
          <w:i w:val="0"/>
          <w:iCs w:val="0"/>
          <w:color w:val="auto"/>
          <w:sz w:val="20"/>
          <w:szCs w:val="20"/>
        </w:rPr>
        <w:t xml:space="preserve">, dat z IS </w:t>
      </w:r>
      <w:proofErr w:type="spellStart"/>
      <w:r w:rsidRPr="6C54F3A7">
        <w:rPr>
          <w:rFonts w:asciiTheme="minorHAnsi" w:eastAsiaTheme="minorEastAsia" w:hAnsiTheme="minorHAnsi" w:cstheme="minorBidi"/>
          <w:i w:val="0"/>
          <w:iCs w:val="0"/>
          <w:color w:val="auto"/>
          <w:sz w:val="20"/>
          <w:szCs w:val="20"/>
        </w:rPr>
        <w:t>VaVaI</w:t>
      </w:r>
      <w:proofErr w:type="spellEnd"/>
      <w:r w:rsidRPr="6C54F3A7">
        <w:rPr>
          <w:rFonts w:asciiTheme="minorHAnsi" w:eastAsiaTheme="minorEastAsia" w:hAnsiTheme="minorHAnsi" w:cstheme="minorBidi"/>
          <w:i w:val="0"/>
          <w:iCs w:val="0"/>
          <w:color w:val="auto"/>
          <w:sz w:val="20"/>
          <w:szCs w:val="20"/>
        </w:rPr>
        <w:t xml:space="preserve"> a statistických dat</w:t>
      </w:r>
      <w:r w:rsidR="6DF098A1" w:rsidRPr="6C54F3A7">
        <w:rPr>
          <w:rFonts w:asciiTheme="minorHAnsi" w:eastAsiaTheme="minorEastAsia" w:hAnsiTheme="minorHAnsi" w:cstheme="minorBidi"/>
          <w:i w:val="0"/>
          <w:iCs w:val="0"/>
          <w:color w:val="auto"/>
          <w:sz w:val="20"/>
          <w:szCs w:val="20"/>
        </w:rPr>
        <w:t xml:space="preserve"> </w:t>
      </w:r>
      <w:r w:rsidRPr="6C54F3A7">
        <w:rPr>
          <w:rFonts w:asciiTheme="minorHAnsi" w:eastAsiaTheme="minorEastAsia" w:hAnsiTheme="minorHAnsi" w:cstheme="minorBidi"/>
          <w:i w:val="0"/>
          <w:iCs w:val="0"/>
          <w:color w:val="auto"/>
          <w:sz w:val="20"/>
          <w:szCs w:val="20"/>
        </w:rPr>
        <w:t>Českého statistického úřadu</w:t>
      </w:r>
      <w:r w:rsidR="001343E7" w:rsidRPr="6C54F3A7">
        <w:rPr>
          <w:rStyle w:val="Znakapoznpodarou"/>
          <w:rFonts w:asciiTheme="minorHAnsi" w:eastAsiaTheme="minorEastAsia" w:hAnsiTheme="minorHAnsi" w:cstheme="minorBidi"/>
          <w:i w:val="0"/>
          <w:iCs w:val="0"/>
          <w:color w:val="auto"/>
          <w:sz w:val="20"/>
          <w:szCs w:val="20"/>
        </w:rPr>
        <w:footnoteReference w:id="18"/>
      </w:r>
      <w:r w:rsidR="6DF098A1" w:rsidRPr="6C54F3A7">
        <w:rPr>
          <w:rFonts w:asciiTheme="minorHAnsi" w:eastAsiaTheme="minorEastAsia" w:hAnsiTheme="minorHAnsi" w:cstheme="minorBidi"/>
          <w:i w:val="0"/>
          <w:iCs w:val="0"/>
          <w:color w:val="auto"/>
          <w:sz w:val="20"/>
          <w:szCs w:val="20"/>
        </w:rPr>
        <w:t xml:space="preserve"> </w:t>
      </w:r>
      <w:r w:rsidRPr="6C54F3A7">
        <w:rPr>
          <w:rFonts w:asciiTheme="minorHAnsi" w:eastAsiaTheme="minorEastAsia" w:hAnsiTheme="minorHAnsi" w:cstheme="minorBidi"/>
          <w:i w:val="0"/>
          <w:iCs w:val="0"/>
          <w:color w:val="auto"/>
          <w:sz w:val="20"/>
          <w:szCs w:val="20"/>
        </w:rPr>
        <w:t xml:space="preserve"> byly identifikovány ve zdravotnictví </w:t>
      </w:r>
      <w:r w:rsidR="0E0699E0" w:rsidRPr="6C54F3A7">
        <w:rPr>
          <w:rFonts w:asciiTheme="minorHAnsi" w:eastAsiaTheme="minorEastAsia" w:hAnsiTheme="minorHAnsi" w:cstheme="minorBidi"/>
          <w:i w:val="0"/>
          <w:iCs w:val="0"/>
          <w:color w:val="auto"/>
          <w:sz w:val="20"/>
          <w:szCs w:val="20"/>
        </w:rPr>
        <w:t xml:space="preserve">prioritní </w:t>
      </w:r>
      <w:r w:rsidRPr="6C54F3A7">
        <w:rPr>
          <w:rFonts w:asciiTheme="minorHAnsi" w:eastAsiaTheme="minorEastAsia" w:hAnsiTheme="minorHAnsi" w:cstheme="minorBidi"/>
          <w:i w:val="0"/>
          <w:iCs w:val="0"/>
          <w:color w:val="auto"/>
          <w:sz w:val="20"/>
          <w:szCs w:val="20"/>
        </w:rPr>
        <w:t>oblasti</w:t>
      </w:r>
      <w:r w:rsidR="0E0699E0" w:rsidRPr="6C54F3A7">
        <w:rPr>
          <w:rFonts w:asciiTheme="minorHAnsi" w:eastAsiaTheme="minorEastAsia" w:hAnsiTheme="minorHAnsi" w:cstheme="minorBidi"/>
          <w:i w:val="0"/>
          <w:iCs w:val="0"/>
          <w:color w:val="auto"/>
          <w:sz w:val="20"/>
          <w:szCs w:val="20"/>
        </w:rPr>
        <w:t xml:space="preserve"> </w:t>
      </w:r>
      <w:proofErr w:type="spellStart"/>
      <w:r w:rsidR="0E0699E0" w:rsidRPr="6C54F3A7">
        <w:rPr>
          <w:rFonts w:asciiTheme="minorHAnsi" w:eastAsiaTheme="minorEastAsia" w:hAnsiTheme="minorHAnsi" w:cstheme="minorBidi"/>
          <w:i w:val="0"/>
          <w:iCs w:val="0"/>
          <w:color w:val="auto"/>
          <w:sz w:val="20"/>
          <w:szCs w:val="20"/>
        </w:rPr>
        <w:t>VaV</w:t>
      </w:r>
      <w:proofErr w:type="spellEnd"/>
      <w:r w:rsidRPr="6C54F3A7">
        <w:rPr>
          <w:rFonts w:asciiTheme="minorHAnsi" w:eastAsiaTheme="minorEastAsia" w:hAnsiTheme="minorHAnsi" w:cstheme="minorBidi"/>
          <w:i w:val="0"/>
          <w:iCs w:val="0"/>
          <w:color w:val="auto"/>
          <w:sz w:val="20"/>
          <w:szCs w:val="20"/>
        </w:rPr>
        <w:t>, které se v tomto ohledu jeví jako klíčové</w:t>
      </w:r>
      <w:r w:rsidR="7BE5CD96" w:rsidRPr="6C54F3A7">
        <w:rPr>
          <w:rFonts w:asciiTheme="minorHAnsi" w:eastAsiaTheme="minorEastAsia" w:hAnsiTheme="minorHAnsi" w:cstheme="minorBidi"/>
          <w:i w:val="0"/>
          <w:iCs w:val="0"/>
          <w:color w:val="auto"/>
          <w:sz w:val="20"/>
          <w:szCs w:val="20"/>
        </w:rPr>
        <w:t xml:space="preserve">. Jedná se o </w:t>
      </w:r>
      <w:r w:rsidRPr="6C54F3A7">
        <w:rPr>
          <w:rFonts w:asciiTheme="minorHAnsi" w:eastAsiaTheme="minorEastAsia" w:hAnsiTheme="minorHAnsi" w:cstheme="minorBidi"/>
          <w:i w:val="0"/>
          <w:iCs w:val="0"/>
          <w:color w:val="auto"/>
          <w:sz w:val="20"/>
          <w:szCs w:val="20"/>
        </w:rPr>
        <w:t>obory zaměřené na</w:t>
      </w:r>
      <w:r w:rsidRPr="71E36747">
        <w:rPr>
          <w:rStyle w:val="K-TextInfoChar"/>
          <w:rFonts w:asciiTheme="minorHAnsi" w:eastAsiaTheme="minorEastAsia" w:hAnsiTheme="minorHAnsi" w:cstheme="minorBidi"/>
          <w:color w:val="auto"/>
          <w:sz w:val="20"/>
          <w:szCs w:val="20"/>
        </w:rPr>
        <w:t xml:space="preserve"> onemocnění a choroby s nejvyšší nemocností a </w:t>
      </w:r>
      <w:r w:rsidR="6DF098A1" w:rsidRPr="71E36747">
        <w:rPr>
          <w:rStyle w:val="K-TextInfoChar"/>
          <w:rFonts w:asciiTheme="minorHAnsi" w:eastAsiaTheme="minorEastAsia" w:hAnsiTheme="minorHAnsi" w:cstheme="minorBidi"/>
          <w:color w:val="auto"/>
          <w:sz w:val="20"/>
          <w:szCs w:val="20"/>
        </w:rPr>
        <w:t xml:space="preserve">vysokým </w:t>
      </w:r>
      <w:r w:rsidRPr="71E36747">
        <w:rPr>
          <w:rStyle w:val="K-TextInfoChar"/>
          <w:rFonts w:asciiTheme="minorHAnsi" w:eastAsiaTheme="minorEastAsia" w:hAnsiTheme="minorHAnsi" w:cstheme="minorBidi"/>
          <w:color w:val="auto"/>
          <w:sz w:val="20"/>
          <w:szCs w:val="20"/>
        </w:rPr>
        <w:t>počtem úmrtí</w:t>
      </w:r>
      <w:r w:rsidR="7BE5CD96" w:rsidRPr="71E36747">
        <w:rPr>
          <w:rStyle w:val="K-TextInfoChar"/>
          <w:rFonts w:asciiTheme="minorHAnsi" w:eastAsiaTheme="minorEastAsia" w:hAnsiTheme="minorHAnsi" w:cstheme="minorBidi"/>
          <w:color w:val="auto"/>
          <w:sz w:val="20"/>
          <w:szCs w:val="20"/>
        </w:rPr>
        <w:t xml:space="preserve">, které jsou proto </w:t>
      </w:r>
      <w:r w:rsidRPr="71E36747">
        <w:rPr>
          <w:rStyle w:val="K-TextInfoChar"/>
          <w:rFonts w:asciiTheme="minorHAnsi" w:eastAsiaTheme="minorEastAsia" w:hAnsiTheme="minorHAnsi" w:cstheme="minorBidi"/>
          <w:color w:val="auto"/>
          <w:sz w:val="20"/>
          <w:szCs w:val="20"/>
        </w:rPr>
        <w:t>vysoce relevantní z hlediska socioekonomických dopadů</w:t>
      </w:r>
      <w:r w:rsidR="7BE5CD96" w:rsidRPr="71E36747">
        <w:rPr>
          <w:rStyle w:val="K-TextInfoChar"/>
          <w:rFonts w:asciiTheme="minorHAnsi" w:eastAsiaTheme="minorEastAsia" w:hAnsiTheme="minorHAnsi" w:cstheme="minorBidi"/>
          <w:color w:val="auto"/>
          <w:sz w:val="20"/>
          <w:szCs w:val="20"/>
        </w:rPr>
        <w:t>. Současně jde o</w:t>
      </w:r>
      <w:r w:rsidR="476D6E69" w:rsidRPr="71E36747">
        <w:rPr>
          <w:rStyle w:val="K-TextInfoChar"/>
          <w:rFonts w:asciiTheme="minorHAnsi" w:eastAsiaTheme="minorEastAsia" w:hAnsiTheme="minorHAnsi" w:cstheme="minorBidi"/>
          <w:color w:val="auto"/>
          <w:sz w:val="20"/>
          <w:szCs w:val="20"/>
        </w:rPr>
        <w:t> </w:t>
      </w:r>
      <w:r w:rsidR="5F029356" w:rsidRPr="71E36747">
        <w:rPr>
          <w:rStyle w:val="K-TextInfoChar"/>
          <w:rFonts w:asciiTheme="minorHAnsi" w:eastAsiaTheme="minorEastAsia" w:hAnsiTheme="minorHAnsi" w:cstheme="minorBidi"/>
          <w:color w:val="auto"/>
          <w:sz w:val="20"/>
          <w:szCs w:val="20"/>
        </w:rPr>
        <w:t>o</w:t>
      </w:r>
      <w:r w:rsidR="7BE5CD96" w:rsidRPr="71E36747">
        <w:rPr>
          <w:rStyle w:val="K-TextInfoChar"/>
          <w:rFonts w:asciiTheme="minorHAnsi" w:eastAsiaTheme="minorEastAsia" w:hAnsiTheme="minorHAnsi" w:cstheme="minorBidi"/>
          <w:color w:val="auto"/>
          <w:sz w:val="20"/>
          <w:szCs w:val="20"/>
        </w:rPr>
        <w:t xml:space="preserve">bory </w:t>
      </w:r>
      <w:r w:rsidRPr="71E36747">
        <w:rPr>
          <w:rStyle w:val="K-TextInfoChar"/>
          <w:rFonts w:asciiTheme="minorHAnsi" w:eastAsiaTheme="minorEastAsia" w:hAnsiTheme="minorHAnsi" w:cstheme="minorBidi"/>
          <w:color w:val="auto"/>
          <w:sz w:val="20"/>
          <w:szCs w:val="20"/>
        </w:rPr>
        <w:t>s</w:t>
      </w:r>
      <w:r w:rsidR="6DF098A1" w:rsidRPr="71E36747">
        <w:rPr>
          <w:rStyle w:val="K-TextInfoChar"/>
          <w:rFonts w:asciiTheme="minorHAnsi" w:eastAsiaTheme="minorEastAsia" w:hAnsiTheme="minorHAnsi" w:cstheme="minorBidi"/>
          <w:color w:val="auto"/>
          <w:sz w:val="20"/>
          <w:szCs w:val="20"/>
        </w:rPr>
        <w:t> </w:t>
      </w:r>
      <w:r w:rsidR="476D6E69" w:rsidRPr="71E36747">
        <w:rPr>
          <w:rStyle w:val="K-TextInfoChar"/>
          <w:rFonts w:asciiTheme="minorHAnsi" w:eastAsiaTheme="minorEastAsia" w:hAnsiTheme="minorHAnsi" w:cstheme="minorBidi"/>
          <w:color w:val="auto"/>
          <w:sz w:val="20"/>
          <w:szCs w:val="20"/>
        </w:rPr>
        <w:t>p</w:t>
      </w:r>
      <w:r w:rsidRPr="71E36747">
        <w:rPr>
          <w:rStyle w:val="K-TextInfoChar"/>
          <w:rFonts w:asciiTheme="minorHAnsi" w:eastAsiaTheme="minorEastAsia" w:hAnsiTheme="minorHAnsi" w:cstheme="minorBidi"/>
          <w:color w:val="auto"/>
          <w:sz w:val="20"/>
          <w:szCs w:val="20"/>
        </w:rPr>
        <w:t xml:space="preserve">otenciálem </w:t>
      </w:r>
      <w:r w:rsidR="6DF098A1" w:rsidRPr="71E36747">
        <w:rPr>
          <w:rStyle w:val="K-TextInfoChar"/>
          <w:rFonts w:asciiTheme="minorHAnsi" w:eastAsiaTheme="minorEastAsia" w:hAnsiTheme="minorHAnsi" w:cstheme="minorBidi"/>
          <w:color w:val="auto"/>
          <w:sz w:val="20"/>
          <w:szCs w:val="20"/>
        </w:rPr>
        <w:t>exitujících R&amp;D</w:t>
      </w:r>
      <w:r w:rsidRPr="71E36747">
        <w:rPr>
          <w:rStyle w:val="K-TextInfoChar"/>
          <w:rFonts w:asciiTheme="minorHAnsi" w:eastAsiaTheme="minorEastAsia" w:hAnsiTheme="minorHAnsi" w:cstheme="minorBidi"/>
          <w:color w:val="auto"/>
          <w:sz w:val="20"/>
          <w:szCs w:val="20"/>
        </w:rPr>
        <w:t xml:space="preserve"> kapacit reagovat na trendy ve vývoji těchto </w:t>
      </w:r>
      <w:r w:rsidR="5F029356" w:rsidRPr="71E36747">
        <w:rPr>
          <w:rStyle w:val="K-TextInfoChar"/>
          <w:rFonts w:asciiTheme="minorHAnsi" w:eastAsiaTheme="minorEastAsia" w:hAnsiTheme="minorHAnsi" w:cstheme="minorBidi"/>
          <w:color w:val="auto"/>
          <w:sz w:val="20"/>
          <w:szCs w:val="20"/>
        </w:rPr>
        <w:t>u</w:t>
      </w:r>
      <w:r w:rsidRPr="71E36747">
        <w:rPr>
          <w:rStyle w:val="K-TextInfoChar"/>
          <w:rFonts w:asciiTheme="minorHAnsi" w:eastAsiaTheme="minorEastAsia" w:hAnsiTheme="minorHAnsi" w:cstheme="minorBidi"/>
          <w:color w:val="auto"/>
          <w:sz w:val="20"/>
          <w:szCs w:val="20"/>
        </w:rPr>
        <w:t xml:space="preserve">kazatelů, </w:t>
      </w:r>
      <w:r w:rsidR="7BE5CD96" w:rsidRPr="71E36747">
        <w:rPr>
          <w:rStyle w:val="K-TextInfoChar"/>
          <w:rFonts w:asciiTheme="minorHAnsi" w:eastAsiaTheme="minorEastAsia" w:hAnsiTheme="minorHAnsi" w:cstheme="minorBidi"/>
          <w:color w:val="auto"/>
          <w:sz w:val="20"/>
          <w:szCs w:val="20"/>
        </w:rPr>
        <w:t>které mohou</w:t>
      </w:r>
      <w:r w:rsidRPr="71E36747">
        <w:rPr>
          <w:rStyle w:val="K-TextInfoChar"/>
          <w:rFonts w:asciiTheme="minorHAnsi" w:eastAsiaTheme="minorEastAsia" w:hAnsiTheme="minorHAnsi" w:cstheme="minorBidi"/>
          <w:color w:val="auto"/>
          <w:sz w:val="20"/>
          <w:szCs w:val="20"/>
        </w:rPr>
        <w:t xml:space="preserve"> posouvat hranici poznání v oblastech podstatných pro vypořádání se s výzvami, které tato onemocnění pro společnost představují.</w:t>
      </w:r>
    </w:p>
    <w:p w14:paraId="20EE9893" w14:textId="48C3890F" w:rsidR="00A005F9" w:rsidRPr="00992741" w:rsidRDefault="1B328B4B" w:rsidP="6C54F3A7">
      <w:pPr>
        <w:pStyle w:val="Default"/>
        <w:spacing w:before="120" w:after="120"/>
        <w:jc w:val="both"/>
        <w:rPr>
          <w:rStyle w:val="K-TextInfoChar"/>
          <w:rFonts w:asciiTheme="minorHAnsi" w:eastAsiaTheme="minorEastAsia" w:hAnsiTheme="minorHAnsi" w:cstheme="minorBidi"/>
          <w:i w:val="0"/>
          <w:iCs w:val="0"/>
          <w:color w:val="auto"/>
          <w:sz w:val="20"/>
          <w:szCs w:val="20"/>
        </w:rPr>
      </w:pPr>
      <w:r w:rsidRPr="6C54F3A7">
        <w:rPr>
          <w:rStyle w:val="K-TextInfoChar"/>
          <w:rFonts w:asciiTheme="minorHAnsi" w:eastAsiaTheme="minorEastAsia" w:hAnsiTheme="minorHAnsi" w:cstheme="minorBidi"/>
          <w:i w:val="0"/>
          <w:iCs w:val="0"/>
          <w:color w:val="auto"/>
          <w:sz w:val="20"/>
          <w:szCs w:val="20"/>
        </w:rPr>
        <w:t xml:space="preserve">S pomocí </w:t>
      </w:r>
      <w:proofErr w:type="spellStart"/>
      <w:r w:rsidRPr="6C54F3A7">
        <w:rPr>
          <w:rStyle w:val="K-TextInfoChar"/>
          <w:rFonts w:asciiTheme="minorHAnsi" w:eastAsiaTheme="minorEastAsia" w:hAnsiTheme="minorHAnsi" w:cstheme="minorBidi"/>
          <w:i w:val="0"/>
          <w:iCs w:val="0"/>
          <w:color w:val="auto"/>
          <w:sz w:val="20"/>
          <w:szCs w:val="20"/>
        </w:rPr>
        <w:t>bi</w:t>
      </w:r>
      <w:r w:rsidR="3D835E38" w:rsidRPr="6C54F3A7">
        <w:rPr>
          <w:rStyle w:val="K-TextInfoChar"/>
          <w:rFonts w:asciiTheme="minorHAnsi" w:eastAsiaTheme="minorEastAsia" w:hAnsiTheme="minorHAnsi" w:cstheme="minorBidi"/>
          <w:i w:val="0"/>
          <w:iCs w:val="0"/>
          <w:color w:val="auto"/>
          <w:sz w:val="20"/>
          <w:szCs w:val="20"/>
        </w:rPr>
        <w:t>bli</w:t>
      </w:r>
      <w:r w:rsidRPr="6C54F3A7">
        <w:rPr>
          <w:rStyle w:val="K-TextInfoChar"/>
          <w:rFonts w:asciiTheme="minorHAnsi" w:eastAsiaTheme="minorEastAsia" w:hAnsiTheme="minorHAnsi" w:cstheme="minorBidi"/>
          <w:i w:val="0"/>
          <w:iCs w:val="0"/>
          <w:color w:val="auto"/>
          <w:sz w:val="20"/>
          <w:szCs w:val="20"/>
        </w:rPr>
        <w:t>ometrické</w:t>
      </w:r>
      <w:proofErr w:type="spellEnd"/>
      <w:r w:rsidRPr="6C54F3A7">
        <w:rPr>
          <w:rStyle w:val="K-TextInfoChar"/>
          <w:rFonts w:asciiTheme="minorHAnsi" w:eastAsiaTheme="minorEastAsia" w:hAnsiTheme="minorHAnsi" w:cstheme="minorBidi"/>
          <w:i w:val="0"/>
          <w:iCs w:val="0"/>
          <w:color w:val="auto"/>
          <w:sz w:val="20"/>
          <w:szCs w:val="20"/>
        </w:rPr>
        <w:t xml:space="preserve"> analýzy</w:t>
      </w:r>
      <w:r w:rsidR="00A005F9" w:rsidRPr="71E36747">
        <w:rPr>
          <w:rStyle w:val="Znakapoznpodarou"/>
          <w:rFonts w:asciiTheme="minorHAnsi" w:eastAsiaTheme="minorEastAsia" w:hAnsiTheme="minorHAnsi" w:cstheme="minorBidi"/>
          <w:color w:val="auto"/>
          <w:sz w:val="20"/>
          <w:szCs w:val="20"/>
        </w:rPr>
        <w:footnoteReference w:id="19"/>
      </w:r>
      <w:r w:rsidRPr="6C54F3A7">
        <w:rPr>
          <w:rStyle w:val="K-TextInfoChar"/>
          <w:rFonts w:asciiTheme="minorHAnsi" w:eastAsiaTheme="minorEastAsia" w:hAnsiTheme="minorHAnsi" w:cstheme="minorBidi"/>
          <w:i w:val="0"/>
          <w:iCs w:val="0"/>
          <w:color w:val="auto"/>
          <w:sz w:val="20"/>
          <w:szCs w:val="20"/>
        </w:rPr>
        <w:t xml:space="preserve"> byly zároveň identifikovány ty medicínské a související obory, které dosahují excelentních výsledků ve </w:t>
      </w:r>
      <w:proofErr w:type="spellStart"/>
      <w:r w:rsidRPr="6C54F3A7">
        <w:rPr>
          <w:rStyle w:val="K-TextInfoChar"/>
          <w:rFonts w:asciiTheme="minorHAnsi" w:eastAsiaTheme="minorEastAsia" w:hAnsiTheme="minorHAnsi" w:cstheme="minorBidi"/>
          <w:i w:val="0"/>
          <w:iCs w:val="0"/>
          <w:color w:val="auto"/>
          <w:sz w:val="20"/>
          <w:szCs w:val="20"/>
        </w:rPr>
        <w:t>VaVaI</w:t>
      </w:r>
      <w:proofErr w:type="spellEnd"/>
      <w:r w:rsidRPr="6C54F3A7">
        <w:rPr>
          <w:rStyle w:val="K-TextInfoChar"/>
          <w:rFonts w:asciiTheme="minorHAnsi" w:eastAsiaTheme="minorEastAsia" w:hAnsiTheme="minorHAnsi" w:cstheme="minorBidi"/>
          <w:i w:val="0"/>
          <w:iCs w:val="0"/>
          <w:color w:val="auto"/>
          <w:sz w:val="20"/>
          <w:szCs w:val="20"/>
        </w:rPr>
        <w:t xml:space="preserve">. Prolnutím dat z obou těchto </w:t>
      </w:r>
      <w:r w:rsidR="476D6E69" w:rsidRPr="6C54F3A7">
        <w:rPr>
          <w:rStyle w:val="K-TextInfoChar"/>
          <w:rFonts w:asciiTheme="minorHAnsi" w:eastAsiaTheme="minorEastAsia" w:hAnsiTheme="minorHAnsi" w:cstheme="minorBidi"/>
          <w:i w:val="0"/>
          <w:iCs w:val="0"/>
          <w:color w:val="auto"/>
          <w:sz w:val="20"/>
          <w:szCs w:val="20"/>
        </w:rPr>
        <w:t xml:space="preserve">datových </w:t>
      </w:r>
      <w:r w:rsidRPr="6C54F3A7">
        <w:rPr>
          <w:rStyle w:val="K-TextInfoChar"/>
          <w:rFonts w:asciiTheme="minorHAnsi" w:eastAsiaTheme="minorEastAsia" w:hAnsiTheme="minorHAnsi" w:cstheme="minorBidi"/>
          <w:i w:val="0"/>
          <w:iCs w:val="0"/>
          <w:color w:val="auto"/>
          <w:sz w:val="20"/>
          <w:szCs w:val="20"/>
        </w:rPr>
        <w:t xml:space="preserve">základen lze určit perspektivní tematické a oborové zacílení </w:t>
      </w:r>
      <w:r w:rsidR="7BE5CD96" w:rsidRPr="6C54F3A7">
        <w:rPr>
          <w:rStyle w:val="K-TextInfoChar"/>
          <w:rFonts w:asciiTheme="minorHAnsi" w:eastAsiaTheme="minorEastAsia" w:hAnsiTheme="minorHAnsi" w:cstheme="minorBidi"/>
          <w:i w:val="0"/>
          <w:iCs w:val="0"/>
          <w:color w:val="auto"/>
          <w:sz w:val="20"/>
          <w:szCs w:val="20"/>
        </w:rPr>
        <w:t>potřebné investice do výzkumu v této komponentě</w:t>
      </w:r>
      <w:r w:rsidRPr="6C54F3A7">
        <w:rPr>
          <w:rStyle w:val="K-TextInfoChar"/>
          <w:rFonts w:asciiTheme="minorHAnsi" w:eastAsiaTheme="minorEastAsia" w:hAnsiTheme="minorHAnsi" w:cstheme="minorBidi"/>
          <w:i w:val="0"/>
          <w:iCs w:val="0"/>
          <w:color w:val="auto"/>
          <w:sz w:val="20"/>
          <w:szCs w:val="20"/>
        </w:rPr>
        <w:t>, které odpovídá potřebnosti rozvoj</w:t>
      </w:r>
      <w:r w:rsidR="476D6E69" w:rsidRPr="6C54F3A7">
        <w:rPr>
          <w:rStyle w:val="K-TextInfoChar"/>
          <w:rFonts w:asciiTheme="minorHAnsi" w:eastAsiaTheme="minorEastAsia" w:hAnsiTheme="minorHAnsi" w:cstheme="minorBidi"/>
          <w:i w:val="0"/>
          <w:iCs w:val="0"/>
          <w:color w:val="auto"/>
          <w:sz w:val="20"/>
          <w:szCs w:val="20"/>
        </w:rPr>
        <w:t xml:space="preserve">e </w:t>
      </w:r>
      <w:r w:rsidRPr="6C54F3A7">
        <w:rPr>
          <w:rStyle w:val="K-TextInfoChar"/>
          <w:rFonts w:asciiTheme="minorHAnsi" w:eastAsiaTheme="minorEastAsia" w:hAnsiTheme="minorHAnsi" w:cstheme="minorBidi"/>
          <w:i w:val="0"/>
          <w:iCs w:val="0"/>
          <w:color w:val="auto"/>
          <w:sz w:val="20"/>
          <w:szCs w:val="20"/>
        </w:rPr>
        <w:t xml:space="preserve">ČR. V zájmu efektivní alokace veřejných prostředků se konečný výběr prioritních oblastí </w:t>
      </w:r>
      <w:r w:rsidR="476D6E69" w:rsidRPr="6C54F3A7">
        <w:rPr>
          <w:rStyle w:val="K-TextInfoChar"/>
          <w:rFonts w:asciiTheme="minorHAnsi" w:eastAsiaTheme="minorEastAsia" w:hAnsiTheme="minorHAnsi" w:cstheme="minorBidi"/>
          <w:i w:val="0"/>
          <w:iCs w:val="0"/>
          <w:color w:val="auto"/>
          <w:sz w:val="20"/>
          <w:szCs w:val="20"/>
        </w:rPr>
        <w:t xml:space="preserve">také </w:t>
      </w:r>
      <w:r w:rsidRPr="6C54F3A7">
        <w:rPr>
          <w:rStyle w:val="K-TextInfoChar"/>
          <w:rFonts w:asciiTheme="minorHAnsi" w:eastAsiaTheme="minorEastAsia" w:hAnsiTheme="minorHAnsi" w:cstheme="minorBidi"/>
          <w:i w:val="0"/>
          <w:iCs w:val="0"/>
          <w:color w:val="auto"/>
          <w:sz w:val="20"/>
          <w:szCs w:val="20"/>
        </w:rPr>
        <w:t xml:space="preserve">opírá o analýzu financování </w:t>
      </w:r>
      <w:proofErr w:type="spellStart"/>
      <w:r w:rsidRPr="6C54F3A7">
        <w:rPr>
          <w:rStyle w:val="K-TextInfoChar"/>
          <w:rFonts w:asciiTheme="minorHAnsi" w:eastAsiaTheme="minorEastAsia" w:hAnsiTheme="minorHAnsi" w:cstheme="minorBidi"/>
          <w:i w:val="0"/>
          <w:iCs w:val="0"/>
          <w:color w:val="auto"/>
          <w:sz w:val="20"/>
          <w:szCs w:val="20"/>
        </w:rPr>
        <w:t>VaVaI</w:t>
      </w:r>
      <w:proofErr w:type="spellEnd"/>
      <w:r w:rsidRPr="6C54F3A7">
        <w:rPr>
          <w:rStyle w:val="K-TextInfoChar"/>
          <w:rFonts w:asciiTheme="minorHAnsi" w:eastAsiaTheme="minorEastAsia" w:hAnsiTheme="minorHAnsi" w:cstheme="minorBidi"/>
          <w:i w:val="0"/>
          <w:iCs w:val="0"/>
          <w:color w:val="auto"/>
          <w:sz w:val="20"/>
          <w:szCs w:val="20"/>
        </w:rPr>
        <w:t xml:space="preserve"> </w:t>
      </w:r>
      <w:r w:rsidRPr="6C54F3A7">
        <w:rPr>
          <w:rStyle w:val="K-TextInfoChar"/>
          <w:rFonts w:asciiTheme="minorHAnsi" w:eastAsiaTheme="minorEastAsia" w:hAnsiTheme="minorHAnsi" w:cstheme="minorBidi"/>
          <w:i w:val="0"/>
          <w:iCs w:val="0"/>
          <w:color w:val="auto"/>
          <w:sz w:val="20"/>
          <w:szCs w:val="20"/>
        </w:rPr>
        <w:lastRenderedPageBreak/>
        <w:t>z veřejných zdrojů</w:t>
      </w:r>
      <w:r w:rsidR="002B2226" w:rsidRPr="71E36747">
        <w:rPr>
          <w:rStyle w:val="Znakapoznpodarou"/>
          <w:rFonts w:asciiTheme="minorHAnsi" w:eastAsiaTheme="minorEastAsia" w:hAnsiTheme="minorHAnsi" w:cstheme="minorBidi"/>
          <w:color w:val="auto"/>
          <w:sz w:val="20"/>
          <w:szCs w:val="20"/>
        </w:rPr>
        <w:footnoteReference w:id="20"/>
      </w:r>
      <w:r w:rsidRPr="6C54F3A7">
        <w:rPr>
          <w:rStyle w:val="K-TextInfoChar"/>
          <w:rFonts w:asciiTheme="minorHAnsi" w:eastAsiaTheme="minorEastAsia" w:hAnsiTheme="minorHAnsi" w:cstheme="minorBidi"/>
          <w:i w:val="0"/>
          <w:iCs w:val="0"/>
          <w:color w:val="auto"/>
          <w:sz w:val="20"/>
          <w:szCs w:val="20"/>
        </w:rPr>
        <w:t xml:space="preserve"> tak, aby podpora směřovala do </w:t>
      </w:r>
      <w:r w:rsidR="7BE5CD96" w:rsidRPr="6C54F3A7">
        <w:rPr>
          <w:rStyle w:val="K-TextInfoChar"/>
          <w:rFonts w:asciiTheme="minorHAnsi" w:eastAsiaTheme="minorEastAsia" w:hAnsiTheme="minorHAnsi" w:cstheme="minorBidi"/>
          <w:i w:val="0"/>
          <w:iCs w:val="0"/>
          <w:color w:val="auto"/>
          <w:sz w:val="20"/>
          <w:szCs w:val="20"/>
        </w:rPr>
        <w:t xml:space="preserve">vědních </w:t>
      </w:r>
      <w:r w:rsidRPr="6C54F3A7">
        <w:rPr>
          <w:rStyle w:val="K-TextInfoChar"/>
          <w:rFonts w:asciiTheme="minorHAnsi" w:eastAsiaTheme="minorEastAsia" w:hAnsiTheme="minorHAnsi" w:cstheme="minorBidi"/>
          <w:i w:val="0"/>
          <w:iCs w:val="0"/>
          <w:color w:val="auto"/>
          <w:sz w:val="20"/>
          <w:szCs w:val="20"/>
        </w:rPr>
        <w:t>oblastí</w:t>
      </w:r>
      <w:r w:rsidR="7BE5CD96" w:rsidRPr="6C54F3A7">
        <w:rPr>
          <w:rStyle w:val="K-TextInfoChar"/>
          <w:rFonts w:asciiTheme="minorHAnsi" w:eastAsiaTheme="minorEastAsia" w:hAnsiTheme="minorHAnsi" w:cstheme="minorBidi"/>
          <w:i w:val="0"/>
          <w:iCs w:val="0"/>
          <w:color w:val="auto"/>
          <w:sz w:val="20"/>
          <w:szCs w:val="20"/>
        </w:rPr>
        <w:t>,</w:t>
      </w:r>
      <w:r w:rsidRPr="6C54F3A7">
        <w:rPr>
          <w:rStyle w:val="K-TextInfoChar"/>
          <w:rFonts w:asciiTheme="minorHAnsi" w:eastAsiaTheme="minorEastAsia" w:hAnsiTheme="minorHAnsi" w:cstheme="minorBidi"/>
          <w:i w:val="0"/>
          <w:iCs w:val="0"/>
          <w:color w:val="auto"/>
          <w:sz w:val="20"/>
          <w:szCs w:val="20"/>
        </w:rPr>
        <w:t xml:space="preserve"> které dosud nebyly </w:t>
      </w:r>
      <w:r w:rsidR="476D6E69" w:rsidRPr="6C54F3A7">
        <w:rPr>
          <w:rStyle w:val="K-TextInfoChar"/>
          <w:rFonts w:asciiTheme="minorHAnsi" w:eastAsiaTheme="minorEastAsia" w:hAnsiTheme="minorHAnsi" w:cstheme="minorBidi"/>
          <w:i w:val="0"/>
          <w:iCs w:val="0"/>
          <w:color w:val="auto"/>
          <w:sz w:val="20"/>
          <w:szCs w:val="20"/>
        </w:rPr>
        <w:t xml:space="preserve">nebo nebudou </w:t>
      </w:r>
      <w:r w:rsidRPr="6C54F3A7">
        <w:rPr>
          <w:rStyle w:val="K-TextInfoChar"/>
          <w:rFonts w:asciiTheme="minorHAnsi" w:eastAsiaTheme="minorEastAsia" w:hAnsiTheme="minorHAnsi" w:cstheme="minorBidi"/>
          <w:i w:val="0"/>
          <w:iCs w:val="0"/>
          <w:color w:val="auto"/>
          <w:sz w:val="20"/>
          <w:szCs w:val="20"/>
        </w:rPr>
        <w:t xml:space="preserve">dostatečně </w:t>
      </w:r>
      <w:r w:rsidR="476D6E69" w:rsidRPr="6C54F3A7">
        <w:rPr>
          <w:rStyle w:val="K-TextInfoChar"/>
          <w:rFonts w:asciiTheme="minorHAnsi" w:eastAsiaTheme="minorEastAsia" w:hAnsiTheme="minorHAnsi" w:cstheme="minorBidi"/>
          <w:i w:val="0"/>
          <w:iCs w:val="0"/>
          <w:color w:val="auto"/>
          <w:sz w:val="20"/>
          <w:szCs w:val="20"/>
        </w:rPr>
        <w:t>pro</w:t>
      </w:r>
      <w:r w:rsidRPr="6C54F3A7">
        <w:rPr>
          <w:rStyle w:val="K-TextInfoChar"/>
          <w:rFonts w:asciiTheme="minorHAnsi" w:eastAsiaTheme="minorEastAsia" w:hAnsiTheme="minorHAnsi" w:cstheme="minorBidi"/>
          <w:i w:val="0"/>
          <w:iCs w:val="0"/>
          <w:color w:val="auto"/>
          <w:sz w:val="20"/>
          <w:szCs w:val="20"/>
        </w:rPr>
        <w:t>financovány z jiných zdrojů, jako jsou např. OP VVV nebo H2020</w:t>
      </w:r>
      <w:r w:rsidR="476D6E69" w:rsidRPr="6C54F3A7">
        <w:rPr>
          <w:rStyle w:val="K-TextInfoChar"/>
          <w:rFonts w:asciiTheme="minorHAnsi" w:eastAsiaTheme="minorEastAsia" w:hAnsiTheme="minorHAnsi" w:cstheme="minorBidi"/>
          <w:i w:val="0"/>
          <w:iCs w:val="0"/>
          <w:color w:val="auto"/>
          <w:sz w:val="20"/>
          <w:szCs w:val="20"/>
        </w:rPr>
        <w:t>, v budoucnu pak OP JAK</w:t>
      </w:r>
      <w:r w:rsidR="3D835E38" w:rsidRPr="6C54F3A7">
        <w:rPr>
          <w:rStyle w:val="K-TextInfoChar"/>
          <w:rFonts w:asciiTheme="minorHAnsi" w:eastAsiaTheme="minorEastAsia" w:hAnsiTheme="minorHAnsi" w:cstheme="minorBidi"/>
          <w:i w:val="0"/>
          <w:iCs w:val="0"/>
          <w:color w:val="auto"/>
          <w:sz w:val="20"/>
          <w:szCs w:val="20"/>
        </w:rPr>
        <w:t xml:space="preserve"> a </w:t>
      </w:r>
      <w:proofErr w:type="spellStart"/>
      <w:r w:rsidR="3D835E38" w:rsidRPr="6C54F3A7">
        <w:rPr>
          <w:rStyle w:val="K-TextInfoChar"/>
          <w:rFonts w:asciiTheme="minorHAnsi" w:eastAsiaTheme="minorEastAsia" w:hAnsiTheme="minorHAnsi" w:cstheme="minorBidi"/>
          <w:i w:val="0"/>
          <w:iCs w:val="0"/>
          <w:color w:val="auto"/>
          <w:sz w:val="20"/>
          <w:szCs w:val="20"/>
        </w:rPr>
        <w:t>Horizon</w:t>
      </w:r>
      <w:proofErr w:type="spellEnd"/>
      <w:r w:rsidR="3D835E38" w:rsidRPr="6C54F3A7">
        <w:rPr>
          <w:rStyle w:val="K-TextInfoChar"/>
          <w:rFonts w:asciiTheme="minorHAnsi" w:eastAsiaTheme="minorEastAsia" w:hAnsiTheme="minorHAnsi" w:cstheme="minorBidi"/>
          <w:i w:val="0"/>
          <w:iCs w:val="0"/>
          <w:color w:val="auto"/>
          <w:sz w:val="20"/>
          <w:szCs w:val="20"/>
        </w:rPr>
        <w:t xml:space="preserve"> </w:t>
      </w:r>
      <w:proofErr w:type="spellStart"/>
      <w:r w:rsidR="3D835E38" w:rsidRPr="6C54F3A7">
        <w:rPr>
          <w:rStyle w:val="K-TextInfoChar"/>
          <w:rFonts w:asciiTheme="minorHAnsi" w:eastAsiaTheme="minorEastAsia" w:hAnsiTheme="minorHAnsi" w:cstheme="minorBidi"/>
          <w:i w:val="0"/>
          <w:iCs w:val="0"/>
          <w:color w:val="auto"/>
          <w:sz w:val="20"/>
          <w:szCs w:val="20"/>
        </w:rPr>
        <w:t>Europe</w:t>
      </w:r>
      <w:proofErr w:type="spellEnd"/>
      <w:r w:rsidR="3D835E38" w:rsidRPr="6C54F3A7">
        <w:rPr>
          <w:rStyle w:val="K-TextInfoChar"/>
          <w:rFonts w:asciiTheme="minorHAnsi" w:eastAsiaTheme="minorEastAsia" w:hAnsiTheme="minorHAnsi" w:cstheme="minorBidi"/>
          <w:i w:val="0"/>
          <w:iCs w:val="0"/>
          <w:color w:val="auto"/>
          <w:sz w:val="20"/>
          <w:szCs w:val="20"/>
        </w:rPr>
        <w:t xml:space="preserve"> (HE)</w:t>
      </w:r>
      <w:r w:rsidRPr="6C54F3A7">
        <w:rPr>
          <w:rStyle w:val="K-TextInfoChar"/>
          <w:rFonts w:asciiTheme="minorHAnsi" w:eastAsiaTheme="minorEastAsia" w:hAnsiTheme="minorHAnsi" w:cstheme="minorBidi"/>
          <w:i w:val="0"/>
          <w:iCs w:val="0"/>
          <w:color w:val="auto"/>
          <w:sz w:val="20"/>
          <w:szCs w:val="20"/>
        </w:rPr>
        <w:t>.</w:t>
      </w:r>
      <w:r w:rsidR="00A005F9" w:rsidRPr="71E36747">
        <w:rPr>
          <w:rStyle w:val="Znakapoznpodarou"/>
          <w:rFonts w:asciiTheme="minorHAnsi" w:eastAsiaTheme="minorEastAsia" w:hAnsiTheme="minorHAnsi" w:cstheme="minorBidi"/>
          <w:color w:val="auto"/>
          <w:sz w:val="20"/>
          <w:szCs w:val="20"/>
        </w:rPr>
        <w:footnoteReference w:id="21"/>
      </w:r>
    </w:p>
    <w:p w14:paraId="7C2CB5E8" w14:textId="2A7826E1" w:rsidR="00E01FB5" w:rsidRPr="00F34B12" w:rsidRDefault="1B328B4B" w:rsidP="6C54F3A7">
      <w:pPr>
        <w:pStyle w:val="K-TextInfo"/>
        <w:rPr>
          <w:rFonts w:asciiTheme="minorHAnsi" w:eastAsiaTheme="minorEastAsia" w:hAnsiTheme="minorHAnsi" w:cstheme="minorBidi"/>
          <w:i w:val="0"/>
          <w:iCs w:val="0"/>
          <w:color w:val="auto"/>
          <w:sz w:val="20"/>
          <w:szCs w:val="20"/>
        </w:rPr>
      </w:pPr>
      <w:r w:rsidRPr="6C54F3A7">
        <w:rPr>
          <w:rStyle w:val="K-TextInfoChar"/>
          <w:rFonts w:asciiTheme="minorHAnsi" w:eastAsiaTheme="minorEastAsia" w:hAnsiTheme="minorHAnsi" w:cstheme="minorBidi"/>
          <w:color w:val="auto"/>
          <w:sz w:val="20"/>
          <w:szCs w:val="20"/>
        </w:rPr>
        <w:t>Uvedené analýzy odhalují i jednu ze systémových slabin výzkumu ve vybraných prioritních oblastech</w:t>
      </w:r>
      <w:r w:rsidR="0E0699E0" w:rsidRPr="6C54F3A7">
        <w:rPr>
          <w:rStyle w:val="K-TextInfoChar"/>
          <w:rFonts w:asciiTheme="minorHAnsi" w:eastAsiaTheme="minorEastAsia" w:hAnsiTheme="minorHAnsi" w:cstheme="minorBidi"/>
          <w:color w:val="auto"/>
          <w:sz w:val="20"/>
          <w:szCs w:val="20"/>
        </w:rPr>
        <w:t xml:space="preserve"> </w:t>
      </w:r>
      <w:proofErr w:type="spellStart"/>
      <w:r w:rsidR="0E0699E0" w:rsidRPr="6C54F3A7">
        <w:rPr>
          <w:rStyle w:val="K-TextInfoChar"/>
          <w:rFonts w:asciiTheme="minorHAnsi" w:eastAsiaTheme="minorEastAsia" w:hAnsiTheme="minorHAnsi" w:cstheme="minorBidi"/>
          <w:color w:val="auto"/>
          <w:sz w:val="20"/>
          <w:szCs w:val="20"/>
        </w:rPr>
        <w:t>VaV</w:t>
      </w:r>
      <w:proofErr w:type="spellEnd"/>
      <w:r w:rsidRPr="6C54F3A7">
        <w:rPr>
          <w:rStyle w:val="K-TextInfoChar"/>
          <w:rFonts w:asciiTheme="minorHAnsi" w:eastAsiaTheme="minorEastAsia" w:hAnsiTheme="minorHAnsi" w:cstheme="minorBidi"/>
          <w:color w:val="auto"/>
          <w:sz w:val="20"/>
          <w:szCs w:val="20"/>
        </w:rPr>
        <w:t xml:space="preserve">, kterou </w:t>
      </w:r>
      <w:r w:rsidR="2A6FCB9B" w:rsidRPr="6C54F3A7">
        <w:rPr>
          <w:rFonts w:asciiTheme="minorHAnsi" w:eastAsiaTheme="minorEastAsia" w:hAnsiTheme="minorHAnsi" w:cstheme="minorBidi"/>
          <w:i w:val="0"/>
          <w:iCs w:val="0"/>
          <w:color w:val="auto"/>
          <w:sz w:val="20"/>
          <w:szCs w:val="20"/>
        </w:rPr>
        <w:t>je i roztříštěnost</w:t>
      </w:r>
      <w:r w:rsidR="7BE5CD96" w:rsidRPr="6C54F3A7">
        <w:rPr>
          <w:rFonts w:asciiTheme="minorHAnsi" w:eastAsiaTheme="minorEastAsia" w:hAnsiTheme="minorHAnsi" w:cstheme="minorBidi"/>
          <w:i w:val="0"/>
          <w:iCs w:val="0"/>
          <w:color w:val="auto"/>
          <w:sz w:val="20"/>
          <w:szCs w:val="20"/>
        </w:rPr>
        <w:t>, lokálnost a</w:t>
      </w:r>
      <w:r w:rsidR="2A6FCB9B" w:rsidRPr="6C54F3A7">
        <w:rPr>
          <w:rFonts w:asciiTheme="minorHAnsi" w:eastAsiaTheme="minorEastAsia" w:hAnsiTheme="minorHAnsi" w:cstheme="minorBidi"/>
          <w:i w:val="0"/>
          <w:iCs w:val="0"/>
          <w:color w:val="auto"/>
          <w:sz w:val="20"/>
          <w:szCs w:val="20"/>
        </w:rPr>
        <w:t xml:space="preserve"> nedostatečná koordinovanost špičkových vědeckých kapacit, které </w:t>
      </w:r>
      <w:r w:rsidR="7BE5CD96" w:rsidRPr="6C54F3A7">
        <w:rPr>
          <w:rFonts w:asciiTheme="minorHAnsi" w:eastAsiaTheme="minorEastAsia" w:hAnsiTheme="minorHAnsi" w:cstheme="minorBidi"/>
          <w:i w:val="0"/>
          <w:iCs w:val="0"/>
          <w:color w:val="auto"/>
          <w:sz w:val="20"/>
          <w:szCs w:val="20"/>
        </w:rPr>
        <w:t>tak ne</w:t>
      </w:r>
      <w:r w:rsidR="2A6FCB9B" w:rsidRPr="6C54F3A7">
        <w:rPr>
          <w:rFonts w:asciiTheme="minorHAnsi" w:eastAsiaTheme="minorEastAsia" w:hAnsiTheme="minorHAnsi" w:cstheme="minorBidi"/>
          <w:i w:val="0"/>
          <w:iCs w:val="0"/>
          <w:color w:val="auto"/>
          <w:sz w:val="20"/>
          <w:szCs w:val="20"/>
        </w:rPr>
        <w:t xml:space="preserve">jsou schopny okamžitě zareagovat na </w:t>
      </w:r>
      <w:r w:rsidR="1EC5EAB9" w:rsidRPr="6C54F3A7">
        <w:rPr>
          <w:rFonts w:asciiTheme="minorHAnsi" w:eastAsiaTheme="minorEastAsia" w:hAnsiTheme="minorHAnsi" w:cstheme="minorBidi"/>
          <w:i w:val="0"/>
          <w:iCs w:val="0"/>
          <w:color w:val="auto"/>
          <w:sz w:val="20"/>
          <w:szCs w:val="20"/>
        </w:rPr>
        <w:t xml:space="preserve">náhlý výskyt </w:t>
      </w:r>
      <w:r w:rsidR="745B7EDF" w:rsidRPr="6C54F3A7">
        <w:rPr>
          <w:rFonts w:asciiTheme="minorHAnsi" w:eastAsiaTheme="minorEastAsia" w:hAnsiTheme="minorHAnsi" w:cstheme="minorBidi"/>
          <w:i w:val="0"/>
          <w:iCs w:val="0"/>
          <w:color w:val="auto"/>
          <w:sz w:val="20"/>
          <w:szCs w:val="20"/>
        </w:rPr>
        <w:t xml:space="preserve">společenského </w:t>
      </w:r>
      <w:r w:rsidR="1EC5EAB9" w:rsidRPr="6C54F3A7">
        <w:rPr>
          <w:rFonts w:asciiTheme="minorHAnsi" w:eastAsiaTheme="minorEastAsia" w:hAnsiTheme="minorHAnsi" w:cstheme="minorBidi"/>
          <w:i w:val="0"/>
          <w:iCs w:val="0"/>
          <w:color w:val="auto"/>
          <w:sz w:val="20"/>
          <w:szCs w:val="20"/>
        </w:rPr>
        <w:t xml:space="preserve">jevu pandemického charakteru s dopadem na zdraví a smrtnost občanů, na společenskou změnu v </w:t>
      </w:r>
      <w:r w:rsidR="2A6FCB9B" w:rsidRPr="6C54F3A7">
        <w:rPr>
          <w:rFonts w:asciiTheme="minorHAnsi" w:eastAsiaTheme="minorEastAsia" w:hAnsiTheme="minorHAnsi" w:cstheme="minorBidi"/>
          <w:i w:val="0"/>
          <w:iCs w:val="0"/>
          <w:color w:val="auto"/>
          <w:sz w:val="20"/>
          <w:szCs w:val="20"/>
        </w:rPr>
        <w:t>potřeb</w:t>
      </w:r>
      <w:r w:rsidR="1EC5EAB9" w:rsidRPr="6C54F3A7">
        <w:rPr>
          <w:rFonts w:asciiTheme="minorHAnsi" w:eastAsiaTheme="minorEastAsia" w:hAnsiTheme="minorHAnsi" w:cstheme="minorBidi"/>
          <w:i w:val="0"/>
          <w:iCs w:val="0"/>
          <w:color w:val="auto"/>
          <w:sz w:val="20"/>
          <w:szCs w:val="20"/>
        </w:rPr>
        <w:t>ách</w:t>
      </w:r>
      <w:r w:rsidR="2A6FCB9B" w:rsidRPr="6C54F3A7">
        <w:rPr>
          <w:rFonts w:asciiTheme="minorHAnsi" w:eastAsiaTheme="minorEastAsia" w:hAnsiTheme="minorHAnsi" w:cstheme="minorBidi"/>
          <w:i w:val="0"/>
          <w:iCs w:val="0"/>
          <w:color w:val="auto"/>
          <w:sz w:val="20"/>
          <w:szCs w:val="20"/>
        </w:rPr>
        <w:t xml:space="preserve"> státu i veřejnosti</w:t>
      </w:r>
      <w:r w:rsidR="1EC5EAB9" w:rsidRPr="6C54F3A7">
        <w:rPr>
          <w:rFonts w:asciiTheme="minorHAnsi" w:eastAsiaTheme="minorEastAsia" w:hAnsiTheme="minorHAnsi" w:cstheme="minorBidi"/>
          <w:i w:val="0"/>
          <w:iCs w:val="0"/>
          <w:color w:val="auto"/>
          <w:sz w:val="20"/>
          <w:szCs w:val="20"/>
        </w:rPr>
        <w:t xml:space="preserve"> v oblasti lékařských věd</w:t>
      </w:r>
      <w:r w:rsidR="2A6FCB9B" w:rsidRPr="6C54F3A7">
        <w:rPr>
          <w:rFonts w:asciiTheme="minorHAnsi" w:eastAsiaTheme="minorEastAsia" w:hAnsiTheme="minorHAnsi" w:cstheme="minorBidi"/>
          <w:i w:val="0"/>
          <w:iCs w:val="0"/>
          <w:color w:val="auto"/>
          <w:sz w:val="20"/>
          <w:szCs w:val="20"/>
        </w:rPr>
        <w:t xml:space="preserve">, </w:t>
      </w:r>
      <w:r w:rsidR="1EC5EAB9" w:rsidRPr="6C54F3A7">
        <w:rPr>
          <w:rFonts w:asciiTheme="minorHAnsi" w:eastAsiaTheme="minorEastAsia" w:hAnsiTheme="minorHAnsi" w:cstheme="minorBidi"/>
          <w:i w:val="0"/>
          <w:iCs w:val="0"/>
          <w:color w:val="auto"/>
          <w:sz w:val="20"/>
          <w:szCs w:val="20"/>
        </w:rPr>
        <w:t xml:space="preserve">flexibilně </w:t>
      </w:r>
      <w:r w:rsidR="2A6FCB9B" w:rsidRPr="6C54F3A7">
        <w:rPr>
          <w:rFonts w:asciiTheme="minorHAnsi" w:eastAsiaTheme="minorEastAsia" w:hAnsiTheme="minorHAnsi" w:cstheme="minorBidi"/>
          <w:i w:val="0"/>
          <w:iCs w:val="0"/>
          <w:color w:val="auto"/>
          <w:sz w:val="20"/>
          <w:szCs w:val="20"/>
        </w:rPr>
        <w:t xml:space="preserve">poskytnout ucelený a jednotný odborný názor </w:t>
      </w:r>
      <w:r w:rsidR="1EC5EAB9" w:rsidRPr="6C54F3A7">
        <w:rPr>
          <w:rFonts w:asciiTheme="minorHAnsi" w:eastAsiaTheme="minorEastAsia" w:hAnsiTheme="minorHAnsi" w:cstheme="minorBidi"/>
          <w:i w:val="0"/>
          <w:iCs w:val="0"/>
          <w:color w:val="auto"/>
          <w:sz w:val="20"/>
          <w:szCs w:val="20"/>
        </w:rPr>
        <w:t xml:space="preserve">na hranici poznání </w:t>
      </w:r>
      <w:r w:rsidR="2A6FCB9B" w:rsidRPr="6C54F3A7">
        <w:rPr>
          <w:rFonts w:asciiTheme="minorHAnsi" w:eastAsiaTheme="minorEastAsia" w:hAnsiTheme="minorHAnsi" w:cstheme="minorBidi"/>
          <w:i w:val="0"/>
          <w:iCs w:val="0"/>
          <w:color w:val="auto"/>
          <w:sz w:val="20"/>
          <w:szCs w:val="20"/>
        </w:rPr>
        <w:t>založený na</w:t>
      </w:r>
      <w:r w:rsidR="476D6E69" w:rsidRPr="6C54F3A7">
        <w:rPr>
          <w:rFonts w:asciiTheme="minorHAnsi" w:eastAsiaTheme="minorEastAsia" w:hAnsiTheme="minorHAnsi" w:cstheme="minorBidi"/>
          <w:i w:val="0"/>
          <w:iCs w:val="0"/>
          <w:color w:val="auto"/>
          <w:sz w:val="20"/>
          <w:szCs w:val="20"/>
        </w:rPr>
        <w:t> </w:t>
      </w:r>
      <w:r w:rsidR="1EC5EAB9" w:rsidRPr="6C54F3A7">
        <w:rPr>
          <w:rFonts w:asciiTheme="minorHAnsi" w:eastAsiaTheme="minorEastAsia" w:hAnsiTheme="minorHAnsi" w:cstheme="minorBidi"/>
          <w:i w:val="0"/>
          <w:iCs w:val="0"/>
          <w:color w:val="auto"/>
          <w:sz w:val="20"/>
          <w:szCs w:val="20"/>
        </w:rPr>
        <w:t>znalostech</w:t>
      </w:r>
      <w:r w:rsidR="7BE5CD96" w:rsidRPr="6C54F3A7">
        <w:rPr>
          <w:rFonts w:asciiTheme="minorHAnsi" w:eastAsiaTheme="minorEastAsia" w:hAnsiTheme="minorHAnsi" w:cstheme="minorBidi"/>
          <w:i w:val="0"/>
          <w:iCs w:val="0"/>
          <w:color w:val="auto"/>
          <w:sz w:val="20"/>
          <w:szCs w:val="20"/>
        </w:rPr>
        <w:t>,</w:t>
      </w:r>
      <w:r w:rsidR="1EC5EAB9" w:rsidRPr="6C54F3A7">
        <w:rPr>
          <w:rFonts w:asciiTheme="minorHAnsi" w:eastAsiaTheme="minorEastAsia" w:hAnsiTheme="minorHAnsi" w:cstheme="minorBidi"/>
          <w:i w:val="0"/>
          <w:iCs w:val="0"/>
          <w:color w:val="auto"/>
          <w:sz w:val="20"/>
          <w:szCs w:val="20"/>
        </w:rPr>
        <w:t xml:space="preserve"> </w:t>
      </w:r>
      <w:r w:rsidR="7BE5CD96" w:rsidRPr="6C54F3A7">
        <w:rPr>
          <w:rFonts w:asciiTheme="minorHAnsi" w:eastAsiaTheme="minorEastAsia" w:hAnsiTheme="minorHAnsi" w:cstheme="minorBidi"/>
          <w:i w:val="0"/>
          <w:iCs w:val="0"/>
          <w:color w:val="auto"/>
          <w:sz w:val="20"/>
          <w:szCs w:val="20"/>
        </w:rPr>
        <w:t>an</w:t>
      </w:r>
      <w:r w:rsidR="2A6FCB9B" w:rsidRPr="6C54F3A7">
        <w:rPr>
          <w:rFonts w:asciiTheme="minorHAnsi" w:eastAsiaTheme="minorEastAsia" w:hAnsiTheme="minorHAnsi" w:cstheme="minorBidi"/>
          <w:i w:val="0"/>
          <w:iCs w:val="0"/>
          <w:color w:val="auto"/>
          <w:sz w:val="20"/>
          <w:szCs w:val="20"/>
        </w:rPr>
        <w:t>i potřebná vědecká data</w:t>
      </w:r>
      <w:r w:rsidR="1EC5EAB9" w:rsidRPr="6C54F3A7">
        <w:rPr>
          <w:rFonts w:asciiTheme="minorHAnsi" w:eastAsiaTheme="minorEastAsia" w:hAnsiTheme="minorHAnsi" w:cstheme="minorBidi"/>
          <w:i w:val="0"/>
          <w:iCs w:val="0"/>
          <w:color w:val="auto"/>
          <w:sz w:val="20"/>
          <w:szCs w:val="20"/>
        </w:rPr>
        <w:t>. Tuto slabinu mapovala jak tradiční</w:t>
      </w:r>
      <w:r w:rsidR="1E3C0B3A" w:rsidRPr="6C54F3A7">
        <w:rPr>
          <w:rFonts w:asciiTheme="minorHAnsi" w:eastAsiaTheme="minorEastAsia" w:hAnsiTheme="minorHAnsi" w:cstheme="minorBidi"/>
          <w:i w:val="0"/>
          <w:iCs w:val="0"/>
          <w:color w:val="auto"/>
          <w:sz w:val="20"/>
          <w:szCs w:val="20"/>
        </w:rPr>
        <w:t>,</w:t>
      </w:r>
      <w:r w:rsidR="1EC5EAB9" w:rsidRPr="6C54F3A7">
        <w:rPr>
          <w:rFonts w:asciiTheme="minorHAnsi" w:eastAsiaTheme="minorEastAsia" w:hAnsiTheme="minorHAnsi" w:cstheme="minorBidi"/>
          <w:i w:val="0"/>
          <w:iCs w:val="0"/>
          <w:color w:val="auto"/>
          <w:sz w:val="20"/>
          <w:szCs w:val="20"/>
        </w:rPr>
        <w:t xml:space="preserve"> tak sociální média od</w:t>
      </w:r>
      <w:r w:rsidR="476D6E69" w:rsidRPr="6C54F3A7">
        <w:rPr>
          <w:rFonts w:asciiTheme="minorHAnsi" w:eastAsiaTheme="minorEastAsia" w:hAnsiTheme="minorHAnsi" w:cstheme="minorBidi"/>
          <w:i w:val="0"/>
          <w:iCs w:val="0"/>
          <w:color w:val="auto"/>
          <w:sz w:val="20"/>
          <w:szCs w:val="20"/>
        </w:rPr>
        <w:t> </w:t>
      </w:r>
      <w:r w:rsidR="1EC5EAB9" w:rsidRPr="6C54F3A7">
        <w:rPr>
          <w:rFonts w:asciiTheme="minorHAnsi" w:eastAsiaTheme="minorEastAsia" w:hAnsiTheme="minorHAnsi" w:cstheme="minorBidi"/>
          <w:i w:val="0"/>
          <w:iCs w:val="0"/>
          <w:color w:val="auto"/>
          <w:sz w:val="20"/>
          <w:szCs w:val="20"/>
        </w:rPr>
        <w:t xml:space="preserve">samého počátku pandemické krize </w:t>
      </w:r>
      <w:r w:rsidR="476D6E69" w:rsidRPr="6C54F3A7">
        <w:rPr>
          <w:rFonts w:asciiTheme="minorHAnsi" w:eastAsiaTheme="minorEastAsia" w:hAnsiTheme="minorHAnsi" w:cstheme="minorBidi"/>
          <w:i w:val="0"/>
          <w:iCs w:val="0"/>
          <w:color w:val="auto"/>
          <w:sz w:val="20"/>
          <w:szCs w:val="20"/>
        </w:rPr>
        <w:t>na jaře</w:t>
      </w:r>
      <w:r w:rsidR="1EC5EAB9" w:rsidRPr="6C54F3A7">
        <w:rPr>
          <w:rFonts w:asciiTheme="minorHAnsi" w:eastAsiaTheme="minorEastAsia" w:hAnsiTheme="minorHAnsi" w:cstheme="minorBidi"/>
          <w:i w:val="0"/>
          <w:iCs w:val="0"/>
          <w:color w:val="auto"/>
          <w:sz w:val="20"/>
          <w:szCs w:val="20"/>
        </w:rPr>
        <w:t xml:space="preserve"> 2020 a roztříštěnost názorů vědeckých kapacit a jejich </w:t>
      </w:r>
      <w:r w:rsidR="7BE5CD96" w:rsidRPr="6C54F3A7">
        <w:rPr>
          <w:rFonts w:asciiTheme="minorHAnsi" w:eastAsiaTheme="minorEastAsia" w:hAnsiTheme="minorHAnsi" w:cstheme="minorBidi"/>
          <w:i w:val="0"/>
          <w:iCs w:val="0"/>
          <w:color w:val="auto"/>
          <w:sz w:val="20"/>
          <w:szCs w:val="20"/>
        </w:rPr>
        <w:t xml:space="preserve">častá protichůdnost a </w:t>
      </w:r>
      <w:r w:rsidR="1EC5EAB9" w:rsidRPr="6C54F3A7">
        <w:rPr>
          <w:rFonts w:asciiTheme="minorHAnsi" w:eastAsiaTheme="minorEastAsia" w:hAnsiTheme="minorHAnsi" w:cstheme="minorBidi"/>
          <w:i w:val="0"/>
          <w:iCs w:val="0"/>
          <w:color w:val="auto"/>
          <w:sz w:val="20"/>
          <w:szCs w:val="20"/>
        </w:rPr>
        <w:t>nejednotnost nepřispíval</w:t>
      </w:r>
      <w:r w:rsidR="7BE5CD96" w:rsidRPr="6C54F3A7">
        <w:rPr>
          <w:rFonts w:asciiTheme="minorHAnsi" w:eastAsiaTheme="minorEastAsia" w:hAnsiTheme="minorHAnsi" w:cstheme="minorBidi"/>
          <w:i w:val="0"/>
          <w:iCs w:val="0"/>
          <w:color w:val="auto"/>
          <w:sz w:val="20"/>
          <w:szCs w:val="20"/>
        </w:rPr>
        <w:t>y</w:t>
      </w:r>
      <w:r w:rsidR="1EC5EAB9" w:rsidRPr="6C54F3A7">
        <w:rPr>
          <w:rFonts w:asciiTheme="minorHAnsi" w:eastAsiaTheme="minorEastAsia" w:hAnsiTheme="minorHAnsi" w:cstheme="minorBidi"/>
          <w:i w:val="0"/>
          <w:iCs w:val="0"/>
          <w:color w:val="auto"/>
          <w:sz w:val="20"/>
          <w:szCs w:val="20"/>
        </w:rPr>
        <w:t xml:space="preserve"> ke zklidňování </w:t>
      </w:r>
      <w:r w:rsidR="476D6E69" w:rsidRPr="6C54F3A7">
        <w:rPr>
          <w:rFonts w:asciiTheme="minorHAnsi" w:eastAsiaTheme="minorEastAsia" w:hAnsiTheme="minorHAnsi" w:cstheme="minorBidi"/>
          <w:i w:val="0"/>
          <w:iCs w:val="0"/>
          <w:color w:val="auto"/>
          <w:sz w:val="20"/>
          <w:szCs w:val="20"/>
        </w:rPr>
        <w:t>gradující</w:t>
      </w:r>
      <w:r w:rsidR="1EC5EAB9" w:rsidRPr="6C54F3A7">
        <w:rPr>
          <w:rFonts w:asciiTheme="minorHAnsi" w:eastAsiaTheme="minorEastAsia" w:hAnsiTheme="minorHAnsi" w:cstheme="minorBidi"/>
          <w:i w:val="0"/>
          <w:iCs w:val="0"/>
          <w:color w:val="auto"/>
          <w:sz w:val="20"/>
          <w:szCs w:val="20"/>
        </w:rPr>
        <w:t xml:space="preserve"> situace ve společnosti. </w:t>
      </w:r>
    </w:p>
    <w:p w14:paraId="04C56D20" w14:textId="3B65EBA7" w:rsidR="00DD29DE" w:rsidRPr="00992741" w:rsidRDefault="0B3794D1"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Jedn</w:t>
      </w:r>
      <w:r w:rsidR="6FAEC66B" w:rsidRPr="6C54F3A7">
        <w:rPr>
          <w:rFonts w:asciiTheme="minorHAnsi" w:eastAsiaTheme="minorEastAsia" w:hAnsiTheme="minorHAnsi" w:cstheme="minorBidi"/>
          <w:i w:val="0"/>
          <w:iCs w:val="0"/>
          <w:color w:val="auto"/>
          <w:sz w:val="20"/>
          <w:szCs w:val="20"/>
        </w:rPr>
        <w:t>ou</w:t>
      </w:r>
      <w:r w:rsidRPr="6C54F3A7">
        <w:rPr>
          <w:rFonts w:asciiTheme="minorHAnsi" w:eastAsiaTheme="minorEastAsia" w:hAnsiTheme="minorHAnsi" w:cstheme="minorBidi"/>
          <w:i w:val="0"/>
          <w:iCs w:val="0"/>
          <w:color w:val="auto"/>
          <w:sz w:val="20"/>
          <w:szCs w:val="20"/>
        </w:rPr>
        <w:t xml:space="preserve"> z cest řešení </w:t>
      </w:r>
      <w:r w:rsidR="7BE5CD96" w:rsidRPr="6C54F3A7">
        <w:rPr>
          <w:rFonts w:asciiTheme="minorHAnsi" w:eastAsiaTheme="minorEastAsia" w:hAnsiTheme="minorHAnsi" w:cstheme="minorBidi"/>
          <w:i w:val="0"/>
          <w:iCs w:val="0"/>
          <w:color w:val="auto"/>
          <w:sz w:val="20"/>
          <w:szCs w:val="20"/>
        </w:rPr>
        <w:t xml:space="preserve">k překonání výše uvedeného problému </w:t>
      </w:r>
      <w:r w:rsidR="65D438C5" w:rsidRPr="6C54F3A7">
        <w:rPr>
          <w:rFonts w:asciiTheme="minorHAnsi" w:eastAsiaTheme="minorEastAsia" w:hAnsiTheme="minorHAnsi" w:cstheme="minorBidi"/>
          <w:i w:val="0"/>
          <w:iCs w:val="0"/>
          <w:color w:val="auto"/>
          <w:sz w:val="20"/>
          <w:szCs w:val="20"/>
        </w:rPr>
        <w:t xml:space="preserve">je bezesporu </w:t>
      </w:r>
      <w:r w:rsidR="5FBA8AB0" w:rsidRPr="6C54F3A7">
        <w:rPr>
          <w:rFonts w:asciiTheme="minorHAnsi" w:eastAsiaTheme="minorEastAsia" w:hAnsiTheme="minorHAnsi" w:cstheme="minorBidi"/>
          <w:i w:val="0"/>
          <w:iCs w:val="0"/>
          <w:color w:val="auto"/>
          <w:sz w:val="20"/>
          <w:szCs w:val="20"/>
        </w:rPr>
        <w:t>zaplnění existující mezery ve</w:t>
      </w:r>
      <w:r w:rsidR="476D6E69" w:rsidRPr="6C54F3A7">
        <w:rPr>
          <w:rFonts w:asciiTheme="minorHAnsi" w:eastAsiaTheme="minorEastAsia" w:hAnsiTheme="minorHAnsi" w:cstheme="minorBidi"/>
          <w:i w:val="0"/>
          <w:iCs w:val="0"/>
          <w:color w:val="auto"/>
          <w:sz w:val="20"/>
          <w:szCs w:val="20"/>
        </w:rPr>
        <w:t> </w:t>
      </w:r>
      <w:r w:rsidR="5FBA8AB0" w:rsidRPr="6C54F3A7">
        <w:rPr>
          <w:rFonts w:asciiTheme="minorHAnsi" w:eastAsiaTheme="minorEastAsia" w:hAnsiTheme="minorHAnsi" w:cstheme="minorBidi"/>
          <w:i w:val="0"/>
          <w:iCs w:val="0"/>
          <w:color w:val="auto"/>
          <w:sz w:val="20"/>
          <w:szCs w:val="20"/>
        </w:rPr>
        <w:t xml:space="preserve">zdravotnickém výzkumu </w:t>
      </w:r>
      <w:r w:rsidRPr="6C54F3A7">
        <w:rPr>
          <w:rFonts w:asciiTheme="minorHAnsi" w:eastAsiaTheme="minorEastAsia" w:hAnsiTheme="minorHAnsi" w:cstheme="minorBidi"/>
          <w:i w:val="0"/>
          <w:iCs w:val="0"/>
          <w:color w:val="auto"/>
          <w:sz w:val="20"/>
          <w:szCs w:val="20"/>
        </w:rPr>
        <w:t>inici</w:t>
      </w:r>
      <w:r w:rsidR="476D6E69" w:rsidRPr="6C54F3A7">
        <w:rPr>
          <w:rFonts w:asciiTheme="minorHAnsi" w:eastAsiaTheme="minorEastAsia" w:hAnsiTheme="minorHAnsi" w:cstheme="minorBidi"/>
          <w:i w:val="0"/>
          <w:iCs w:val="0"/>
          <w:color w:val="auto"/>
          <w:sz w:val="20"/>
          <w:szCs w:val="20"/>
        </w:rPr>
        <w:t>ováním</w:t>
      </w:r>
      <w:r w:rsidRPr="6C54F3A7">
        <w:rPr>
          <w:rFonts w:asciiTheme="minorHAnsi" w:eastAsiaTheme="minorEastAsia" w:hAnsiTheme="minorHAnsi" w:cstheme="minorBidi"/>
          <w:i w:val="0"/>
          <w:iCs w:val="0"/>
          <w:color w:val="auto"/>
          <w:sz w:val="20"/>
          <w:szCs w:val="20"/>
        </w:rPr>
        <w:t xml:space="preserve"> sjednocení a dobudování</w:t>
      </w:r>
      <w:r w:rsidR="5FBA8AB0" w:rsidRPr="6C54F3A7">
        <w:rPr>
          <w:rFonts w:asciiTheme="minorHAnsi" w:eastAsiaTheme="minorEastAsia" w:hAnsiTheme="minorHAnsi" w:cstheme="minorBidi"/>
          <w:i w:val="0"/>
          <w:iCs w:val="0"/>
          <w:color w:val="auto"/>
          <w:sz w:val="20"/>
          <w:szCs w:val="20"/>
        </w:rPr>
        <w:t>m</w:t>
      </w:r>
      <w:r w:rsidRPr="6C54F3A7">
        <w:rPr>
          <w:rFonts w:asciiTheme="minorHAnsi" w:eastAsiaTheme="minorEastAsia" w:hAnsiTheme="minorHAnsi" w:cstheme="minorBidi"/>
          <w:i w:val="0"/>
          <w:iCs w:val="0"/>
          <w:color w:val="auto"/>
          <w:sz w:val="20"/>
          <w:szCs w:val="20"/>
        </w:rPr>
        <w:t xml:space="preserve"> </w:t>
      </w:r>
      <w:r w:rsidR="65D438C5" w:rsidRPr="6C54F3A7">
        <w:rPr>
          <w:rFonts w:asciiTheme="minorHAnsi" w:eastAsiaTheme="minorEastAsia" w:hAnsiTheme="minorHAnsi" w:cstheme="minorBidi"/>
          <w:i w:val="0"/>
          <w:iCs w:val="0"/>
          <w:color w:val="auto"/>
          <w:sz w:val="20"/>
          <w:szCs w:val="20"/>
        </w:rPr>
        <w:t>nezbytn</w:t>
      </w:r>
      <w:r w:rsidRPr="6C54F3A7">
        <w:rPr>
          <w:rFonts w:asciiTheme="minorHAnsi" w:eastAsiaTheme="minorEastAsia" w:hAnsiTheme="minorHAnsi" w:cstheme="minorBidi"/>
          <w:i w:val="0"/>
          <w:iCs w:val="0"/>
          <w:color w:val="auto"/>
          <w:sz w:val="20"/>
          <w:szCs w:val="20"/>
        </w:rPr>
        <w:t>é</w:t>
      </w:r>
      <w:r w:rsidR="65D438C5" w:rsidRPr="6C54F3A7">
        <w:rPr>
          <w:rFonts w:asciiTheme="minorHAnsi" w:eastAsiaTheme="minorEastAsia" w:hAnsiTheme="minorHAnsi" w:cstheme="minorBidi"/>
          <w:i w:val="0"/>
          <w:iCs w:val="0"/>
          <w:color w:val="auto"/>
          <w:sz w:val="20"/>
          <w:szCs w:val="20"/>
        </w:rPr>
        <w:t xml:space="preserve"> kvalitní výzkumně vývojov</w:t>
      </w:r>
      <w:r w:rsidR="65FC0112" w:rsidRPr="6C54F3A7">
        <w:rPr>
          <w:rFonts w:asciiTheme="minorHAnsi" w:eastAsiaTheme="minorEastAsia" w:hAnsiTheme="minorHAnsi" w:cstheme="minorBidi"/>
          <w:i w:val="0"/>
          <w:iCs w:val="0"/>
          <w:color w:val="auto"/>
          <w:sz w:val="20"/>
          <w:szCs w:val="20"/>
        </w:rPr>
        <w:t>é</w:t>
      </w:r>
      <w:r w:rsidR="65D438C5" w:rsidRPr="6C54F3A7">
        <w:rPr>
          <w:rFonts w:asciiTheme="minorHAnsi" w:eastAsiaTheme="minorEastAsia" w:hAnsiTheme="minorHAnsi" w:cstheme="minorBidi"/>
          <w:i w:val="0"/>
          <w:iCs w:val="0"/>
          <w:color w:val="auto"/>
          <w:sz w:val="20"/>
          <w:szCs w:val="20"/>
        </w:rPr>
        <w:t xml:space="preserve"> základn</w:t>
      </w:r>
      <w:r w:rsidRPr="6C54F3A7">
        <w:rPr>
          <w:rFonts w:asciiTheme="minorHAnsi" w:eastAsiaTheme="minorEastAsia" w:hAnsiTheme="minorHAnsi" w:cstheme="minorBidi"/>
          <w:i w:val="0"/>
          <w:iCs w:val="0"/>
          <w:color w:val="auto"/>
          <w:sz w:val="20"/>
          <w:szCs w:val="20"/>
        </w:rPr>
        <w:t>y</w:t>
      </w:r>
      <w:r w:rsidR="65D438C5" w:rsidRPr="6C54F3A7">
        <w:rPr>
          <w:rFonts w:asciiTheme="minorHAnsi" w:eastAsiaTheme="minorEastAsia" w:hAnsiTheme="minorHAnsi" w:cstheme="minorBidi"/>
          <w:i w:val="0"/>
          <w:iCs w:val="0"/>
          <w:color w:val="auto"/>
          <w:sz w:val="20"/>
          <w:szCs w:val="20"/>
        </w:rPr>
        <w:t xml:space="preserve"> </w:t>
      </w:r>
      <w:r w:rsidR="11C4B70F" w:rsidRPr="6C54F3A7">
        <w:rPr>
          <w:rFonts w:asciiTheme="minorHAnsi" w:eastAsiaTheme="minorEastAsia" w:hAnsiTheme="minorHAnsi" w:cstheme="minorBidi"/>
          <w:i w:val="0"/>
          <w:iCs w:val="0"/>
          <w:color w:val="auto"/>
          <w:sz w:val="20"/>
          <w:szCs w:val="20"/>
        </w:rPr>
        <w:t>v </w:t>
      </w:r>
      <w:r w:rsidR="65D438C5" w:rsidRPr="6C54F3A7">
        <w:rPr>
          <w:rFonts w:asciiTheme="minorHAnsi" w:eastAsiaTheme="minorEastAsia" w:hAnsiTheme="minorHAnsi" w:cstheme="minorBidi"/>
          <w:i w:val="0"/>
          <w:iCs w:val="0"/>
          <w:color w:val="auto"/>
          <w:sz w:val="20"/>
          <w:szCs w:val="20"/>
        </w:rPr>
        <w:t>prioritních oborech,</w:t>
      </w:r>
      <w:r w:rsidR="65FC0112" w:rsidRPr="6C54F3A7">
        <w:rPr>
          <w:rFonts w:asciiTheme="minorHAnsi" w:eastAsiaTheme="minorEastAsia" w:hAnsiTheme="minorHAnsi" w:cstheme="minorBidi"/>
          <w:i w:val="0"/>
          <w:iCs w:val="0"/>
          <w:color w:val="auto"/>
          <w:sz w:val="20"/>
          <w:szCs w:val="20"/>
        </w:rPr>
        <w:t xml:space="preserve"> tj. investice do již existující</w:t>
      </w:r>
      <w:r w:rsidR="65D438C5" w:rsidRPr="6C54F3A7">
        <w:rPr>
          <w:rFonts w:asciiTheme="minorHAnsi" w:eastAsiaTheme="minorEastAsia" w:hAnsiTheme="minorHAnsi" w:cstheme="minorBidi"/>
          <w:i w:val="0"/>
          <w:iCs w:val="0"/>
          <w:color w:val="auto"/>
          <w:sz w:val="20"/>
          <w:szCs w:val="20"/>
        </w:rPr>
        <w:t xml:space="preserve"> </w:t>
      </w:r>
      <w:r w:rsidR="65FC0112" w:rsidRPr="6C54F3A7">
        <w:rPr>
          <w:rFonts w:asciiTheme="minorHAnsi" w:eastAsiaTheme="minorEastAsia" w:hAnsiTheme="minorHAnsi" w:cstheme="minorBidi"/>
          <w:i w:val="0"/>
          <w:iCs w:val="0"/>
          <w:color w:val="auto"/>
          <w:sz w:val="20"/>
          <w:szCs w:val="20"/>
        </w:rPr>
        <w:t>a v některých ohledech již kvalitní báze s efektivním využitím identifikovaného potenciálu</w:t>
      </w:r>
      <w:r w:rsidR="76DB0ECF" w:rsidRPr="6C54F3A7">
        <w:rPr>
          <w:rFonts w:asciiTheme="minorHAnsi" w:eastAsiaTheme="minorEastAsia" w:hAnsiTheme="minorHAnsi" w:cstheme="minorBidi"/>
          <w:i w:val="0"/>
          <w:iCs w:val="0"/>
          <w:color w:val="auto"/>
          <w:sz w:val="20"/>
          <w:szCs w:val="20"/>
        </w:rPr>
        <w:t>.</w:t>
      </w:r>
      <w:r w:rsidR="00752767" w:rsidRPr="6C54F3A7">
        <w:rPr>
          <w:rStyle w:val="Znakapoznpodarou"/>
          <w:rFonts w:asciiTheme="minorHAnsi" w:eastAsiaTheme="minorEastAsia" w:hAnsiTheme="minorHAnsi" w:cstheme="minorBidi"/>
          <w:i w:val="0"/>
          <w:iCs w:val="0"/>
          <w:color w:val="auto"/>
          <w:sz w:val="20"/>
          <w:szCs w:val="20"/>
        </w:rPr>
        <w:footnoteReference w:id="22"/>
      </w:r>
      <w:r w:rsidR="76DB0ECF" w:rsidRPr="6C54F3A7">
        <w:rPr>
          <w:rFonts w:asciiTheme="minorHAnsi" w:eastAsiaTheme="minorEastAsia" w:hAnsiTheme="minorHAnsi" w:cstheme="minorBidi"/>
          <w:i w:val="0"/>
          <w:iCs w:val="0"/>
          <w:color w:val="auto"/>
          <w:sz w:val="20"/>
          <w:szCs w:val="20"/>
        </w:rPr>
        <w:t xml:space="preserve"> </w:t>
      </w:r>
    </w:p>
    <w:p w14:paraId="30AB7010" w14:textId="77777777" w:rsidR="00CE2748" w:rsidRDefault="65D438C5"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 xml:space="preserve">Toho lze </w:t>
      </w:r>
      <w:r w:rsidR="049B0691" w:rsidRPr="6C54F3A7">
        <w:rPr>
          <w:rFonts w:asciiTheme="minorHAnsi" w:eastAsiaTheme="minorEastAsia" w:hAnsiTheme="minorHAnsi" w:cstheme="minorBidi"/>
          <w:i w:val="0"/>
          <w:iCs w:val="0"/>
          <w:color w:val="auto"/>
          <w:sz w:val="20"/>
          <w:szCs w:val="20"/>
        </w:rPr>
        <w:t xml:space="preserve">dle našeho názoru </w:t>
      </w:r>
      <w:r w:rsidRPr="6C54F3A7">
        <w:rPr>
          <w:rFonts w:asciiTheme="minorHAnsi" w:eastAsiaTheme="minorEastAsia" w:hAnsiTheme="minorHAnsi" w:cstheme="minorBidi"/>
          <w:i w:val="0"/>
          <w:iCs w:val="0"/>
          <w:color w:val="auto"/>
          <w:sz w:val="20"/>
          <w:szCs w:val="20"/>
        </w:rPr>
        <w:t>dosáhnout rozvojem znalostně, resp. technologicky vysoce náročn</w:t>
      </w:r>
      <w:r w:rsidR="049B0691" w:rsidRPr="6C54F3A7">
        <w:rPr>
          <w:rFonts w:asciiTheme="minorHAnsi" w:eastAsiaTheme="minorEastAsia" w:hAnsiTheme="minorHAnsi" w:cstheme="minorBidi"/>
          <w:i w:val="0"/>
          <w:iCs w:val="0"/>
          <w:color w:val="auto"/>
          <w:sz w:val="20"/>
          <w:szCs w:val="20"/>
        </w:rPr>
        <w:t>ého</w:t>
      </w:r>
      <w:r w:rsidRPr="6C54F3A7">
        <w:rPr>
          <w:rFonts w:asciiTheme="minorHAnsi" w:eastAsiaTheme="minorEastAsia" w:hAnsiTheme="minorHAnsi" w:cstheme="minorBidi"/>
          <w:i w:val="0"/>
          <w:iCs w:val="0"/>
          <w:color w:val="auto"/>
          <w:sz w:val="20"/>
          <w:szCs w:val="20"/>
        </w:rPr>
        <w:t xml:space="preserve"> základní</w:t>
      </w:r>
      <w:r w:rsidR="049B0691" w:rsidRPr="6C54F3A7">
        <w:rPr>
          <w:rFonts w:asciiTheme="minorHAnsi" w:eastAsiaTheme="minorEastAsia" w:hAnsiTheme="minorHAnsi" w:cstheme="minorBidi"/>
          <w:i w:val="0"/>
          <w:iCs w:val="0"/>
          <w:color w:val="auto"/>
          <w:sz w:val="20"/>
          <w:szCs w:val="20"/>
        </w:rPr>
        <w:t>ho</w:t>
      </w:r>
      <w:r w:rsidRPr="6C54F3A7">
        <w:rPr>
          <w:rFonts w:asciiTheme="minorHAnsi" w:eastAsiaTheme="minorEastAsia" w:hAnsiTheme="minorHAnsi" w:cstheme="minorBidi"/>
          <w:i w:val="0"/>
          <w:iCs w:val="0"/>
          <w:color w:val="auto"/>
          <w:sz w:val="20"/>
          <w:szCs w:val="20"/>
        </w:rPr>
        <w:t xml:space="preserve"> </w:t>
      </w:r>
      <w:r w:rsidR="11C4B70F" w:rsidRPr="6C54F3A7">
        <w:rPr>
          <w:rFonts w:asciiTheme="minorHAnsi" w:eastAsiaTheme="minorEastAsia" w:hAnsiTheme="minorHAnsi" w:cstheme="minorBidi"/>
          <w:i w:val="0"/>
          <w:iCs w:val="0"/>
          <w:color w:val="auto"/>
          <w:sz w:val="20"/>
          <w:szCs w:val="20"/>
        </w:rPr>
        <w:t>a </w:t>
      </w:r>
      <w:r w:rsidR="049B0691" w:rsidRPr="6C54F3A7">
        <w:rPr>
          <w:rFonts w:asciiTheme="minorHAnsi" w:eastAsiaTheme="minorEastAsia" w:hAnsiTheme="minorHAnsi" w:cstheme="minorBidi"/>
          <w:i w:val="0"/>
          <w:iCs w:val="0"/>
          <w:color w:val="auto"/>
          <w:sz w:val="20"/>
          <w:szCs w:val="20"/>
        </w:rPr>
        <w:t xml:space="preserve">zejména </w:t>
      </w:r>
      <w:r w:rsidRPr="6C54F3A7">
        <w:rPr>
          <w:rFonts w:asciiTheme="minorHAnsi" w:eastAsiaTheme="minorEastAsia" w:hAnsiTheme="minorHAnsi" w:cstheme="minorBidi"/>
          <w:i w:val="0"/>
          <w:iCs w:val="0"/>
          <w:color w:val="auto"/>
          <w:sz w:val="20"/>
          <w:szCs w:val="20"/>
        </w:rPr>
        <w:t>aplikovan</w:t>
      </w:r>
      <w:r w:rsidR="049B0691" w:rsidRPr="6C54F3A7">
        <w:rPr>
          <w:rFonts w:asciiTheme="minorHAnsi" w:eastAsiaTheme="minorEastAsia" w:hAnsiTheme="minorHAnsi" w:cstheme="minorBidi"/>
          <w:i w:val="0"/>
          <w:iCs w:val="0"/>
          <w:color w:val="auto"/>
          <w:sz w:val="20"/>
          <w:szCs w:val="20"/>
        </w:rPr>
        <w:t>ého</w:t>
      </w:r>
      <w:r w:rsidRPr="6C54F3A7">
        <w:rPr>
          <w:rFonts w:asciiTheme="minorHAnsi" w:eastAsiaTheme="minorEastAsia" w:hAnsiTheme="minorHAnsi" w:cstheme="minorBidi"/>
          <w:i w:val="0"/>
          <w:iCs w:val="0"/>
          <w:color w:val="auto"/>
          <w:sz w:val="20"/>
          <w:szCs w:val="20"/>
        </w:rPr>
        <w:t xml:space="preserve"> výzkum</w:t>
      </w:r>
      <w:r w:rsidR="049B0691" w:rsidRPr="6C54F3A7">
        <w:rPr>
          <w:rFonts w:asciiTheme="minorHAnsi" w:eastAsiaTheme="minorEastAsia" w:hAnsiTheme="minorHAnsi" w:cstheme="minorBidi"/>
          <w:i w:val="0"/>
          <w:iCs w:val="0"/>
          <w:color w:val="auto"/>
          <w:sz w:val="20"/>
          <w:szCs w:val="20"/>
        </w:rPr>
        <w:t>u</w:t>
      </w:r>
      <w:r w:rsidRPr="6C54F3A7">
        <w:rPr>
          <w:rFonts w:asciiTheme="minorHAnsi" w:eastAsiaTheme="minorEastAsia" w:hAnsiTheme="minorHAnsi" w:cstheme="minorBidi"/>
          <w:i w:val="0"/>
          <w:iCs w:val="0"/>
          <w:color w:val="auto"/>
          <w:sz w:val="20"/>
          <w:szCs w:val="20"/>
        </w:rPr>
        <w:t xml:space="preserve"> generující</w:t>
      </w:r>
      <w:r w:rsidR="049B0691" w:rsidRPr="6C54F3A7">
        <w:rPr>
          <w:rFonts w:asciiTheme="minorHAnsi" w:eastAsiaTheme="minorEastAsia" w:hAnsiTheme="minorHAnsi" w:cstheme="minorBidi"/>
          <w:i w:val="0"/>
          <w:iCs w:val="0"/>
          <w:color w:val="auto"/>
          <w:sz w:val="20"/>
          <w:szCs w:val="20"/>
        </w:rPr>
        <w:t>ho</w:t>
      </w:r>
      <w:r w:rsidRPr="6C54F3A7">
        <w:rPr>
          <w:rFonts w:asciiTheme="minorHAnsi" w:eastAsiaTheme="minorEastAsia" w:hAnsiTheme="minorHAnsi" w:cstheme="minorBidi"/>
          <w:i w:val="0"/>
          <w:iCs w:val="0"/>
          <w:color w:val="auto"/>
          <w:sz w:val="20"/>
          <w:szCs w:val="20"/>
        </w:rPr>
        <w:t xml:space="preserve"> poznatky uplatnitelné </w:t>
      </w:r>
      <w:r w:rsidR="11C4B70F" w:rsidRPr="6C54F3A7">
        <w:rPr>
          <w:rFonts w:asciiTheme="minorHAnsi" w:eastAsiaTheme="minorEastAsia" w:hAnsiTheme="minorHAnsi" w:cstheme="minorBidi"/>
          <w:i w:val="0"/>
          <w:iCs w:val="0"/>
          <w:color w:val="auto"/>
          <w:sz w:val="20"/>
          <w:szCs w:val="20"/>
        </w:rPr>
        <w:t>v </w:t>
      </w:r>
      <w:r w:rsidRPr="6C54F3A7">
        <w:rPr>
          <w:rFonts w:asciiTheme="minorHAnsi" w:eastAsiaTheme="minorEastAsia" w:hAnsiTheme="minorHAnsi" w:cstheme="minorBidi"/>
          <w:i w:val="0"/>
          <w:iCs w:val="0"/>
          <w:color w:val="auto"/>
          <w:sz w:val="20"/>
          <w:szCs w:val="20"/>
        </w:rPr>
        <w:t xml:space="preserve">inovačních produktech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 xml:space="preserve">službách </w:t>
      </w:r>
      <w:r w:rsidR="11C4B70F" w:rsidRPr="6C54F3A7">
        <w:rPr>
          <w:rFonts w:asciiTheme="minorHAnsi" w:eastAsiaTheme="minorEastAsia" w:hAnsiTheme="minorHAnsi" w:cstheme="minorBidi"/>
          <w:i w:val="0"/>
          <w:iCs w:val="0"/>
          <w:color w:val="auto"/>
          <w:sz w:val="20"/>
          <w:szCs w:val="20"/>
        </w:rPr>
        <w:t>o </w:t>
      </w:r>
      <w:r w:rsidRPr="6C54F3A7">
        <w:rPr>
          <w:rFonts w:asciiTheme="minorHAnsi" w:eastAsiaTheme="minorEastAsia" w:hAnsiTheme="minorHAnsi" w:cstheme="minorBidi"/>
          <w:i w:val="0"/>
          <w:iCs w:val="0"/>
          <w:color w:val="auto"/>
          <w:sz w:val="20"/>
          <w:szCs w:val="20"/>
        </w:rPr>
        <w:t xml:space="preserve">vysoké přidané hodnotě. Mobilizace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 xml:space="preserve">vytvoření meziinstitucionálních, mezioborových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 xml:space="preserve">mezinárodních týmů, </w:t>
      </w:r>
      <w:r w:rsidR="049B0691" w:rsidRPr="6C54F3A7">
        <w:rPr>
          <w:rFonts w:asciiTheme="minorHAnsi" w:eastAsiaTheme="minorEastAsia" w:hAnsiTheme="minorHAnsi" w:cstheme="minorBidi"/>
          <w:i w:val="0"/>
          <w:iCs w:val="0"/>
          <w:color w:val="auto"/>
          <w:sz w:val="20"/>
          <w:szCs w:val="20"/>
        </w:rPr>
        <w:t>nyní fungujících mnohdy jen na lokální úrovni,</w:t>
      </w:r>
      <w:r w:rsidRPr="6C54F3A7">
        <w:rPr>
          <w:rFonts w:asciiTheme="minorHAnsi" w:eastAsiaTheme="minorEastAsia" w:hAnsiTheme="minorHAnsi" w:cstheme="minorBidi"/>
          <w:i w:val="0"/>
          <w:iCs w:val="0"/>
          <w:color w:val="auto"/>
          <w:sz w:val="20"/>
          <w:szCs w:val="20"/>
        </w:rPr>
        <w:t xml:space="preserve"> budou procházet rigorózní evaluací špičkovými světovými vědci, budou mít výrazný mezinárodní charakter, budou zakotveny do evropských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světových výzkumných sítí, budou řízeny mezinárodně kompetitivním modelem</w:t>
      </w:r>
      <w:r w:rsidR="5DA11185" w:rsidRPr="6C54F3A7">
        <w:rPr>
          <w:rFonts w:asciiTheme="minorHAnsi" w:eastAsiaTheme="minorEastAsia" w:hAnsiTheme="minorHAnsi" w:cstheme="minorBidi"/>
          <w:i w:val="0"/>
          <w:iCs w:val="0"/>
          <w:color w:val="auto"/>
          <w:sz w:val="20"/>
          <w:szCs w:val="20"/>
        </w:rPr>
        <w:t xml:space="preserve"> řízení</w:t>
      </w:r>
      <w:r w:rsidRPr="6C54F3A7">
        <w:rPr>
          <w:rFonts w:asciiTheme="minorHAnsi" w:eastAsiaTheme="minorEastAsia" w:hAnsiTheme="minorHAnsi" w:cstheme="minorBidi"/>
          <w:i w:val="0"/>
          <w:iCs w:val="0"/>
          <w:color w:val="auto"/>
          <w:sz w:val="20"/>
          <w:szCs w:val="20"/>
        </w:rPr>
        <w:t xml:space="preserve">, budou </w:t>
      </w:r>
      <w:r w:rsidR="0B3794D1" w:rsidRPr="6C54F3A7">
        <w:rPr>
          <w:rFonts w:asciiTheme="minorHAnsi" w:eastAsiaTheme="minorEastAsia" w:hAnsiTheme="minorHAnsi" w:cstheme="minorBidi"/>
          <w:i w:val="0"/>
          <w:iCs w:val="0"/>
          <w:color w:val="auto"/>
          <w:sz w:val="20"/>
          <w:szCs w:val="20"/>
        </w:rPr>
        <w:t>v</w:t>
      </w:r>
      <w:r w:rsidR="73C9F058" w:rsidRPr="6C54F3A7">
        <w:rPr>
          <w:rFonts w:asciiTheme="minorHAnsi" w:eastAsiaTheme="minorEastAsia" w:hAnsiTheme="minorHAnsi" w:cstheme="minorBidi"/>
          <w:i w:val="0"/>
          <w:iCs w:val="0"/>
          <w:color w:val="auto"/>
          <w:sz w:val="20"/>
          <w:szCs w:val="20"/>
        </w:rPr>
        <w:t> </w:t>
      </w:r>
      <w:r w:rsidR="0B3794D1" w:rsidRPr="6C54F3A7">
        <w:rPr>
          <w:rFonts w:asciiTheme="minorHAnsi" w:eastAsiaTheme="minorEastAsia" w:hAnsiTheme="minorHAnsi" w:cstheme="minorBidi"/>
          <w:i w:val="0"/>
          <w:iCs w:val="0"/>
          <w:color w:val="auto"/>
          <w:sz w:val="20"/>
          <w:szCs w:val="20"/>
        </w:rPr>
        <w:t>pilotní</w:t>
      </w:r>
      <w:r w:rsidR="73C9F058" w:rsidRPr="6C54F3A7">
        <w:rPr>
          <w:rFonts w:asciiTheme="minorHAnsi" w:eastAsiaTheme="minorEastAsia" w:hAnsiTheme="minorHAnsi" w:cstheme="minorBidi"/>
          <w:i w:val="0"/>
          <w:iCs w:val="0"/>
          <w:color w:val="auto"/>
          <w:sz w:val="20"/>
          <w:szCs w:val="20"/>
        </w:rPr>
        <w:t>, projektové</w:t>
      </w:r>
      <w:r w:rsidR="0B3794D1" w:rsidRPr="6C54F3A7">
        <w:rPr>
          <w:rFonts w:asciiTheme="minorHAnsi" w:eastAsiaTheme="minorEastAsia" w:hAnsiTheme="minorHAnsi" w:cstheme="minorBidi"/>
          <w:i w:val="0"/>
          <w:iCs w:val="0"/>
          <w:color w:val="auto"/>
          <w:sz w:val="20"/>
          <w:szCs w:val="20"/>
        </w:rPr>
        <w:t xml:space="preserve"> fázi stimulačně </w:t>
      </w:r>
      <w:r w:rsidRPr="6C54F3A7">
        <w:rPr>
          <w:rFonts w:asciiTheme="minorHAnsi" w:eastAsiaTheme="minorEastAsia" w:hAnsiTheme="minorHAnsi" w:cstheme="minorBidi"/>
          <w:i w:val="0"/>
          <w:iCs w:val="0"/>
          <w:color w:val="auto"/>
          <w:sz w:val="20"/>
          <w:szCs w:val="20"/>
        </w:rPr>
        <w:t>nadstandardně finančně podpořeny</w:t>
      </w:r>
      <w:r w:rsidR="0B3794D1" w:rsidRPr="6C54F3A7">
        <w:rPr>
          <w:rFonts w:asciiTheme="minorHAnsi" w:eastAsiaTheme="minorEastAsia" w:hAnsiTheme="minorHAnsi" w:cstheme="minorBidi"/>
          <w:i w:val="0"/>
          <w:iCs w:val="0"/>
          <w:color w:val="auto"/>
          <w:sz w:val="20"/>
          <w:szCs w:val="20"/>
        </w:rPr>
        <w:t xml:space="preserve"> tak, aby byly schopny ve zkráceném čase přinášet mateřským institucím sdruženým v konsorciích, státu i veřejnosti dostatečné benefity</w:t>
      </w:r>
      <w:r w:rsidRPr="6C54F3A7">
        <w:rPr>
          <w:rFonts w:asciiTheme="minorHAnsi" w:eastAsiaTheme="minorEastAsia" w:hAnsiTheme="minorHAnsi" w:cstheme="minorBidi"/>
          <w:i w:val="0"/>
          <w:iCs w:val="0"/>
          <w:color w:val="auto"/>
          <w:sz w:val="20"/>
          <w:szCs w:val="20"/>
        </w:rPr>
        <w:t xml:space="preserve"> </w:t>
      </w:r>
      <w:r w:rsidR="11C4B70F" w:rsidRPr="6C54F3A7">
        <w:rPr>
          <w:rFonts w:asciiTheme="minorHAnsi" w:eastAsiaTheme="minorEastAsia" w:hAnsiTheme="minorHAnsi" w:cstheme="minorBidi"/>
          <w:i w:val="0"/>
          <w:iCs w:val="0"/>
          <w:color w:val="auto"/>
          <w:sz w:val="20"/>
          <w:szCs w:val="20"/>
        </w:rPr>
        <w:t>a</w:t>
      </w:r>
      <w:r w:rsidRPr="6C54F3A7">
        <w:rPr>
          <w:rFonts w:asciiTheme="minorHAnsi" w:eastAsiaTheme="minorEastAsia" w:hAnsiTheme="minorHAnsi" w:cstheme="minorBidi"/>
          <w:i w:val="0"/>
          <w:iCs w:val="0"/>
          <w:color w:val="auto"/>
          <w:sz w:val="20"/>
          <w:szCs w:val="20"/>
        </w:rPr>
        <w:t xml:space="preserve"> mimořádn</w:t>
      </w:r>
      <w:r w:rsidR="0B3794D1" w:rsidRPr="6C54F3A7">
        <w:rPr>
          <w:rFonts w:asciiTheme="minorHAnsi" w:eastAsiaTheme="minorEastAsia" w:hAnsiTheme="minorHAnsi" w:cstheme="minorBidi"/>
          <w:i w:val="0"/>
          <w:iCs w:val="0"/>
          <w:color w:val="auto"/>
          <w:sz w:val="20"/>
          <w:szCs w:val="20"/>
        </w:rPr>
        <w:t>ými</w:t>
      </w:r>
      <w:r w:rsidRPr="6C54F3A7">
        <w:rPr>
          <w:rFonts w:asciiTheme="minorHAnsi" w:eastAsiaTheme="minorEastAsia" w:hAnsiTheme="minorHAnsi" w:cstheme="minorBidi"/>
          <w:i w:val="0"/>
          <w:iCs w:val="0"/>
          <w:color w:val="auto"/>
          <w:sz w:val="20"/>
          <w:szCs w:val="20"/>
        </w:rPr>
        <w:t xml:space="preserve"> úspěch</w:t>
      </w:r>
      <w:r w:rsidR="0B3794D1" w:rsidRPr="6C54F3A7">
        <w:rPr>
          <w:rFonts w:asciiTheme="minorHAnsi" w:eastAsiaTheme="minorEastAsia" w:hAnsiTheme="minorHAnsi" w:cstheme="minorBidi"/>
          <w:i w:val="0"/>
          <w:iCs w:val="0"/>
          <w:color w:val="auto"/>
          <w:sz w:val="20"/>
          <w:szCs w:val="20"/>
        </w:rPr>
        <w:t xml:space="preserve">y v oblasti výzkumu a vývoje si následně </w:t>
      </w:r>
      <w:r w:rsidR="5DA11185" w:rsidRPr="6C54F3A7">
        <w:rPr>
          <w:rFonts w:asciiTheme="minorHAnsi" w:eastAsiaTheme="minorEastAsia" w:hAnsiTheme="minorHAnsi" w:cstheme="minorBidi"/>
          <w:i w:val="0"/>
          <w:iCs w:val="0"/>
          <w:color w:val="auto"/>
          <w:sz w:val="20"/>
          <w:szCs w:val="20"/>
        </w:rPr>
        <w:t>z</w:t>
      </w:r>
      <w:r w:rsidR="0B3794D1" w:rsidRPr="6C54F3A7">
        <w:rPr>
          <w:rFonts w:asciiTheme="minorHAnsi" w:eastAsiaTheme="minorEastAsia" w:hAnsiTheme="minorHAnsi" w:cstheme="minorBidi"/>
          <w:i w:val="0"/>
          <w:iCs w:val="0"/>
          <w:color w:val="auto"/>
          <w:sz w:val="20"/>
          <w:szCs w:val="20"/>
        </w:rPr>
        <w:t>ajistily</w:t>
      </w:r>
      <w:r w:rsidRPr="6C54F3A7">
        <w:rPr>
          <w:rFonts w:asciiTheme="minorHAnsi" w:eastAsiaTheme="minorEastAsia" w:hAnsiTheme="minorHAnsi" w:cstheme="minorBidi"/>
          <w:i w:val="0"/>
          <w:iCs w:val="0"/>
          <w:color w:val="auto"/>
          <w:sz w:val="20"/>
          <w:szCs w:val="20"/>
        </w:rPr>
        <w:t xml:space="preserve"> perspektiv</w:t>
      </w:r>
      <w:r w:rsidR="0B3794D1" w:rsidRPr="6C54F3A7">
        <w:rPr>
          <w:rFonts w:asciiTheme="minorHAnsi" w:eastAsiaTheme="minorEastAsia" w:hAnsiTheme="minorHAnsi" w:cstheme="minorBidi"/>
          <w:i w:val="0"/>
          <w:iCs w:val="0"/>
          <w:color w:val="auto"/>
          <w:sz w:val="20"/>
          <w:szCs w:val="20"/>
        </w:rPr>
        <w:t>y dostatečného</w:t>
      </w:r>
      <w:r w:rsidRPr="6C54F3A7">
        <w:rPr>
          <w:rFonts w:asciiTheme="minorHAnsi" w:eastAsiaTheme="minorEastAsia" w:hAnsiTheme="minorHAnsi" w:cstheme="minorBidi"/>
          <w:i w:val="0"/>
          <w:iCs w:val="0"/>
          <w:color w:val="auto"/>
          <w:sz w:val="20"/>
          <w:szCs w:val="20"/>
        </w:rPr>
        <w:t xml:space="preserve"> pozdějšího institucionálního financování</w:t>
      </w:r>
      <w:r w:rsidR="7C63463A" w:rsidRPr="6C54F3A7">
        <w:rPr>
          <w:rFonts w:asciiTheme="minorHAnsi" w:eastAsiaTheme="minorEastAsia" w:hAnsiTheme="minorHAnsi" w:cstheme="minorBidi"/>
          <w:i w:val="0"/>
          <w:iCs w:val="0"/>
          <w:color w:val="auto"/>
          <w:sz w:val="20"/>
          <w:szCs w:val="20"/>
        </w:rPr>
        <w:t>.</w:t>
      </w:r>
      <w:r w:rsidR="78C6B754" w:rsidRPr="6C54F3A7">
        <w:rPr>
          <w:rFonts w:asciiTheme="minorHAnsi" w:eastAsiaTheme="minorEastAsia" w:hAnsiTheme="minorHAnsi" w:cstheme="minorBidi"/>
          <w:i w:val="0"/>
          <w:iCs w:val="0"/>
          <w:color w:val="auto"/>
          <w:sz w:val="20"/>
          <w:szCs w:val="20"/>
        </w:rPr>
        <w:t xml:space="preserve"> </w:t>
      </w:r>
    </w:p>
    <w:p w14:paraId="3BF6E862" w14:textId="104AEAF2" w:rsidR="00CE2748" w:rsidRDefault="4931779B" w:rsidP="6C54F3A7">
      <w:pPr>
        <w:pStyle w:val="K-TextInfo"/>
        <w:rPr>
          <w:rFonts w:asciiTheme="minorHAnsi" w:eastAsiaTheme="minorEastAsia" w:hAnsiTheme="minorHAnsi" w:cstheme="minorBidi"/>
          <w:i w:val="0"/>
          <w:iCs w:val="0"/>
          <w:color w:val="auto"/>
          <w:sz w:val="20"/>
          <w:szCs w:val="20"/>
        </w:rPr>
      </w:pPr>
      <w:bookmarkStart w:id="3" w:name="_Hlk66207188"/>
      <w:r w:rsidRPr="6C54F3A7">
        <w:rPr>
          <w:rFonts w:asciiTheme="minorHAnsi" w:eastAsiaTheme="minorEastAsia" w:hAnsiTheme="minorHAnsi" w:cstheme="minorBidi"/>
          <w:i w:val="0"/>
          <w:iCs w:val="0"/>
          <w:color w:val="auto"/>
          <w:sz w:val="20"/>
          <w:szCs w:val="20"/>
        </w:rPr>
        <w:t>Jednoznačně zde také chyběla a chybí specifická datová základna a vysoce kvalifikovaná autorita, která by se systematicky zabývala sběrem a vyhodnocováním dat o socioekonomických dopadech nemocí obecně, nejen v případě pandemií, a která by byla k dispozici pro rozhodování vládním činitelům i pro informovanost odborné i široké veřejnosti. Nutnost navázání politického rozhodování na výzkum v </w:t>
      </w:r>
      <w:proofErr w:type="spellStart"/>
      <w:r w:rsidRPr="6C54F3A7">
        <w:rPr>
          <w:rFonts w:asciiTheme="minorHAnsi" w:eastAsiaTheme="minorEastAsia" w:hAnsiTheme="minorHAnsi" w:cstheme="minorBidi"/>
          <w:i w:val="0"/>
          <w:iCs w:val="0"/>
          <w:color w:val="auto"/>
          <w:sz w:val="20"/>
          <w:szCs w:val="20"/>
        </w:rPr>
        <w:t>socio</w:t>
      </w:r>
      <w:proofErr w:type="spellEnd"/>
      <w:r w:rsidRPr="6C54F3A7">
        <w:rPr>
          <w:rFonts w:asciiTheme="minorHAnsi" w:eastAsiaTheme="minorEastAsia" w:hAnsiTheme="minorHAnsi" w:cstheme="minorBidi"/>
          <w:i w:val="0"/>
          <w:iCs w:val="0"/>
          <w:color w:val="auto"/>
          <w:sz w:val="20"/>
          <w:szCs w:val="20"/>
        </w:rPr>
        <w:t xml:space="preserve">-ekonomické oblasti, tzv. </w:t>
      </w:r>
      <w:r w:rsidRPr="71E36747">
        <w:rPr>
          <w:rFonts w:asciiTheme="minorHAnsi" w:eastAsiaTheme="minorEastAsia" w:hAnsiTheme="minorHAnsi" w:cstheme="minorBidi"/>
          <w:color w:val="auto"/>
          <w:sz w:val="20"/>
          <w:szCs w:val="20"/>
        </w:rPr>
        <w:t xml:space="preserve">evidence </w:t>
      </w:r>
      <w:proofErr w:type="spellStart"/>
      <w:r w:rsidRPr="71E36747">
        <w:rPr>
          <w:rFonts w:asciiTheme="minorHAnsi" w:eastAsiaTheme="minorEastAsia" w:hAnsiTheme="minorHAnsi" w:cstheme="minorBidi"/>
          <w:color w:val="auto"/>
          <w:sz w:val="20"/>
          <w:szCs w:val="20"/>
        </w:rPr>
        <w:t>based</w:t>
      </w:r>
      <w:proofErr w:type="spellEnd"/>
      <w:r w:rsidRPr="71E36747">
        <w:rPr>
          <w:rFonts w:asciiTheme="minorHAnsi" w:eastAsiaTheme="minorEastAsia" w:hAnsiTheme="minorHAnsi" w:cstheme="minorBidi"/>
          <w:color w:val="auto"/>
          <w:sz w:val="20"/>
          <w:szCs w:val="20"/>
        </w:rPr>
        <w:t xml:space="preserve"> </w:t>
      </w:r>
      <w:proofErr w:type="spellStart"/>
      <w:r w:rsidRPr="71E36747">
        <w:rPr>
          <w:rFonts w:asciiTheme="minorHAnsi" w:eastAsiaTheme="minorEastAsia" w:hAnsiTheme="minorHAnsi" w:cstheme="minorBidi"/>
          <w:color w:val="auto"/>
          <w:sz w:val="20"/>
          <w:szCs w:val="20"/>
        </w:rPr>
        <w:t>policy</w:t>
      </w:r>
      <w:proofErr w:type="spellEnd"/>
      <w:r w:rsidRPr="71E36747">
        <w:rPr>
          <w:rFonts w:asciiTheme="minorHAnsi" w:eastAsiaTheme="minorEastAsia" w:hAnsiTheme="minorHAnsi" w:cstheme="minorBidi"/>
          <w:color w:val="auto"/>
          <w:sz w:val="20"/>
          <w:szCs w:val="20"/>
        </w:rPr>
        <w:t xml:space="preserve"> </w:t>
      </w:r>
      <w:r w:rsidRPr="6C54F3A7">
        <w:rPr>
          <w:rFonts w:asciiTheme="minorHAnsi" w:eastAsiaTheme="minorEastAsia" w:hAnsiTheme="minorHAnsi" w:cstheme="minorBidi"/>
          <w:i w:val="0"/>
          <w:iCs w:val="0"/>
          <w:color w:val="auto"/>
          <w:sz w:val="20"/>
          <w:szCs w:val="20"/>
        </w:rPr>
        <w:t>koncept, je  v současnosti již dostatečně podpořena odbornou literaturou</w:t>
      </w:r>
      <w:r w:rsidR="00CE2748" w:rsidRPr="6C54F3A7">
        <w:rPr>
          <w:rStyle w:val="Znakapoznpodarou"/>
          <w:rFonts w:asciiTheme="minorHAnsi" w:eastAsiaTheme="minorEastAsia" w:hAnsiTheme="minorHAnsi" w:cstheme="minorBidi"/>
          <w:i w:val="0"/>
          <w:iCs w:val="0"/>
          <w:color w:val="auto"/>
          <w:sz w:val="20"/>
          <w:szCs w:val="20"/>
        </w:rPr>
        <w:footnoteReference w:id="23"/>
      </w:r>
      <w:r w:rsidRPr="6C54F3A7">
        <w:rPr>
          <w:rFonts w:asciiTheme="minorHAnsi" w:eastAsiaTheme="minorEastAsia" w:hAnsiTheme="minorHAnsi" w:cstheme="minorBidi"/>
          <w:i w:val="0"/>
          <w:iCs w:val="0"/>
          <w:color w:val="auto"/>
          <w:sz w:val="20"/>
          <w:szCs w:val="20"/>
        </w:rPr>
        <w:t xml:space="preserve"> a zakotven v klíčových strategiích rozvoje na národní i globální úrovni.</w:t>
      </w:r>
      <w:r w:rsidR="00CE2748" w:rsidRPr="6C54F3A7">
        <w:rPr>
          <w:rStyle w:val="Znakapoznpodarou"/>
          <w:rFonts w:asciiTheme="minorHAnsi" w:eastAsiaTheme="minorEastAsia" w:hAnsiTheme="minorHAnsi" w:cstheme="minorBidi"/>
          <w:i w:val="0"/>
          <w:iCs w:val="0"/>
          <w:color w:val="auto"/>
          <w:sz w:val="20"/>
          <w:szCs w:val="20"/>
        </w:rPr>
        <w:footnoteReference w:id="24"/>
      </w:r>
      <w:r w:rsidRPr="6C54F3A7">
        <w:rPr>
          <w:rFonts w:asciiTheme="minorHAnsi" w:eastAsiaTheme="minorEastAsia" w:hAnsiTheme="minorHAnsi" w:cstheme="minorBidi"/>
          <w:i w:val="0"/>
          <w:iCs w:val="0"/>
          <w:color w:val="auto"/>
          <w:sz w:val="20"/>
          <w:szCs w:val="20"/>
        </w:rPr>
        <w:t xml:space="preserve"> Adekvátní evidence </w:t>
      </w:r>
      <w:proofErr w:type="spellStart"/>
      <w:r w:rsidRPr="6C54F3A7">
        <w:rPr>
          <w:rFonts w:asciiTheme="minorHAnsi" w:eastAsiaTheme="minorEastAsia" w:hAnsiTheme="minorHAnsi" w:cstheme="minorBidi"/>
          <w:i w:val="0"/>
          <w:iCs w:val="0"/>
          <w:color w:val="auto"/>
          <w:sz w:val="20"/>
          <w:szCs w:val="20"/>
        </w:rPr>
        <w:t>based</w:t>
      </w:r>
      <w:proofErr w:type="spellEnd"/>
      <w:r w:rsidRPr="6C54F3A7">
        <w:rPr>
          <w:rFonts w:asciiTheme="minorHAnsi" w:eastAsiaTheme="minorEastAsia" w:hAnsiTheme="minorHAnsi" w:cstheme="minorBidi"/>
          <w:i w:val="0"/>
          <w:iCs w:val="0"/>
          <w:color w:val="auto"/>
          <w:sz w:val="20"/>
          <w:szCs w:val="20"/>
        </w:rPr>
        <w:t xml:space="preserve"> </w:t>
      </w:r>
      <w:proofErr w:type="spellStart"/>
      <w:r w:rsidRPr="6C54F3A7">
        <w:rPr>
          <w:rFonts w:asciiTheme="minorHAnsi" w:eastAsiaTheme="minorEastAsia" w:hAnsiTheme="minorHAnsi" w:cstheme="minorBidi"/>
          <w:i w:val="0"/>
          <w:iCs w:val="0"/>
          <w:color w:val="auto"/>
          <w:sz w:val="20"/>
          <w:szCs w:val="20"/>
        </w:rPr>
        <w:t>policy</w:t>
      </w:r>
      <w:proofErr w:type="spellEnd"/>
      <w:r w:rsidRPr="6C54F3A7">
        <w:rPr>
          <w:rFonts w:asciiTheme="minorHAnsi" w:eastAsiaTheme="minorEastAsia" w:hAnsiTheme="minorHAnsi" w:cstheme="minorBidi"/>
          <w:i w:val="0"/>
          <w:iCs w:val="0"/>
          <w:color w:val="auto"/>
          <w:sz w:val="20"/>
          <w:szCs w:val="20"/>
        </w:rPr>
        <w:t xml:space="preserve"> přístup může mít zásadní pozitivní dopady v podobě nabízených řešení pro programem podpořené lékařské obory, </w:t>
      </w:r>
      <w:proofErr w:type="spellStart"/>
      <w:r w:rsidRPr="6C54F3A7">
        <w:rPr>
          <w:rFonts w:asciiTheme="minorHAnsi" w:eastAsiaTheme="minorEastAsia" w:hAnsiTheme="minorHAnsi" w:cstheme="minorBidi"/>
          <w:i w:val="0"/>
          <w:iCs w:val="0"/>
          <w:color w:val="auto"/>
          <w:sz w:val="20"/>
          <w:szCs w:val="20"/>
        </w:rPr>
        <w:t>resp</w:t>
      </w:r>
      <w:proofErr w:type="spellEnd"/>
      <w:r w:rsidRPr="6C54F3A7">
        <w:rPr>
          <w:rFonts w:asciiTheme="minorHAnsi" w:eastAsiaTheme="minorEastAsia" w:hAnsiTheme="minorHAnsi" w:cstheme="minorBidi"/>
          <w:i w:val="0"/>
          <w:iCs w:val="0"/>
          <w:color w:val="auto"/>
          <w:sz w:val="20"/>
          <w:szCs w:val="20"/>
        </w:rPr>
        <w:t>, zdravotní politiku</w:t>
      </w:r>
      <w:r w:rsidR="00CE2748" w:rsidRPr="6C54F3A7">
        <w:rPr>
          <w:rStyle w:val="Znakapoznpodarou"/>
          <w:rFonts w:asciiTheme="minorHAnsi" w:eastAsiaTheme="minorEastAsia" w:hAnsiTheme="minorHAnsi" w:cstheme="minorBidi"/>
          <w:i w:val="0"/>
          <w:iCs w:val="0"/>
          <w:color w:val="auto"/>
          <w:sz w:val="20"/>
          <w:szCs w:val="20"/>
        </w:rPr>
        <w:footnoteReference w:id="25"/>
      </w:r>
      <w:r w:rsidRPr="6C54F3A7">
        <w:rPr>
          <w:rFonts w:asciiTheme="minorHAnsi" w:eastAsiaTheme="minorEastAsia" w:hAnsiTheme="minorHAnsi" w:cstheme="minorBidi"/>
          <w:i w:val="0"/>
          <w:iCs w:val="0"/>
          <w:color w:val="auto"/>
          <w:sz w:val="20"/>
          <w:szCs w:val="20"/>
        </w:rPr>
        <w:t xml:space="preserve"> a může rovněž zásadním způsobem přispět k efektivní implementaci a komunikaci veřejných politik obecně.</w:t>
      </w:r>
      <w:r w:rsidR="00CE2748" w:rsidRPr="6C54F3A7">
        <w:rPr>
          <w:rStyle w:val="Znakapoznpodarou"/>
          <w:rFonts w:asciiTheme="minorHAnsi" w:eastAsiaTheme="minorEastAsia" w:hAnsiTheme="minorHAnsi" w:cstheme="minorBidi"/>
          <w:i w:val="0"/>
          <w:iCs w:val="0"/>
          <w:color w:val="auto"/>
          <w:sz w:val="20"/>
          <w:szCs w:val="20"/>
        </w:rPr>
        <w:footnoteReference w:id="26"/>
      </w:r>
      <w:r w:rsidRPr="6C54F3A7">
        <w:rPr>
          <w:rFonts w:asciiTheme="minorHAnsi" w:eastAsiaTheme="minorEastAsia" w:hAnsiTheme="minorHAnsi" w:cstheme="minorBidi"/>
          <w:i w:val="0"/>
          <w:iCs w:val="0"/>
          <w:color w:val="auto"/>
          <w:sz w:val="20"/>
          <w:szCs w:val="20"/>
        </w:rPr>
        <w:t xml:space="preserve"> Nově vytvořený národní institut </w:t>
      </w:r>
      <w:r w:rsidR="5E6BA31D" w:rsidRPr="6C54F3A7">
        <w:rPr>
          <w:rFonts w:asciiTheme="minorHAnsi" w:eastAsiaTheme="minorEastAsia" w:hAnsiTheme="minorHAnsi" w:cstheme="minorBidi"/>
          <w:i w:val="0"/>
          <w:iCs w:val="0"/>
          <w:color w:val="auto"/>
          <w:sz w:val="20"/>
          <w:szCs w:val="20"/>
        </w:rPr>
        <w:t xml:space="preserve">zaměřený na </w:t>
      </w:r>
      <w:proofErr w:type="spellStart"/>
      <w:r w:rsidRPr="6C54F3A7">
        <w:rPr>
          <w:rFonts w:asciiTheme="minorHAnsi" w:eastAsiaTheme="minorEastAsia" w:hAnsiTheme="minorHAnsi" w:cstheme="minorBidi"/>
          <w:i w:val="0"/>
          <w:iCs w:val="0"/>
          <w:color w:val="auto"/>
          <w:sz w:val="20"/>
          <w:szCs w:val="20"/>
        </w:rPr>
        <w:t>socio</w:t>
      </w:r>
      <w:proofErr w:type="spellEnd"/>
      <w:r w:rsidRPr="6C54F3A7">
        <w:rPr>
          <w:rFonts w:asciiTheme="minorHAnsi" w:eastAsiaTheme="minorEastAsia" w:hAnsiTheme="minorHAnsi" w:cstheme="minorBidi"/>
          <w:i w:val="0"/>
          <w:iCs w:val="0"/>
          <w:color w:val="auto"/>
          <w:sz w:val="20"/>
          <w:szCs w:val="20"/>
        </w:rPr>
        <w:t xml:space="preserve">-ekonomický výzkum dopadů nemocí </w:t>
      </w:r>
      <w:r w:rsidR="5E6BA31D" w:rsidRPr="6C54F3A7">
        <w:rPr>
          <w:rFonts w:asciiTheme="minorHAnsi" w:eastAsiaTheme="minorEastAsia" w:hAnsiTheme="minorHAnsi" w:cstheme="minorBidi"/>
          <w:i w:val="0"/>
          <w:iCs w:val="0"/>
          <w:color w:val="auto"/>
          <w:sz w:val="20"/>
          <w:szCs w:val="20"/>
        </w:rPr>
        <w:t xml:space="preserve">a </w:t>
      </w:r>
      <w:r w:rsidR="5E6BA31D" w:rsidRPr="6C54F3A7">
        <w:rPr>
          <w:rFonts w:asciiTheme="minorHAnsi" w:eastAsiaTheme="minorEastAsia" w:hAnsiTheme="minorHAnsi" w:cstheme="minorBidi"/>
          <w:i w:val="0"/>
          <w:iCs w:val="0"/>
          <w:color w:val="auto"/>
          <w:sz w:val="20"/>
          <w:szCs w:val="20"/>
          <w:lang w:eastAsia="cs-CZ"/>
        </w:rPr>
        <w:t>souvislostí systémových zdravotních rizik</w:t>
      </w:r>
      <w:r w:rsidR="5E6BA31D" w:rsidRPr="6C54F3A7">
        <w:rPr>
          <w:rFonts w:asciiTheme="minorHAnsi" w:eastAsiaTheme="minorEastAsia" w:hAnsiTheme="minorHAnsi" w:cstheme="minorBidi"/>
          <w:i w:val="0"/>
          <w:iCs w:val="0"/>
          <w:color w:val="auto"/>
          <w:sz w:val="20"/>
          <w:szCs w:val="20"/>
        </w:rPr>
        <w:t xml:space="preserve"> </w:t>
      </w:r>
      <w:r w:rsidRPr="6C54F3A7">
        <w:rPr>
          <w:rFonts w:asciiTheme="minorHAnsi" w:eastAsiaTheme="minorEastAsia" w:hAnsiTheme="minorHAnsi" w:cstheme="minorBidi"/>
          <w:i w:val="0"/>
          <w:iCs w:val="0"/>
          <w:color w:val="auto"/>
          <w:sz w:val="20"/>
          <w:szCs w:val="20"/>
        </w:rPr>
        <w:t>zabezpečí v ČR dostatečnou znalostní bázi pro učení se z implementovaných veřejných politik a umožní tak při dostatečné spolupráci s vládou ČR předcházet zásadním selháním v oblasti implementace veřejných politik.</w:t>
      </w:r>
      <w:r w:rsidR="00CE2748" w:rsidRPr="6C54F3A7">
        <w:rPr>
          <w:rStyle w:val="Znakapoznpodarou"/>
          <w:rFonts w:asciiTheme="minorHAnsi" w:eastAsiaTheme="minorEastAsia" w:hAnsiTheme="minorHAnsi" w:cstheme="minorBidi"/>
          <w:i w:val="0"/>
          <w:iCs w:val="0"/>
          <w:color w:val="auto"/>
          <w:sz w:val="20"/>
          <w:szCs w:val="20"/>
        </w:rPr>
        <w:footnoteReference w:id="27"/>
      </w:r>
      <w:r w:rsidRPr="6C54F3A7">
        <w:rPr>
          <w:rFonts w:asciiTheme="minorHAnsi" w:eastAsiaTheme="minorEastAsia" w:hAnsiTheme="minorHAnsi" w:cstheme="minorBidi"/>
          <w:i w:val="0"/>
          <w:iCs w:val="0"/>
          <w:color w:val="auto"/>
          <w:sz w:val="20"/>
          <w:szCs w:val="20"/>
        </w:rPr>
        <w:t xml:space="preserve"> Vytvoření </w:t>
      </w:r>
      <w:r w:rsidR="5E6BA31D" w:rsidRPr="6C54F3A7">
        <w:rPr>
          <w:rFonts w:asciiTheme="minorHAnsi" w:eastAsiaTheme="minorEastAsia" w:hAnsiTheme="minorHAnsi" w:cstheme="minorBidi"/>
          <w:i w:val="0"/>
          <w:iCs w:val="0"/>
          <w:color w:val="auto"/>
          <w:sz w:val="20"/>
          <w:szCs w:val="20"/>
        </w:rPr>
        <w:t xml:space="preserve">této národní autority </w:t>
      </w:r>
      <w:r w:rsidRPr="6C54F3A7">
        <w:rPr>
          <w:rFonts w:asciiTheme="minorHAnsi" w:eastAsiaTheme="minorEastAsia" w:hAnsiTheme="minorHAnsi" w:cstheme="minorBidi"/>
          <w:i w:val="0"/>
          <w:iCs w:val="0"/>
          <w:color w:val="auto"/>
          <w:sz w:val="20"/>
          <w:szCs w:val="20"/>
        </w:rPr>
        <w:t xml:space="preserve">odpovídá závazku vlády </w:t>
      </w:r>
      <w:r w:rsidRPr="6C54F3A7">
        <w:rPr>
          <w:rFonts w:asciiTheme="minorHAnsi" w:eastAsiaTheme="minorEastAsia" w:hAnsiTheme="minorHAnsi" w:cstheme="minorBidi"/>
          <w:i w:val="0"/>
          <w:iCs w:val="0"/>
          <w:color w:val="auto"/>
          <w:sz w:val="20"/>
          <w:szCs w:val="20"/>
        </w:rPr>
        <w:lastRenderedPageBreak/>
        <w:t xml:space="preserve">řešit nedostatečnou implementaci evidence </w:t>
      </w:r>
      <w:proofErr w:type="spellStart"/>
      <w:r w:rsidRPr="6C54F3A7">
        <w:rPr>
          <w:rFonts w:asciiTheme="minorHAnsi" w:eastAsiaTheme="minorEastAsia" w:hAnsiTheme="minorHAnsi" w:cstheme="minorBidi"/>
          <w:i w:val="0"/>
          <w:iCs w:val="0"/>
          <w:color w:val="auto"/>
          <w:sz w:val="20"/>
          <w:szCs w:val="20"/>
        </w:rPr>
        <w:t>based</w:t>
      </w:r>
      <w:proofErr w:type="spellEnd"/>
      <w:r w:rsidRPr="6C54F3A7">
        <w:rPr>
          <w:rFonts w:asciiTheme="minorHAnsi" w:eastAsiaTheme="minorEastAsia" w:hAnsiTheme="minorHAnsi" w:cstheme="minorBidi"/>
          <w:i w:val="0"/>
          <w:iCs w:val="0"/>
          <w:color w:val="auto"/>
          <w:sz w:val="20"/>
          <w:szCs w:val="20"/>
        </w:rPr>
        <w:t xml:space="preserve"> </w:t>
      </w:r>
      <w:proofErr w:type="spellStart"/>
      <w:r w:rsidRPr="6C54F3A7">
        <w:rPr>
          <w:rFonts w:asciiTheme="minorHAnsi" w:eastAsiaTheme="minorEastAsia" w:hAnsiTheme="minorHAnsi" w:cstheme="minorBidi"/>
          <w:i w:val="0"/>
          <w:iCs w:val="0"/>
          <w:color w:val="auto"/>
          <w:sz w:val="20"/>
          <w:szCs w:val="20"/>
        </w:rPr>
        <w:t>policy</w:t>
      </w:r>
      <w:proofErr w:type="spellEnd"/>
      <w:r w:rsidRPr="6C54F3A7">
        <w:rPr>
          <w:rFonts w:asciiTheme="minorHAnsi" w:eastAsiaTheme="minorEastAsia" w:hAnsiTheme="minorHAnsi" w:cstheme="minorBidi"/>
          <w:i w:val="0"/>
          <w:iCs w:val="0"/>
          <w:color w:val="auto"/>
          <w:sz w:val="20"/>
          <w:szCs w:val="20"/>
        </w:rPr>
        <w:t xml:space="preserve"> přístupu do strategického vládnutí a strategického řízení v ČR</w:t>
      </w:r>
      <w:r w:rsidR="00CE2748" w:rsidRPr="6C54F3A7">
        <w:rPr>
          <w:rStyle w:val="Znakapoznpodarou"/>
          <w:rFonts w:asciiTheme="minorHAnsi" w:eastAsiaTheme="minorEastAsia" w:hAnsiTheme="minorHAnsi" w:cstheme="minorBidi"/>
          <w:i w:val="0"/>
          <w:iCs w:val="0"/>
          <w:color w:val="auto"/>
          <w:sz w:val="20"/>
          <w:szCs w:val="20"/>
        </w:rPr>
        <w:footnoteReference w:id="28"/>
      </w:r>
      <w:r w:rsidRPr="6C54F3A7">
        <w:rPr>
          <w:rFonts w:asciiTheme="minorHAnsi" w:eastAsiaTheme="minorEastAsia" w:hAnsiTheme="minorHAnsi" w:cstheme="minorBidi"/>
          <w:i w:val="0"/>
          <w:iCs w:val="0"/>
          <w:color w:val="auto"/>
          <w:sz w:val="20"/>
          <w:szCs w:val="20"/>
        </w:rPr>
        <w:t xml:space="preserve"> a reflektuje závazek vlády usilovat o vytvoření dostatečných institucionálních i analytických kapacit pro zajištění koherence politik pro udržitelný rozvoj.</w:t>
      </w:r>
      <w:r w:rsidR="00CE2748" w:rsidRPr="6C54F3A7">
        <w:rPr>
          <w:rStyle w:val="Znakapoznpodarou"/>
          <w:rFonts w:asciiTheme="minorHAnsi" w:eastAsiaTheme="minorEastAsia" w:hAnsiTheme="minorHAnsi" w:cstheme="minorBidi"/>
          <w:i w:val="0"/>
          <w:iCs w:val="0"/>
          <w:color w:val="auto"/>
          <w:sz w:val="20"/>
          <w:szCs w:val="20"/>
        </w:rPr>
        <w:footnoteReference w:id="29"/>
      </w:r>
      <w:bookmarkEnd w:id="3"/>
      <w:r w:rsidRPr="6C54F3A7">
        <w:rPr>
          <w:rFonts w:asciiTheme="minorHAnsi" w:eastAsiaTheme="minorEastAsia" w:hAnsiTheme="minorHAnsi" w:cstheme="minorBidi"/>
          <w:i w:val="0"/>
          <w:iCs w:val="0"/>
          <w:color w:val="auto"/>
          <w:sz w:val="20"/>
          <w:szCs w:val="20"/>
        </w:rPr>
        <w:t xml:space="preserve"> </w:t>
      </w:r>
    </w:p>
    <w:p w14:paraId="5312A769" w14:textId="7E327702" w:rsidR="004C0E2B" w:rsidRPr="00992741" w:rsidRDefault="78C6B754"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Excelenc</w:t>
      </w:r>
      <w:r w:rsidR="4931779B" w:rsidRPr="6C54F3A7">
        <w:rPr>
          <w:rFonts w:asciiTheme="minorHAnsi" w:eastAsiaTheme="minorEastAsia" w:hAnsiTheme="minorHAnsi" w:cstheme="minorBidi"/>
          <w:i w:val="0"/>
          <w:iCs w:val="0"/>
          <w:color w:val="auto"/>
          <w:sz w:val="20"/>
          <w:szCs w:val="20"/>
        </w:rPr>
        <w:t>í</w:t>
      </w:r>
      <w:r w:rsidRPr="6C54F3A7">
        <w:rPr>
          <w:rFonts w:asciiTheme="minorHAnsi" w:eastAsiaTheme="minorEastAsia" w:hAnsiTheme="minorHAnsi" w:cstheme="minorBidi"/>
          <w:i w:val="0"/>
          <w:iCs w:val="0"/>
          <w:color w:val="auto"/>
          <w:sz w:val="20"/>
          <w:szCs w:val="20"/>
        </w:rPr>
        <w:t xml:space="preserve"> ve výzkumu může být taktéž podpořen</w:t>
      </w:r>
      <w:r w:rsidR="4931779B" w:rsidRPr="6C54F3A7">
        <w:rPr>
          <w:rFonts w:asciiTheme="minorHAnsi" w:eastAsiaTheme="minorEastAsia" w:hAnsiTheme="minorHAnsi" w:cstheme="minorBidi"/>
          <w:i w:val="0"/>
          <w:iCs w:val="0"/>
          <w:color w:val="auto"/>
          <w:sz w:val="20"/>
          <w:szCs w:val="20"/>
        </w:rPr>
        <w:t>o</w:t>
      </w:r>
      <w:r w:rsidRPr="6C54F3A7">
        <w:rPr>
          <w:rFonts w:asciiTheme="minorHAnsi" w:eastAsiaTheme="minorEastAsia" w:hAnsiTheme="minorHAnsi" w:cstheme="minorBidi"/>
          <w:i w:val="0"/>
          <w:iCs w:val="0"/>
          <w:color w:val="auto"/>
          <w:sz w:val="20"/>
          <w:szCs w:val="20"/>
        </w:rPr>
        <w:t xml:space="preserve"> vyrovn</w:t>
      </w:r>
      <w:r w:rsidR="4931779B" w:rsidRPr="6C54F3A7">
        <w:rPr>
          <w:rFonts w:asciiTheme="minorHAnsi" w:eastAsiaTheme="minorEastAsia" w:hAnsiTheme="minorHAnsi" w:cstheme="minorBidi"/>
          <w:i w:val="0"/>
          <w:iCs w:val="0"/>
          <w:color w:val="auto"/>
          <w:sz w:val="20"/>
          <w:szCs w:val="20"/>
        </w:rPr>
        <w:t>ávání</w:t>
      </w:r>
      <w:r w:rsidRPr="6C54F3A7">
        <w:rPr>
          <w:rFonts w:asciiTheme="minorHAnsi" w:eastAsiaTheme="minorEastAsia" w:hAnsiTheme="minorHAnsi" w:cstheme="minorBidi"/>
          <w:i w:val="0"/>
          <w:iCs w:val="0"/>
          <w:color w:val="auto"/>
          <w:sz w:val="20"/>
          <w:szCs w:val="20"/>
        </w:rPr>
        <w:t xml:space="preserve"> zastoupení žen a mužů ve výzkumných týmech, neboť se ukazuje, že existuje pozitivní vztah mezi Indexem inovačního potenciálu (ČR je na 16. místě v </w:t>
      </w:r>
      <w:r w:rsidR="4931779B" w:rsidRPr="6C54F3A7">
        <w:rPr>
          <w:rFonts w:asciiTheme="minorHAnsi" w:eastAsiaTheme="minorEastAsia" w:hAnsiTheme="minorHAnsi" w:cstheme="minorBidi"/>
          <w:i w:val="0"/>
          <w:iCs w:val="0"/>
          <w:color w:val="auto"/>
          <w:sz w:val="20"/>
          <w:szCs w:val="20"/>
        </w:rPr>
        <w:t>r</w:t>
      </w:r>
      <w:r w:rsidRPr="6C54F3A7">
        <w:rPr>
          <w:rFonts w:asciiTheme="minorHAnsi" w:eastAsiaTheme="minorEastAsia" w:hAnsiTheme="minorHAnsi" w:cstheme="minorBidi"/>
          <w:i w:val="0"/>
          <w:iCs w:val="0"/>
          <w:color w:val="auto"/>
          <w:sz w:val="20"/>
          <w:szCs w:val="20"/>
        </w:rPr>
        <w:t>ámci EU)</w:t>
      </w:r>
      <w:r w:rsidR="15E1F833" w:rsidRPr="6C54F3A7">
        <w:rPr>
          <w:rFonts w:asciiTheme="minorHAnsi" w:eastAsiaTheme="minorEastAsia" w:hAnsiTheme="minorHAnsi" w:cstheme="minorBidi"/>
          <w:i w:val="0"/>
          <w:iCs w:val="0"/>
          <w:color w:val="auto"/>
          <w:sz w:val="20"/>
          <w:szCs w:val="20"/>
        </w:rPr>
        <w:t>.</w:t>
      </w:r>
      <w:r w:rsidRPr="6C54F3A7">
        <w:rPr>
          <w:rFonts w:asciiTheme="minorHAnsi" w:eastAsiaTheme="minorEastAsia" w:hAnsiTheme="minorHAnsi" w:cstheme="minorBidi"/>
          <w:i w:val="0"/>
          <w:iCs w:val="0"/>
          <w:color w:val="auto"/>
          <w:sz w:val="20"/>
          <w:szCs w:val="20"/>
        </w:rPr>
        <w:t xml:space="preserve"> Indikátorem excelence a Indexem rovnosti žen a mužů</w:t>
      </w:r>
      <w:r w:rsidR="15E1F833" w:rsidRPr="6C54F3A7">
        <w:rPr>
          <w:rFonts w:asciiTheme="minorHAnsi" w:eastAsiaTheme="minorEastAsia" w:hAnsiTheme="minorHAnsi" w:cstheme="minorBidi"/>
          <w:i w:val="0"/>
          <w:iCs w:val="0"/>
          <w:color w:val="auto"/>
          <w:sz w:val="20"/>
          <w:szCs w:val="20"/>
        </w:rPr>
        <w:t>. Samotný tradičně pojatý výzkum a následné inovace ne vždy dostatečně zohledňují odlišné vzorce chování různých skupin obyvatelstva často podceňují genderové rozdíly. Právě výzkum socioekonomických dopadů je jednou z cest k nápravě a tím i k možnému dalšímu zhodnocení případného dalšího potenciálu získaných výsledků výzkumu a vývoje.</w:t>
      </w:r>
    </w:p>
    <w:p w14:paraId="769F0A9D" w14:textId="3C51F341" w:rsidR="0078665F" w:rsidRPr="00F34B12" w:rsidRDefault="65FC0112"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Z dostupných studií také vyplývá, že</w:t>
      </w:r>
      <w:r w:rsidR="325DADE1" w:rsidRPr="6C54F3A7">
        <w:rPr>
          <w:rFonts w:asciiTheme="minorHAnsi" w:eastAsiaTheme="minorEastAsia" w:hAnsiTheme="minorHAnsi" w:cstheme="minorBidi"/>
          <w:i w:val="0"/>
          <w:iCs w:val="0"/>
          <w:color w:val="auto"/>
          <w:sz w:val="20"/>
          <w:szCs w:val="20"/>
        </w:rPr>
        <w:t xml:space="preserve"> </w:t>
      </w:r>
      <w:r w:rsidRPr="6C54F3A7">
        <w:rPr>
          <w:rFonts w:asciiTheme="minorHAnsi" w:eastAsiaTheme="minorEastAsia" w:hAnsiTheme="minorHAnsi" w:cstheme="minorBidi"/>
          <w:i w:val="0"/>
          <w:iCs w:val="0"/>
          <w:color w:val="auto"/>
          <w:sz w:val="20"/>
          <w:szCs w:val="20"/>
        </w:rPr>
        <w:t>v</w:t>
      </w:r>
      <w:r w:rsidR="6EBE30F1" w:rsidRPr="6C54F3A7">
        <w:rPr>
          <w:rFonts w:asciiTheme="minorHAnsi" w:eastAsiaTheme="minorEastAsia" w:hAnsiTheme="minorHAnsi" w:cstheme="minorBidi"/>
          <w:i w:val="0"/>
          <w:iCs w:val="0"/>
          <w:color w:val="auto"/>
          <w:sz w:val="20"/>
          <w:szCs w:val="20"/>
        </w:rPr>
        <w:t xml:space="preserve"> porovnání se zahraničím je v České republice také dlouhodobě podceňována oblast řízení lidských zdrojů na řadě vysokých škol i ve výzkumných organizacích</w:t>
      </w:r>
      <w:r w:rsidR="0078665F" w:rsidRPr="6C54F3A7">
        <w:rPr>
          <w:rStyle w:val="Znakapoznpodarou"/>
          <w:rFonts w:asciiTheme="minorHAnsi" w:eastAsiaTheme="minorEastAsia" w:hAnsiTheme="minorHAnsi" w:cstheme="minorBidi"/>
          <w:i w:val="0"/>
          <w:iCs w:val="0"/>
          <w:color w:val="auto"/>
          <w:sz w:val="20"/>
          <w:szCs w:val="20"/>
        </w:rPr>
        <w:footnoteReference w:id="30"/>
      </w:r>
      <w:r w:rsidRPr="6C54F3A7">
        <w:rPr>
          <w:rFonts w:asciiTheme="minorHAnsi" w:eastAsiaTheme="minorEastAsia" w:hAnsiTheme="minorHAnsi" w:cstheme="minorBidi"/>
          <w:i w:val="0"/>
          <w:iCs w:val="0"/>
          <w:color w:val="auto"/>
          <w:sz w:val="20"/>
          <w:szCs w:val="20"/>
        </w:rPr>
        <w:t>.</w:t>
      </w:r>
      <w:r w:rsidR="6EBE30F1" w:rsidRPr="6C54F3A7">
        <w:rPr>
          <w:rFonts w:asciiTheme="minorHAnsi" w:eastAsiaTheme="minorEastAsia" w:hAnsiTheme="minorHAnsi" w:cstheme="minorBidi"/>
          <w:i w:val="0"/>
          <w:iCs w:val="0"/>
          <w:color w:val="auto"/>
          <w:sz w:val="20"/>
          <w:szCs w:val="20"/>
        </w:rPr>
        <w:t xml:space="preserve"> </w:t>
      </w:r>
      <w:r w:rsidRPr="6C54F3A7">
        <w:rPr>
          <w:rFonts w:asciiTheme="minorHAnsi" w:eastAsiaTheme="minorEastAsia" w:hAnsiTheme="minorHAnsi" w:cstheme="minorBidi"/>
          <w:i w:val="0"/>
          <w:iCs w:val="0"/>
          <w:color w:val="auto"/>
          <w:sz w:val="20"/>
          <w:szCs w:val="20"/>
        </w:rPr>
        <w:t>U</w:t>
      </w:r>
      <w:r w:rsidR="6EBE30F1" w:rsidRPr="6C54F3A7">
        <w:rPr>
          <w:rFonts w:asciiTheme="minorHAnsi" w:eastAsiaTheme="minorEastAsia" w:hAnsiTheme="minorHAnsi" w:cstheme="minorBidi"/>
          <w:i w:val="0"/>
          <w:iCs w:val="0"/>
          <w:color w:val="auto"/>
          <w:sz w:val="20"/>
          <w:szCs w:val="20"/>
        </w:rPr>
        <w:t xml:space="preserve">kazuje </w:t>
      </w:r>
      <w:r w:rsidRPr="6C54F3A7">
        <w:rPr>
          <w:rFonts w:asciiTheme="minorHAnsi" w:eastAsiaTheme="minorEastAsia" w:hAnsiTheme="minorHAnsi" w:cstheme="minorBidi"/>
          <w:i w:val="0"/>
          <w:iCs w:val="0"/>
          <w:color w:val="auto"/>
          <w:sz w:val="20"/>
          <w:szCs w:val="20"/>
        </w:rPr>
        <w:t xml:space="preserve">se </w:t>
      </w:r>
      <w:r w:rsidR="6EBE30F1" w:rsidRPr="6C54F3A7">
        <w:rPr>
          <w:rFonts w:asciiTheme="minorHAnsi" w:eastAsiaTheme="minorEastAsia" w:hAnsiTheme="minorHAnsi" w:cstheme="minorBidi"/>
          <w:i w:val="0"/>
          <w:iCs w:val="0"/>
          <w:color w:val="auto"/>
          <w:sz w:val="20"/>
          <w:szCs w:val="20"/>
        </w:rPr>
        <w:t>neznalost povinností, práv a procesů v oblasti lidských zdrojů ze strany akademických pracovníků a pracovnic. Zároveň z n</w:t>
      </w:r>
      <w:r w:rsidRPr="6C54F3A7">
        <w:rPr>
          <w:rFonts w:asciiTheme="minorHAnsi" w:eastAsiaTheme="minorEastAsia" w:hAnsiTheme="minorHAnsi" w:cstheme="minorBidi"/>
          <w:i w:val="0"/>
          <w:iCs w:val="0"/>
          <w:color w:val="auto"/>
          <w:sz w:val="20"/>
          <w:szCs w:val="20"/>
        </w:rPr>
        <w:t>ich</w:t>
      </w:r>
      <w:r w:rsidR="6EBE30F1" w:rsidRPr="6C54F3A7">
        <w:rPr>
          <w:rFonts w:asciiTheme="minorHAnsi" w:eastAsiaTheme="minorEastAsia" w:hAnsiTheme="minorHAnsi" w:cstheme="minorBidi"/>
          <w:i w:val="0"/>
          <w:iCs w:val="0"/>
          <w:color w:val="auto"/>
          <w:sz w:val="20"/>
          <w:szCs w:val="20"/>
        </w:rPr>
        <w:t xml:space="preserve"> vyplývá, že obrovská část pravidel je nepsaná nebo nezveřejněná, tudíž nevymahatelná, netransparentní a potenciálně umožňující nerovné zacházení a akademický </w:t>
      </w:r>
      <w:proofErr w:type="spellStart"/>
      <w:r w:rsidR="6EBE30F1" w:rsidRPr="6C54F3A7">
        <w:rPr>
          <w:rFonts w:asciiTheme="minorHAnsi" w:eastAsiaTheme="minorEastAsia" w:hAnsiTheme="minorHAnsi" w:cstheme="minorBidi"/>
          <w:i w:val="0"/>
          <w:iCs w:val="0"/>
          <w:color w:val="auto"/>
          <w:sz w:val="20"/>
          <w:szCs w:val="20"/>
        </w:rPr>
        <w:t>inbreeding</w:t>
      </w:r>
      <w:proofErr w:type="spellEnd"/>
      <w:r w:rsidR="004E3BFD" w:rsidRPr="6C54F3A7">
        <w:rPr>
          <w:rStyle w:val="Znakapoznpodarou"/>
          <w:rFonts w:asciiTheme="minorHAnsi" w:eastAsiaTheme="minorEastAsia" w:hAnsiTheme="minorHAnsi" w:cstheme="minorBidi"/>
          <w:i w:val="0"/>
          <w:iCs w:val="0"/>
          <w:color w:val="auto"/>
          <w:sz w:val="20"/>
          <w:szCs w:val="20"/>
        </w:rPr>
        <w:footnoteReference w:id="31"/>
      </w:r>
      <w:r w:rsidR="6EBE30F1" w:rsidRPr="6C54F3A7">
        <w:rPr>
          <w:rFonts w:asciiTheme="minorHAnsi" w:eastAsiaTheme="minorEastAsia" w:hAnsiTheme="minorHAnsi" w:cstheme="minorBidi"/>
          <w:i w:val="0"/>
          <w:iCs w:val="0"/>
          <w:color w:val="auto"/>
          <w:sz w:val="20"/>
          <w:szCs w:val="20"/>
        </w:rPr>
        <w:t>.</w:t>
      </w:r>
      <w:r w:rsidR="53EB760C" w:rsidRPr="6C54F3A7">
        <w:rPr>
          <w:rFonts w:asciiTheme="minorHAnsi" w:eastAsiaTheme="minorEastAsia" w:hAnsiTheme="minorHAnsi" w:cstheme="minorBidi"/>
          <w:i w:val="0"/>
          <w:iCs w:val="0"/>
          <w:color w:val="auto"/>
          <w:sz w:val="20"/>
          <w:szCs w:val="20"/>
        </w:rPr>
        <w:t xml:space="preserve"> Napomoci řešit tyto nedostatky může i rozšiřování standardů a kvalitativních změn v řízení lidských zdrojů ve </w:t>
      </w:r>
      <w:proofErr w:type="spellStart"/>
      <w:r w:rsidR="53EB760C" w:rsidRPr="6C54F3A7">
        <w:rPr>
          <w:rFonts w:asciiTheme="minorHAnsi" w:eastAsiaTheme="minorEastAsia" w:hAnsiTheme="minorHAnsi" w:cstheme="minorBidi"/>
          <w:i w:val="0"/>
          <w:iCs w:val="0"/>
          <w:color w:val="auto"/>
          <w:sz w:val="20"/>
          <w:szCs w:val="20"/>
        </w:rPr>
        <w:t>VaVaI</w:t>
      </w:r>
      <w:proofErr w:type="spellEnd"/>
      <w:r w:rsidR="53EB760C" w:rsidRPr="6C54F3A7">
        <w:rPr>
          <w:rFonts w:asciiTheme="minorHAnsi" w:eastAsiaTheme="minorEastAsia" w:hAnsiTheme="minorHAnsi" w:cstheme="minorBidi"/>
          <w:i w:val="0"/>
          <w:iCs w:val="0"/>
          <w:color w:val="auto"/>
          <w:sz w:val="20"/>
          <w:szCs w:val="20"/>
        </w:rPr>
        <w:t xml:space="preserve"> spojených např. </w:t>
      </w:r>
      <w:r w:rsidRPr="6C54F3A7">
        <w:rPr>
          <w:rFonts w:asciiTheme="minorHAnsi" w:eastAsiaTheme="minorEastAsia" w:hAnsiTheme="minorHAnsi" w:cstheme="minorBidi"/>
          <w:i w:val="0"/>
          <w:iCs w:val="0"/>
          <w:color w:val="auto"/>
          <w:sz w:val="20"/>
          <w:szCs w:val="20"/>
        </w:rPr>
        <w:t>se získáním a rozšiřováním pr</w:t>
      </w:r>
      <w:r w:rsidR="73C9F058" w:rsidRPr="6C54F3A7">
        <w:rPr>
          <w:rFonts w:asciiTheme="minorHAnsi" w:eastAsiaTheme="minorEastAsia" w:hAnsiTheme="minorHAnsi" w:cstheme="minorBidi"/>
          <w:i w:val="0"/>
          <w:iCs w:val="0"/>
          <w:color w:val="auto"/>
          <w:sz w:val="20"/>
          <w:szCs w:val="20"/>
        </w:rPr>
        <w:t>i</w:t>
      </w:r>
      <w:r w:rsidRPr="6C54F3A7">
        <w:rPr>
          <w:rFonts w:asciiTheme="minorHAnsi" w:eastAsiaTheme="minorEastAsia" w:hAnsiTheme="minorHAnsi" w:cstheme="minorBidi"/>
          <w:i w:val="0"/>
          <w:iCs w:val="0"/>
          <w:color w:val="auto"/>
          <w:sz w:val="20"/>
          <w:szCs w:val="20"/>
        </w:rPr>
        <w:t>ncipů</w:t>
      </w:r>
      <w:r w:rsidR="53EB760C" w:rsidRPr="6C54F3A7">
        <w:rPr>
          <w:rFonts w:asciiTheme="minorHAnsi" w:eastAsiaTheme="minorEastAsia" w:hAnsiTheme="minorHAnsi" w:cstheme="minorBidi"/>
          <w:i w:val="0"/>
          <w:iCs w:val="0"/>
          <w:color w:val="auto"/>
          <w:sz w:val="20"/>
          <w:szCs w:val="20"/>
        </w:rPr>
        <w:t xml:space="preserve"> HR </w:t>
      </w:r>
      <w:proofErr w:type="spellStart"/>
      <w:r w:rsidR="53EB760C" w:rsidRPr="6C54F3A7">
        <w:rPr>
          <w:rFonts w:asciiTheme="minorHAnsi" w:eastAsiaTheme="minorEastAsia" w:hAnsiTheme="minorHAnsi" w:cstheme="minorBidi"/>
          <w:i w:val="0"/>
          <w:iCs w:val="0"/>
          <w:color w:val="auto"/>
          <w:sz w:val="20"/>
          <w:szCs w:val="20"/>
        </w:rPr>
        <w:t>Awards</w:t>
      </w:r>
      <w:proofErr w:type="spellEnd"/>
      <w:r w:rsidR="53EB760C" w:rsidRPr="6C54F3A7">
        <w:rPr>
          <w:rFonts w:asciiTheme="minorHAnsi" w:eastAsiaTheme="minorEastAsia" w:hAnsiTheme="minorHAnsi" w:cstheme="minorBidi"/>
          <w:i w:val="0"/>
          <w:iCs w:val="0"/>
          <w:color w:val="auto"/>
          <w:sz w:val="20"/>
          <w:szCs w:val="20"/>
        </w:rPr>
        <w:t xml:space="preserve"> u mateřské výzkumné organizace vstupující do konsorcia </w:t>
      </w:r>
      <w:r w:rsidR="73C9F058" w:rsidRPr="6C54F3A7">
        <w:rPr>
          <w:rFonts w:asciiTheme="minorHAnsi" w:eastAsiaTheme="minorEastAsia" w:hAnsiTheme="minorHAnsi" w:cstheme="minorBidi"/>
          <w:i w:val="0"/>
          <w:iCs w:val="0"/>
          <w:color w:val="auto"/>
          <w:sz w:val="20"/>
          <w:szCs w:val="20"/>
        </w:rPr>
        <w:t>v</w:t>
      </w:r>
      <w:r w:rsidRPr="6C54F3A7">
        <w:rPr>
          <w:rFonts w:asciiTheme="minorHAnsi" w:eastAsiaTheme="minorEastAsia" w:hAnsiTheme="minorHAnsi" w:cstheme="minorBidi"/>
          <w:i w:val="0"/>
          <w:iCs w:val="0"/>
          <w:color w:val="auto"/>
          <w:sz w:val="20"/>
          <w:szCs w:val="20"/>
        </w:rPr>
        <w:t xml:space="preserve"> </w:t>
      </w:r>
      <w:r w:rsidR="73C9F058" w:rsidRPr="6C54F3A7">
        <w:rPr>
          <w:rFonts w:asciiTheme="minorHAnsi" w:eastAsiaTheme="minorEastAsia" w:hAnsiTheme="minorHAnsi" w:cstheme="minorBidi"/>
          <w:i w:val="0"/>
          <w:iCs w:val="0"/>
          <w:color w:val="auto"/>
          <w:sz w:val="20"/>
          <w:szCs w:val="20"/>
        </w:rPr>
        <w:t xml:space="preserve">nového </w:t>
      </w:r>
      <w:r w:rsidRPr="6C54F3A7">
        <w:rPr>
          <w:rFonts w:asciiTheme="minorHAnsi" w:eastAsiaTheme="minorEastAsia" w:hAnsiTheme="minorHAnsi" w:cstheme="minorBidi"/>
          <w:i w:val="0"/>
          <w:iCs w:val="0"/>
          <w:color w:val="auto"/>
          <w:sz w:val="20"/>
          <w:szCs w:val="20"/>
        </w:rPr>
        <w:t>programu</w:t>
      </w:r>
      <w:r w:rsidR="73C9F058" w:rsidRPr="6C54F3A7">
        <w:rPr>
          <w:rFonts w:asciiTheme="minorHAnsi" w:eastAsiaTheme="minorEastAsia" w:hAnsiTheme="minorHAnsi" w:cstheme="minorBidi"/>
          <w:i w:val="0"/>
          <w:iCs w:val="0"/>
          <w:color w:val="auto"/>
          <w:sz w:val="20"/>
          <w:szCs w:val="20"/>
        </w:rPr>
        <w:t xml:space="preserve"> implementujícího tuto</w:t>
      </w:r>
      <w:r w:rsidR="53EB760C" w:rsidRPr="6C54F3A7">
        <w:rPr>
          <w:rFonts w:asciiTheme="minorHAnsi" w:eastAsiaTheme="minorEastAsia" w:hAnsiTheme="minorHAnsi" w:cstheme="minorBidi"/>
          <w:i w:val="0"/>
          <w:iCs w:val="0"/>
          <w:color w:val="auto"/>
          <w:sz w:val="20"/>
          <w:szCs w:val="20"/>
        </w:rPr>
        <w:t xml:space="preserve"> komponent</w:t>
      </w:r>
      <w:r w:rsidR="73C9F058" w:rsidRPr="6C54F3A7">
        <w:rPr>
          <w:rFonts w:asciiTheme="minorHAnsi" w:eastAsiaTheme="minorEastAsia" w:hAnsiTheme="minorHAnsi" w:cstheme="minorBidi"/>
          <w:i w:val="0"/>
          <w:iCs w:val="0"/>
          <w:color w:val="auto"/>
          <w:sz w:val="20"/>
          <w:szCs w:val="20"/>
        </w:rPr>
        <w:t>u</w:t>
      </w:r>
      <w:r w:rsidRPr="6C54F3A7">
        <w:rPr>
          <w:rFonts w:asciiTheme="minorHAnsi" w:eastAsiaTheme="minorEastAsia" w:hAnsiTheme="minorHAnsi" w:cstheme="minorBidi"/>
          <w:i w:val="0"/>
          <w:iCs w:val="0"/>
          <w:color w:val="auto"/>
          <w:sz w:val="20"/>
          <w:szCs w:val="20"/>
        </w:rPr>
        <w:t>, které</w:t>
      </w:r>
      <w:r w:rsidR="73C9F058" w:rsidRPr="6C54F3A7">
        <w:rPr>
          <w:rFonts w:asciiTheme="minorHAnsi" w:eastAsiaTheme="minorEastAsia" w:hAnsiTheme="minorHAnsi" w:cstheme="minorBidi"/>
          <w:i w:val="0"/>
          <w:iCs w:val="0"/>
          <w:color w:val="auto"/>
          <w:sz w:val="20"/>
          <w:szCs w:val="20"/>
        </w:rPr>
        <w:t xml:space="preserve"> je jedním ze vstupních bonifikačních požadavků</w:t>
      </w:r>
      <w:r w:rsidR="53EB760C" w:rsidRPr="6C54F3A7">
        <w:rPr>
          <w:rFonts w:asciiTheme="minorHAnsi" w:eastAsiaTheme="minorEastAsia" w:hAnsiTheme="minorHAnsi" w:cstheme="minorBidi"/>
          <w:i w:val="0"/>
          <w:iCs w:val="0"/>
          <w:color w:val="auto"/>
          <w:sz w:val="20"/>
          <w:szCs w:val="20"/>
        </w:rPr>
        <w:t>.</w:t>
      </w:r>
    </w:p>
    <w:p w14:paraId="634A5A1A" w14:textId="77777777" w:rsidR="00EF15B4" w:rsidRPr="00992741" w:rsidRDefault="00EF15B4" w:rsidP="6C54F3A7">
      <w:pPr>
        <w:pStyle w:val="K-TextInfo"/>
        <w:rPr>
          <w:rFonts w:asciiTheme="minorHAnsi" w:eastAsiaTheme="minorEastAsia" w:hAnsiTheme="minorHAnsi" w:cstheme="minorBidi"/>
          <w:color w:val="auto"/>
          <w:sz w:val="20"/>
          <w:szCs w:val="20"/>
        </w:rPr>
      </w:pPr>
    </w:p>
    <w:p w14:paraId="75616F84" w14:textId="77777777" w:rsidR="002C20CF" w:rsidRPr="00992741" w:rsidRDefault="2DB997A7" w:rsidP="6C54F3A7">
      <w:pPr>
        <w:pStyle w:val="K-Nadpis3"/>
        <w:rPr>
          <w:rFonts w:asciiTheme="minorHAnsi" w:eastAsiaTheme="minorEastAsia" w:hAnsiTheme="minorHAnsi" w:cstheme="minorBidi"/>
          <w:color w:val="auto"/>
          <w:sz w:val="20"/>
          <w:szCs w:val="20"/>
        </w:rPr>
      </w:pPr>
      <w:r w:rsidRPr="6C54F3A7">
        <w:rPr>
          <w:rFonts w:asciiTheme="minorHAnsi" w:eastAsiaTheme="minorEastAsia" w:hAnsiTheme="minorHAnsi" w:cstheme="minorBidi"/>
          <w:color w:val="auto"/>
          <w:sz w:val="20"/>
          <w:szCs w:val="20"/>
        </w:rPr>
        <w:t xml:space="preserve">b) </w:t>
      </w:r>
      <w:r w:rsidR="5ED66E3C" w:rsidRPr="6C54F3A7">
        <w:rPr>
          <w:rFonts w:asciiTheme="minorHAnsi" w:eastAsiaTheme="minorEastAsia" w:hAnsiTheme="minorHAnsi" w:cstheme="minorBidi"/>
          <w:color w:val="auto"/>
          <w:sz w:val="20"/>
          <w:szCs w:val="20"/>
        </w:rPr>
        <w:t>Cíle</w:t>
      </w:r>
      <w:r w:rsidRPr="6C54F3A7">
        <w:rPr>
          <w:rFonts w:asciiTheme="minorHAnsi" w:eastAsiaTheme="minorEastAsia" w:hAnsiTheme="minorHAnsi" w:cstheme="minorBidi"/>
          <w:color w:val="auto"/>
          <w:sz w:val="20"/>
          <w:szCs w:val="20"/>
        </w:rPr>
        <w:t xml:space="preserve"> </w:t>
      </w:r>
    </w:p>
    <w:p w14:paraId="1B6D5680" w14:textId="15E5B56F" w:rsidR="00A35CE4" w:rsidRPr="00992741" w:rsidRDefault="05E9043B" w:rsidP="3A4C9812">
      <w:pPr>
        <w:pStyle w:val="K-TextInfo"/>
        <w:rPr>
          <w:rFonts w:asciiTheme="minorHAnsi" w:eastAsiaTheme="minorEastAsia" w:hAnsiTheme="minorHAnsi" w:cstheme="minorBidi"/>
          <w:i w:val="0"/>
          <w:iCs w:val="0"/>
          <w:color w:val="auto"/>
          <w:sz w:val="20"/>
          <w:szCs w:val="20"/>
        </w:rPr>
      </w:pPr>
      <w:r w:rsidRPr="3A4C9812">
        <w:rPr>
          <w:rFonts w:asciiTheme="minorHAnsi" w:eastAsiaTheme="minorEastAsia" w:hAnsiTheme="minorHAnsi" w:cstheme="minorBidi"/>
          <w:i w:val="0"/>
          <w:iCs w:val="0"/>
          <w:color w:val="auto"/>
          <w:sz w:val="20"/>
          <w:szCs w:val="20"/>
        </w:rPr>
        <w:t>Cíl 1:</w:t>
      </w:r>
      <w:r w:rsidR="73C9F058" w:rsidRPr="3A4C9812">
        <w:rPr>
          <w:rFonts w:asciiTheme="minorHAnsi" w:eastAsiaTheme="minorEastAsia" w:hAnsiTheme="minorHAnsi" w:cstheme="minorBidi"/>
          <w:i w:val="0"/>
          <w:iCs w:val="0"/>
          <w:color w:val="auto"/>
          <w:sz w:val="20"/>
          <w:szCs w:val="20"/>
        </w:rPr>
        <w:t xml:space="preserve"> </w:t>
      </w:r>
      <w:r w:rsidR="7BFE72F9" w:rsidRPr="3A4C9812">
        <w:rPr>
          <w:rFonts w:asciiTheme="minorHAnsi" w:eastAsiaTheme="minorEastAsia" w:hAnsiTheme="minorHAnsi" w:cstheme="minorBidi"/>
          <w:i w:val="0"/>
          <w:iCs w:val="0"/>
          <w:color w:val="auto"/>
          <w:sz w:val="20"/>
          <w:szCs w:val="20"/>
        </w:rPr>
        <w:t xml:space="preserve">Uzavření smluv o poskytnutí podpory na řešení nejméně 4 konsorciálních projektů </w:t>
      </w:r>
      <w:proofErr w:type="spellStart"/>
      <w:r w:rsidR="7BFE72F9" w:rsidRPr="3A4C9812">
        <w:rPr>
          <w:rFonts w:asciiTheme="minorHAnsi" w:eastAsiaTheme="minorEastAsia" w:hAnsiTheme="minorHAnsi" w:cstheme="minorBidi"/>
          <w:i w:val="0"/>
          <w:iCs w:val="0"/>
          <w:color w:val="auto"/>
          <w:sz w:val="20"/>
          <w:szCs w:val="20"/>
        </w:rPr>
        <w:t>VaVaI</w:t>
      </w:r>
      <w:proofErr w:type="spellEnd"/>
    </w:p>
    <w:p w14:paraId="037404AA" w14:textId="22A145D2" w:rsidR="00A35CE4" w:rsidRPr="00992741" w:rsidRDefault="5308B538" w:rsidP="3A4C9812">
      <w:pPr>
        <w:pStyle w:val="K-TextInfo"/>
        <w:rPr>
          <w:rFonts w:asciiTheme="minorHAnsi" w:eastAsiaTheme="minorEastAsia" w:hAnsiTheme="minorHAnsi" w:cstheme="minorBidi"/>
          <w:i w:val="0"/>
          <w:iCs w:val="0"/>
          <w:color w:val="auto"/>
          <w:sz w:val="20"/>
          <w:szCs w:val="20"/>
        </w:rPr>
      </w:pPr>
      <w:r w:rsidRPr="3A4C9812">
        <w:rPr>
          <w:rFonts w:asciiTheme="minorHAnsi" w:eastAsiaTheme="minorEastAsia" w:hAnsiTheme="minorHAnsi" w:cstheme="minorBidi"/>
          <w:i w:val="0"/>
          <w:iCs w:val="0"/>
          <w:color w:val="auto"/>
          <w:sz w:val="20"/>
          <w:szCs w:val="20"/>
        </w:rPr>
        <w:t xml:space="preserve">Cíl v sobě zahrnuje </w:t>
      </w:r>
      <w:r w:rsidR="73C9F058" w:rsidRPr="3A4C9812">
        <w:rPr>
          <w:rFonts w:asciiTheme="minorHAnsi" w:eastAsiaTheme="minorEastAsia" w:hAnsiTheme="minorHAnsi" w:cstheme="minorBidi"/>
          <w:i w:val="0"/>
          <w:iCs w:val="0"/>
          <w:color w:val="auto"/>
          <w:sz w:val="20"/>
          <w:szCs w:val="20"/>
        </w:rPr>
        <w:t>zavedení</w:t>
      </w:r>
      <w:r w:rsidR="56812C79" w:rsidRPr="3A4C9812">
        <w:rPr>
          <w:rFonts w:asciiTheme="minorHAnsi" w:eastAsiaTheme="minorEastAsia" w:hAnsiTheme="minorHAnsi" w:cstheme="minorBidi"/>
          <w:i w:val="0"/>
          <w:iCs w:val="0"/>
          <w:color w:val="auto"/>
          <w:sz w:val="20"/>
          <w:szCs w:val="20"/>
        </w:rPr>
        <w:t xml:space="preserve"> systémového nástroje</w:t>
      </w:r>
      <w:r w:rsidR="73C9F058" w:rsidRPr="3A4C9812">
        <w:rPr>
          <w:rFonts w:asciiTheme="minorHAnsi" w:eastAsiaTheme="minorEastAsia" w:hAnsiTheme="minorHAnsi" w:cstheme="minorBidi"/>
          <w:i w:val="0"/>
          <w:iCs w:val="0"/>
          <w:color w:val="auto"/>
          <w:sz w:val="20"/>
          <w:szCs w:val="20"/>
        </w:rPr>
        <w:t>, kterým je nový program</w:t>
      </w:r>
      <w:r w:rsidR="56812C79" w:rsidRPr="3A4C9812">
        <w:rPr>
          <w:rFonts w:asciiTheme="minorHAnsi" w:eastAsiaTheme="minorEastAsia" w:hAnsiTheme="minorHAnsi" w:cstheme="minorBidi"/>
          <w:i w:val="0"/>
          <w:iCs w:val="0"/>
          <w:color w:val="auto"/>
          <w:sz w:val="20"/>
          <w:szCs w:val="20"/>
        </w:rPr>
        <w:t xml:space="preserve"> podpor</w:t>
      </w:r>
      <w:r w:rsidR="73C9F058" w:rsidRPr="3A4C9812">
        <w:rPr>
          <w:rFonts w:asciiTheme="minorHAnsi" w:eastAsiaTheme="minorEastAsia" w:hAnsiTheme="minorHAnsi" w:cstheme="minorBidi"/>
          <w:i w:val="0"/>
          <w:iCs w:val="0"/>
          <w:color w:val="auto"/>
          <w:sz w:val="20"/>
          <w:szCs w:val="20"/>
        </w:rPr>
        <w:t>y</w:t>
      </w:r>
      <w:r w:rsidR="56812C79" w:rsidRPr="3A4C9812">
        <w:rPr>
          <w:rFonts w:asciiTheme="minorHAnsi" w:eastAsiaTheme="minorEastAsia" w:hAnsiTheme="minorHAnsi" w:cstheme="minorBidi"/>
          <w:i w:val="0"/>
          <w:iCs w:val="0"/>
          <w:color w:val="auto"/>
          <w:sz w:val="20"/>
          <w:szCs w:val="20"/>
        </w:rPr>
        <w:t xml:space="preserve"> excelentního </w:t>
      </w:r>
      <w:r w:rsidR="46634AA8" w:rsidRPr="3A4C9812">
        <w:rPr>
          <w:rFonts w:asciiTheme="minorHAnsi" w:eastAsiaTheme="minorEastAsia" w:hAnsiTheme="minorHAnsi" w:cstheme="minorBidi"/>
          <w:i w:val="0"/>
          <w:iCs w:val="0"/>
          <w:color w:val="auto"/>
          <w:sz w:val="20"/>
          <w:szCs w:val="20"/>
        </w:rPr>
        <w:t xml:space="preserve">výzkumu </w:t>
      </w:r>
      <w:r w:rsidR="11C4B70F" w:rsidRPr="3A4C9812">
        <w:rPr>
          <w:rFonts w:asciiTheme="minorHAnsi" w:eastAsiaTheme="minorEastAsia" w:hAnsiTheme="minorHAnsi" w:cstheme="minorBidi"/>
          <w:i w:val="0"/>
          <w:iCs w:val="0"/>
          <w:color w:val="auto"/>
          <w:sz w:val="20"/>
          <w:szCs w:val="20"/>
        </w:rPr>
        <w:t>v </w:t>
      </w:r>
      <w:r w:rsidR="56812C79" w:rsidRPr="3A4C9812">
        <w:rPr>
          <w:rFonts w:asciiTheme="minorHAnsi" w:eastAsiaTheme="minorEastAsia" w:hAnsiTheme="minorHAnsi" w:cstheme="minorBidi"/>
          <w:i w:val="0"/>
          <w:iCs w:val="0"/>
          <w:color w:val="auto"/>
          <w:sz w:val="20"/>
          <w:szCs w:val="20"/>
        </w:rPr>
        <w:t xml:space="preserve">prioritních lékařských vědách </w:t>
      </w:r>
      <w:r w:rsidR="11C4B70F" w:rsidRPr="3A4C9812">
        <w:rPr>
          <w:rFonts w:asciiTheme="minorHAnsi" w:eastAsiaTheme="minorEastAsia" w:hAnsiTheme="minorHAnsi" w:cstheme="minorBidi"/>
          <w:i w:val="0"/>
          <w:iCs w:val="0"/>
          <w:color w:val="auto"/>
          <w:sz w:val="20"/>
          <w:szCs w:val="20"/>
        </w:rPr>
        <w:t>a </w:t>
      </w:r>
      <w:r w:rsidR="56812C79" w:rsidRPr="3A4C9812">
        <w:rPr>
          <w:rFonts w:asciiTheme="minorHAnsi" w:eastAsiaTheme="minorEastAsia" w:hAnsiTheme="minorHAnsi" w:cstheme="minorBidi"/>
          <w:i w:val="0"/>
          <w:iCs w:val="0"/>
          <w:color w:val="auto"/>
          <w:sz w:val="20"/>
          <w:szCs w:val="20"/>
        </w:rPr>
        <w:t>souvisejících společenskovědních disciplínách, koncipovan</w:t>
      </w:r>
      <w:r w:rsidR="73C9F058" w:rsidRPr="3A4C9812">
        <w:rPr>
          <w:rFonts w:asciiTheme="minorHAnsi" w:eastAsiaTheme="minorEastAsia" w:hAnsiTheme="minorHAnsi" w:cstheme="minorBidi"/>
          <w:i w:val="0"/>
          <w:iCs w:val="0"/>
          <w:color w:val="auto"/>
          <w:sz w:val="20"/>
          <w:szCs w:val="20"/>
        </w:rPr>
        <w:t>ý</w:t>
      </w:r>
      <w:r w:rsidR="56812C79" w:rsidRPr="3A4C9812">
        <w:rPr>
          <w:rFonts w:asciiTheme="minorHAnsi" w:eastAsiaTheme="minorEastAsia" w:hAnsiTheme="minorHAnsi" w:cstheme="minorBidi"/>
          <w:i w:val="0"/>
          <w:iCs w:val="0"/>
          <w:color w:val="auto"/>
          <w:sz w:val="20"/>
          <w:szCs w:val="20"/>
        </w:rPr>
        <w:t xml:space="preserve"> na</w:t>
      </w:r>
      <w:r w:rsidR="5DA11185" w:rsidRPr="3A4C9812">
        <w:rPr>
          <w:rFonts w:asciiTheme="minorHAnsi" w:eastAsiaTheme="minorEastAsia" w:hAnsiTheme="minorHAnsi" w:cstheme="minorBidi"/>
          <w:i w:val="0"/>
          <w:iCs w:val="0"/>
          <w:color w:val="auto"/>
          <w:sz w:val="20"/>
          <w:szCs w:val="20"/>
        </w:rPr>
        <w:t> </w:t>
      </w:r>
      <w:r w:rsidR="56812C79" w:rsidRPr="3A4C9812">
        <w:rPr>
          <w:rFonts w:asciiTheme="minorHAnsi" w:eastAsiaTheme="minorEastAsia" w:hAnsiTheme="minorHAnsi" w:cstheme="minorBidi"/>
          <w:i w:val="0"/>
          <w:iCs w:val="0"/>
          <w:color w:val="auto"/>
          <w:sz w:val="20"/>
          <w:szCs w:val="20"/>
        </w:rPr>
        <w:t xml:space="preserve">principech zák. č. 130/2002 Sb. </w:t>
      </w:r>
      <w:r w:rsidR="11C4B70F" w:rsidRPr="3A4C9812">
        <w:rPr>
          <w:rFonts w:asciiTheme="minorHAnsi" w:eastAsiaTheme="minorEastAsia" w:hAnsiTheme="minorHAnsi" w:cstheme="minorBidi"/>
          <w:i w:val="0"/>
          <w:iCs w:val="0"/>
          <w:color w:val="auto"/>
          <w:sz w:val="20"/>
          <w:szCs w:val="20"/>
        </w:rPr>
        <w:t>a </w:t>
      </w:r>
      <w:r w:rsidR="56812C79" w:rsidRPr="3A4C9812">
        <w:rPr>
          <w:rFonts w:asciiTheme="minorHAnsi" w:eastAsiaTheme="minorEastAsia" w:hAnsiTheme="minorHAnsi" w:cstheme="minorBidi"/>
          <w:i w:val="0"/>
          <w:iCs w:val="0"/>
          <w:color w:val="auto"/>
          <w:sz w:val="20"/>
          <w:szCs w:val="20"/>
        </w:rPr>
        <w:t>nařízení Komise č. 651/2014 (GBER)</w:t>
      </w:r>
      <w:r w:rsidR="13206BB6" w:rsidRPr="3A4C9812">
        <w:rPr>
          <w:rFonts w:asciiTheme="minorHAnsi" w:eastAsiaTheme="minorEastAsia" w:hAnsiTheme="minorHAnsi" w:cstheme="minorBidi"/>
          <w:i w:val="0"/>
          <w:iCs w:val="0"/>
          <w:color w:val="auto"/>
          <w:sz w:val="20"/>
          <w:szCs w:val="20"/>
        </w:rPr>
        <w:t xml:space="preserve"> a jeho implementaci až do uzavření smluv o poskytnutí podpory jednotlivým projektům </w:t>
      </w:r>
      <w:proofErr w:type="spellStart"/>
      <w:r w:rsidR="13206BB6" w:rsidRPr="3A4C9812">
        <w:rPr>
          <w:rFonts w:asciiTheme="minorHAnsi" w:eastAsiaTheme="minorEastAsia" w:hAnsiTheme="minorHAnsi" w:cstheme="minorBidi"/>
          <w:i w:val="0"/>
          <w:iCs w:val="0"/>
          <w:color w:val="auto"/>
          <w:sz w:val="20"/>
          <w:szCs w:val="20"/>
        </w:rPr>
        <w:t>VaVaI</w:t>
      </w:r>
      <w:proofErr w:type="spellEnd"/>
      <w:r w:rsidR="4A62A854" w:rsidRPr="3A4C9812">
        <w:rPr>
          <w:rFonts w:asciiTheme="minorHAnsi" w:eastAsiaTheme="minorEastAsia" w:hAnsiTheme="minorHAnsi" w:cstheme="minorBidi"/>
          <w:i w:val="0"/>
          <w:iCs w:val="0"/>
          <w:color w:val="auto"/>
          <w:sz w:val="20"/>
          <w:szCs w:val="20"/>
        </w:rPr>
        <w:t>.</w:t>
      </w:r>
      <w:r w:rsidR="229883BA" w:rsidRPr="3A4C9812">
        <w:rPr>
          <w:rFonts w:asciiTheme="minorHAnsi" w:eastAsiaTheme="minorEastAsia" w:hAnsiTheme="minorHAnsi" w:cstheme="minorBidi"/>
          <w:i w:val="0"/>
          <w:iCs w:val="0"/>
          <w:color w:val="auto"/>
          <w:sz w:val="20"/>
          <w:szCs w:val="20"/>
        </w:rPr>
        <w:t xml:space="preserve"> Součástí je také </w:t>
      </w:r>
      <w:r w:rsidR="4A62A854" w:rsidRPr="3A4C9812">
        <w:rPr>
          <w:rFonts w:asciiTheme="minorHAnsi" w:eastAsiaTheme="minorEastAsia" w:hAnsiTheme="minorHAnsi" w:cstheme="minorBidi"/>
          <w:i w:val="0"/>
          <w:iCs w:val="0"/>
          <w:color w:val="auto"/>
          <w:sz w:val="20"/>
          <w:szCs w:val="20"/>
        </w:rPr>
        <w:t xml:space="preserve">naplnění </w:t>
      </w:r>
      <w:r w:rsidR="5DA11185" w:rsidRPr="3A4C9812">
        <w:rPr>
          <w:rFonts w:asciiTheme="minorHAnsi" w:eastAsiaTheme="minorEastAsia" w:hAnsiTheme="minorHAnsi" w:cstheme="minorBidi"/>
          <w:i w:val="0"/>
          <w:iCs w:val="0"/>
          <w:color w:val="auto"/>
          <w:sz w:val="20"/>
          <w:szCs w:val="20"/>
        </w:rPr>
        <w:t>potřebn</w:t>
      </w:r>
      <w:r w:rsidR="73C9F058" w:rsidRPr="3A4C9812">
        <w:rPr>
          <w:rFonts w:asciiTheme="minorHAnsi" w:eastAsiaTheme="minorEastAsia" w:hAnsiTheme="minorHAnsi" w:cstheme="minorBidi"/>
          <w:i w:val="0"/>
          <w:iCs w:val="0"/>
          <w:color w:val="auto"/>
          <w:sz w:val="20"/>
          <w:szCs w:val="20"/>
        </w:rPr>
        <w:t>ých</w:t>
      </w:r>
      <w:r w:rsidR="5DA11185" w:rsidRPr="3A4C9812">
        <w:rPr>
          <w:rFonts w:asciiTheme="minorHAnsi" w:eastAsiaTheme="minorEastAsia" w:hAnsiTheme="minorHAnsi" w:cstheme="minorBidi"/>
          <w:i w:val="0"/>
          <w:iCs w:val="0"/>
          <w:color w:val="auto"/>
          <w:sz w:val="20"/>
          <w:szCs w:val="20"/>
        </w:rPr>
        <w:t xml:space="preserve"> </w:t>
      </w:r>
      <w:r w:rsidR="7C63463A" w:rsidRPr="3A4C9812">
        <w:rPr>
          <w:rFonts w:asciiTheme="minorHAnsi" w:eastAsiaTheme="minorEastAsia" w:hAnsiTheme="minorHAnsi" w:cstheme="minorBidi"/>
          <w:i w:val="0"/>
          <w:iCs w:val="0"/>
          <w:color w:val="auto"/>
          <w:sz w:val="20"/>
          <w:szCs w:val="20"/>
        </w:rPr>
        <w:t>schvalovací</w:t>
      </w:r>
      <w:r w:rsidR="73C9F058" w:rsidRPr="3A4C9812">
        <w:rPr>
          <w:rFonts w:asciiTheme="minorHAnsi" w:eastAsiaTheme="minorEastAsia" w:hAnsiTheme="minorHAnsi" w:cstheme="minorBidi"/>
          <w:i w:val="0"/>
          <w:iCs w:val="0"/>
          <w:color w:val="auto"/>
          <w:sz w:val="20"/>
          <w:szCs w:val="20"/>
        </w:rPr>
        <w:t>ch</w:t>
      </w:r>
      <w:r w:rsidR="7C63463A" w:rsidRPr="3A4C9812">
        <w:rPr>
          <w:rFonts w:asciiTheme="minorHAnsi" w:eastAsiaTheme="minorEastAsia" w:hAnsiTheme="minorHAnsi" w:cstheme="minorBidi"/>
          <w:i w:val="0"/>
          <w:iCs w:val="0"/>
          <w:color w:val="auto"/>
          <w:sz w:val="20"/>
          <w:szCs w:val="20"/>
        </w:rPr>
        <w:t xml:space="preserve"> proces</w:t>
      </w:r>
      <w:r w:rsidR="73C9F058" w:rsidRPr="3A4C9812">
        <w:rPr>
          <w:rFonts w:asciiTheme="minorHAnsi" w:eastAsiaTheme="minorEastAsia" w:hAnsiTheme="minorHAnsi" w:cstheme="minorBidi"/>
          <w:i w:val="0"/>
          <w:iCs w:val="0"/>
          <w:color w:val="auto"/>
          <w:sz w:val="20"/>
          <w:szCs w:val="20"/>
        </w:rPr>
        <w:t>ů</w:t>
      </w:r>
      <w:r w:rsidR="7C63463A" w:rsidRPr="3A4C9812">
        <w:rPr>
          <w:rFonts w:asciiTheme="minorHAnsi" w:eastAsiaTheme="minorEastAsia" w:hAnsiTheme="minorHAnsi" w:cstheme="minorBidi"/>
          <w:i w:val="0"/>
          <w:iCs w:val="0"/>
          <w:color w:val="auto"/>
          <w:sz w:val="20"/>
          <w:szCs w:val="20"/>
        </w:rPr>
        <w:t xml:space="preserve"> ve vnitřním </w:t>
      </w:r>
      <w:r w:rsidR="11C4B70F" w:rsidRPr="3A4C9812">
        <w:rPr>
          <w:rFonts w:asciiTheme="minorHAnsi" w:eastAsiaTheme="minorEastAsia" w:hAnsiTheme="minorHAnsi" w:cstheme="minorBidi"/>
          <w:i w:val="0"/>
          <w:iCs w:val="0"/>
          <w:color w:val="auto"/>
          <w:sz w:val="20"/>
          <w:szCs w:val="20"/>
        </w:rPr>
        <w:t>i </w:t>
      </w:r>
      <w:r w:rsidR="7C63463A" w:rsidRPr="3A4C9812">
        <w:rPr>
          <w:rFonts w:asciiTheme="minorHAnsi" w:eastAsiaTheme="minorEastAsia" w:hAnsiTheme="minorHAnsi" w:cstheme="minorBidi"/>
          <w:i w:val="0"/>
          <w:iCs w:val="0"/>
          <w:color w:val="auto"/>
          <w:sz w:val="20"/>
          <w:szCs w:val="20"/>
        </w:rPr>
        <w:t xml:space="preserve">vnějším připomínkovém řízení, ex-ante hodnocení </w:t>
      </w:r>
      <w:r w:rsidR="11C4B70F" w:rsidRPr="3A4C9812">
        <w:rPr>
          <w:rFonts w:asciiTheme="minorHAnsi" w:eastAsiaTheme="minorEastAsia" w:hAnsiTheme="minorHAnsi" w:cstheme="minorBidi"/>
          <w:i w:val="0"/>
          <w:iCs w:val="0"/>
          <w:color w:val="auto"/>
          <w:sz w:val="20"/>
          <w:szCs w:val="20"/>
        </w:rPr>
        <w:t>i </w:t>
      </w:r>
      <w:r w:rsidR="7C63463A" w:rsidRPr="3A4C9812">
        <w:rPr>
          <w:rFonts w:asciiTheme="minorHAnsi" w:eastAsiaTheme="minorEastAsia" w:hAnsiTheme="minorHAnsi" w:cstheme="minorBidi"/>
          <w:i w:val="0"/>
          <w:iCs w:val="0"/>
          <w:color w:val="auto"/>
          <w:sz w:val="20"/>
          <w:szCs w:val="20"/>
        </w:rPr>
        <w:t>projednání na</w:t>
      </w:r>
      <w:r w:rsidR="5DA11185" w:rsidRPr="3A4C9812">
        <w:rPr>
          <w:rFonts w:asciiTheme="minorHAnsi" w:eastAsiaTheme="minorEastAsia" w:hAnsiTheme="minorHAnsi" w:cstheme="minorBidi"/>
          <w:i w:val="0"/>
          <w:iCs w:val="0"/>
          <w:color w:val="auto"/>
          <w:sz w:val="20"/>
          <w:szCs w:val="20"/>
        </w:rPr>
        <w:t> </w:t>
      </w:r>
      <w:r w:rsidR="7C63463A" w:rsidRPr="3A4C9812">
        <w:rPr>
          <w:rFonts w:asciiTheme="minorHAnsi" w:eastAsiaTheme="minorEastAsia" w:hAnsiTheme="minorHAnsi" w:cstheme="minorBidi"/>
          <w:i w:val="0"/>
          <w:iCs w:val="0"/>
          <w:color w:val="auto"/>
          <w:sz w:val="20"/>
          <w:szCs w:val="20"/>
        </w:rPr>
        <w:t xml:space="preserve">úrovni Rady pro výzkum, vývoj </w:t>
      </w:r>
      <w:r w:rsidR="11C4B70F" w:rsidRPr="3A4C9812">
        <w:rPr>
          <w:rFonts w:asciiTheme="minorHAnsi" w:eastAsiaTheme="minorEastAsia" w:hAnsiTheme="minorHAnsi" w:cstheme="minorBidi"/>
          <w:i w:val="0"/>
          <w:iCs w:val="0"/>
          <w:color w:val="auto"/>
          <w:sz w:val="20"/>
          <w:szCs w:val="20"/>
        </w:rPr>
        <w:t>a </w:t>
      </w:r>
      <w:r w:rsidR="7C63463A" w:rsidRPr="3A4C9812">
        <w:rPr>
          <w:rFonts w:asciiTheme="minorHAnsi" w:eastAsiaTheme="minorEastAsia" w:hAnsiTheme="minorHAnsi" w:cstheme="minorBidi"/>
          <w:i w:val="0"/>
          <w:iCs w:val="0"/>
          <w:color w:val="auto"/>
          <w:sz w:val="20"/>
          <w:szCs w:val="20"/>
        </w:rPr>
        <w:t xml:space="preserve">inovace ČR, </w:t>
      </w:r>
      <w:r w:rsidR="46634AA8" w:rsidRPr="3A4C9812">
        <w:rPr>
          <w:rFonts w:asciiTheme="minorHAnsi" w:eastAsiaTheme="minorEastAsia" w:hAnsiTheme="minorHAnsi" w:cstheme="minorBidi"/>
          <w:i w:val="0"/>
          <w:iCs w:val="0"/>
          <w:color w:val="auto"/>
          <w:sz w:val="20"/>
          <w:szCs w:val="20"/>
        </w:rPr>
        <w:t xml:space="preserve">které probíhají souběžně, </w:t>
      </w:r>
      <w:r w:rsidR="5DA11185" w:rsidRPr="3A4C9812">
        <w:rPr>
          <w:rFonts w:asciiTheme="minorHAnsi" w:eastAsiaTheme="minorEastAsia" w:hAnsiTheme="minorHAnsi" w:cstheme="minorBidi"/>
          <w:i w:val="0"/>
          <w:iCs w:val="0"/>
          <w:color w:val="auto"/>
          <w:sz w:val="20"/>
          <w:szCs w:val="20"/>
        </w:rPr>
        <w:t xml:space="preserve">zjištění </w:t>
      </w:r>
      <w:r w:rsidR="7C63463A" w:rsidRPr="3A4C9812">
        <w:rPr>
          <w:rFonts w:asciiTheme="minorHAnsi" w:eastAsiaTheme="minorEastAsia" w:hAnsiTheme="minorHAnsi" w:cstheme="minorBidi"/>
          <w:i w:val="0"/>
          <w:iCs w:val="0"/>
          <w:color w:val="auto"/>
          <w:sz w:val="20"/>
          <w:szCs w:val="20"/>
        </w:rPr>
        <w:t>vlastní alokac</w:t>
      </w:r>
      <w:r w:rsidR="5DA11185" w:rsidRPr="3A4C9812">
        <w:rPr>
          <w:rFonts w:asciiTheme="minorHAnsi" w:eastAsiaTheme="minorEastAsia" w:hAnsiTheme="minorHAnsi" w:cstheme="minorBidi"/>
          <w:i w:val="0"/>
          <w:iCs w:val="0"/>
          <w:color w:val="auto"/>
          <w:sz w:val="20"/>
          <w:szCs w:val="20"/>
        </w:rPr>
        <w:t>e</w:t>
      </w:r>
      <w:r w:rsidR="7C63463A" w:rsidRPr="3A4C9812">
        <w:rPr>
          <w:rFonts w:asciiTheme="minorHAnsi" w:eastAsiaTheme="minorEastAsia" w:hAnsiTheme="minorHAnsi" w:cstheme="minorBidi"/>
          <w:i w:val="0"/>
          <w:iCs w:val="0"/>
          <w:color w:val="auto"/>
          <w:sz w:val="20"/>
          <w:szCs w:val="20"/>
        </w:rPr>
        <w:t xml:space="preserve"> prostředků</w:t>
      </w:r>
      <w:r w:rsidRPr="3A4C9812">
        <w:rPr>
          <w:rFonts w:asciiTheme="minorHAnsi" w:eastAsiaTheme="minorEastAsia" w:hAnsiTheme="minorHAnsi" w:cstheme="minorBidi"/>
          <w:i w:val="0"/>
          <w:iCs w:val="0"/>
          <w:color w:val="auto"/>
          <w:sz w:val="20"/>
          <w:szCs w:val="20"/>
        </w:rPr>
        <w:t xml:space="preserve"> a vlastní implementaci programu. Ta spočívá mimo jiné ve </w:t>
      </w:r>
      <w:r w:rsidR="4A62A854" w:rsidRPr="3A4C9812">
        <w:rPr>
          <w:rFonts w:asciiTheme="minorHAnsi" w:eastAsiaTheme="minorEastAsia" w:hAnsiTheme="minorHAnsi" w:cstheme="minorBidi"/>
          <w:i w:val="0"/>
          <w:iCs w:val="0"/>
          <w:color w:val="auto"/>
          <w:sz w:val="20"/>
          <w:szCs w:val="20"/>
        </w:rPr>
        <w:t xml:space="preserve">zpracování a schválení zadávací dokumentace, vyhlášení veřejné soutěže ve </w:t>
      </w:r>
      <w:proofErr w:type="spellStart"/>
      <w:r w:rsidR="4A62A854" w:rsidRPr="3A4C9812">
        <w:rPr>
          <w:rFonts w:asciiTheme="minorHAnsi" w:eastAsiaTheme="minorEastAsia" w:hAnsiTheme="minorHAnsi" w:cstheme="minorBidi"/>
          <w:i w:val="0"/>
          <w:iCs w:val="0"/>
          <w:color w:val="auto"/>
          <w:sz w:val="20"/>
          <w:szCs w:val="20"/>
        </w:rPr>
        <w:t>VaVaI</w:t>
      </w:r>
      <w:proofErr w:type="spellEnd"/>
      <w:r w:rsidR="4A62A854" w:rsidRPr="3A4C9812">
        <w:rPr>
          <w:rFonts w:asciiTheme="minorHAnsi" w:eastAsiaTheme="minorEastAsia" w:hAnsiTheme="minorHAnsi" w:cstheme="minorBidi"/>
          <w:i w:val="0"/>
          <w:iCs w:val="0"/>
          <w:color w:val="auto"/>
          <w:sz w:val="20"/>
          <w:szCs w:val="20"/>
        </w:rPr>
        <w:t xml:space="preserve"> pro program </w:t>
      </w:r>
      <w:proofErr w:type="spellStart"/>
      <w:r w:rsidR="4A62A854" w:rsidRPr="3A4C9812">
        <w:rPr>
          <w:rFonts w:asciiTheme="minorHAnsi" w:eastAsiaTheme="minorEastAsia" w:hAnsiTheme="minorHAnsi" w:cstheme="minorBidi"/>
          <w:i w:val="0"/>
          <w:iCs w:val="0"/>
          <w:color w:val="auto"/>
          <w:sz w:val="20"/>
          <w:szCs w:val="20"/>
        </w:rPr>
        <w:t>VaVaI</w:t>
      </w:r>
      <w:proofErr w:type="spellEnd"/>
      <w:r w:rsidR="4A62A854" w:rsidRPr="3A4C9812">
        <w:rPr>
          <w:rFonts w:asciiTheme="minorHAnsi" w:eastAsiaTheme="minorEastAsia" w:hAnsiTheme="minorHAnsi" w:cstheme="minorBidi"/>
          <w:i w:val="0"/>
          <w:iCs w:val="0"/>
          <w:color w:val="auto"/>
          <w:sz w:val="20"/>
          <w:szCs w:val="20"/>
        </w:rPr>
        <w:t xml:space="preserve"> podle zák. č.</w:t>
      </w:r>
      <w:r w:rsidR="46634AA8" w:rsidRPr="3A4C9812">
        <w:rPr>
          <w:rFonts w:asciiTheme="minorHAnsi" w:eastAsiaTheme="minorEastAsia" w:hAnsiTheme="minorHAnsi" w:cstheme="minorBidi"/>
          <w:i w:val="0"/>
          <w:iCs w:val="0"/>
          <w:color w:val="auto"/>
          <w:sz w:val="20"/>
          <w:szCs w:val="20"/>
        </w:rPr>
        <w:t> </w:t>
      </w:r>
      <w:r w:rsidR="4A62A854" w:rsidRPr="3A4C9812">
        <w:rPr>
          <w:rFonts w:asciiTheme="minorHAnsi" w:eastAsiaTheme="minorEastAsia" w:hAnsiTheme="minorHAnsi" w:cstheme="minorBidi"/>
          <w:i w:val="0"/>
          <w:iCs w:val="0"/>
          <w:color w:val="auto"/>
          <w:sz w:val="20"/>
          <w:szCs w:val="20"/>
        </w:rPr>
        <w:t xml:space="preserve">130/2002 Sb., </w:t>
      </w:r>
      <w:r w:rsidR="00EE7FCF" w:rsidRPr="3A4C9812">
        <w:rPr>
          <w:rFonts w:asciiTheme="minorHAnsi" w:eastAsiaTheme="minorEastAsia" w:hAnsiTheme="minorHAnsi" w:cstheme="minorBidi"/>
          <w:i w:val="0"/>
          <w:iCs w:val="0"/>
          <w:color w:val="auto"/>
          <w:sz w:val="20"/>
          <w:szCs w:val="20"/>
        </w:rPr>
        <w:t xml:space="preserve">v transparentním výběru projektů, </w:t>
      </w:r>
      <w:r w:rsidR="4A62A854" w:rsidRPr="3A4C9812">
        <w:rPr>
          <w:rFonts w:asciiTheme="minorHAnsi" w:eastAsiaTheme="minorEastAsia" w:hAnsiTheme="minorHAnsi" w:cstheme="minorBidi"/>
          <w:i w:val="0"/>
          <w:iCs w:val="0"/>
          <w:color w:val="auto"/>
          <w:sz w:val="20"/>
          <w:szCs w:val="20"/>
        </w:rPr>
        <w:t>vyhlášení výsledků veřejné soutěže</w:t>
      </w:r>
      <w:r w:rsidR="1954386B" w:rsidRPr="3A4C9812">
        <w:rPr>
          <w:rFonts w:asciiTheme="minorHAnsi" w:eastAsiaTheme="minorEastAsia" w:hAnsiTheme="minorHAnsi" w:cstheme="minorBidi"/>
          <w:i w:val="0"/>
          <w:iCs w:val="0"/>
          <w:color w:val="auto"/>
          <w:sz w:val="20"/>
          <w:szCs w:val="20"/>
        </w:rPr>
        <w:t xml:space="preserve">, přijetí </w:t>
      </w:r>
      <w:r w:rsidR="733B0339" w:rsidRPr="3A4C9812">
        <w:rPr>
          <w:rFonts w:asciiTheme="minorHAnsi" w:eastAsiaTheme="minorEastAsia" w:hAnsiTheme="minorHAnsi" w:cstheme="minorBidi"/>
          <w:i w:val="0"/>
          <w:iCs w:val="0"/>
          <w:color w:val="auto"/>
          <w:sz w:val="20"/>
          <w:szCs w:val="20"/>
        </w:rPr>
        <w:t xml:space="preserve">programových a projektových </w:t>
      </w:r>
      <w:r w:rsidR="1954386B" w:rsidRPr="3A4C9812">
        <w:rPr>
          <w:rFonts w:asciiTheme="minorHAnsi" w:eastAsiaTheme="minorEastAsia" w:hAnsiTheme="minorHAnsi" w:cstheme="minorBidi"/>
          <w:i w:val="0"/>
          <w:iCs w:val="0"/>
          <w:color w:val="auto"/>
          <w:sz w:val="20"/>
          <w:szCs w:val="20"/>
        </w:rPr>
        <w:t xml:space="preserve">závazků </w:t>
      </w:r>
      <w:r w:rsidR="733B0339" w:rsidRPr="3A4C9812">
        <w:rPr>
          <w:rFonts w:asciiTheme="minorHAnsi" w:eastAsiaTheme="minorEastAsia" w:hAnsiTheme="minorHAnsi" w:cstheme="minorBidi"/>
          <w:i w:val="0"/>
          <w:iCs w:val="0"/>
          <w:color w:val="auto"/>
          <w:sz w:val="20"/>
          <w:szCs w:val="20"/>
        </w:rPr>
        <w:t xml:space="preserve">a podmínek pro poskytnutí podpory ze strany vítězů soutěže, </w:t>
      </w:r>
      <w:r w:rsidR="1954386B" w:rsidRPr="3A4C9812">
        <w:rPr>
          <w:rFonts w:asciiTheme="minorHAnsi" w:eastAsiaTheme="minorEastAsia" w:hAnsiTheme="minorHAnsi" w:cstheme="minorBidi"/>
          <w:i w:val="0"/>
          <w:iCs w:val="0"/>
          <w:color w:val="auto"/>
          <w:sz w:val="20"/>
          <w:szCs w:val="20"/>
        </w:rPr>
        <w:t xml:space="preserve">zahrnující spolupráci relevantních universit, veřejných výzkumných institucí a dalších veřejných i soukromých subjektů zajišťujících potřebný transfer znalostí, </w:t>
      </w:r>
      <w:r w:rsidR="733B0339" w:rsidRPr="3A4C9812">
        <w:rPr>
          <w:rFonts w:asciiTheme="minorHAnsi" w:eastAsiaTheme="minorEastAsia" w:hAnsiTheme="minorHAnsi" w:cstheme="minorBidi"/>
          <w:i w:val="0"/>
          <w:iCs w:val="0"/>
          <w:color w:val="auto"/>
          <w:sz w:val="20"/>
          <w:szCs w:val="20"/>
        </w:rPr>
        <w:t xml:space="preserve">vlastní výzkumné aktivity v projektu a cíle projektu, pravidelný meziroční monitoring, kontroly čerpání prostředků a evaluace projektových výstupů a výsledků </w:t>
      </w:r>
      <w:proofErr w:type="spellStart"/>
      <w:r w:rsidR="733B0339" w:rsidRPr="3A4C9812">
        <w:rPr>
          <w:rFonts w:asciiTheme="minorHAnsi" w:eastAsiaTheme="minorEastAsia" w:hAnsiTheme="minorHAnsi" w:cstheme="minorBidi"/>
          <w:i w:val="0"/>
          <w:iCs w:val="0"/>
          <w:color w:val="auto"/>
          <w:sz w:val="20"/>
          <w:szCs w:val="20"/>
        </w:rPr>
        <w:t>VaVaI</w:t>
      </w:r>
      <w:proofErr w:type="spellEnd"/>
      <w:r w:rsidR="733B0339" w:rsidRPr="3A4C9812">
        <w:rPr>
          <w:rFonts w:asciiTheme="minorHAnsi" w:eastAsiaTheme="minorEastAsia" w:hAnsiTheme="minorHAnsi" w:cstheme="minorBidi"/>
          <w:i w:val="0"/>
          <w:iCs w:val="0"/>
          <w:color w:val="auto"/>
          <w:sz w:val="20"/>
          <w:szCs w:val="20"/>
        </w:rPr>
        <w:t xml:space="preserve">. Po podpisu smluv na implementace projektů v programu s příjemci podpory bude zahájena vlastní realizace výzkumných projektových aktivit, ustaveny mezinárodních expertních rady, které budou dozorovat kvalitu a zaměření prováděného výzkumu (International </w:t>
      </w:r>
      <w:proofErr w:type="spellStart"/>
      <w:r w:rsidR="733B0339" w:rsidRPr="3A4C9812">
        <w:rPr>
          <w:rFonts w:asciiTheme="minorHAnsi" w:eastAsiaTheme="minorEastAsia" w:hAnsiTheme="minorHAnsi" w:cstheme="minorBidi"/>
          <w:i w:val="0"/>
          <w:iCs w:val="0"/>
          <w:color w:val="auto"/>
          <w:sz w:val="20"/>
          <w:szCs w:val="20"/>
        </w:rPr>
        <w:t>supervisory</w:t>
      </w:r>
      <w:proofErr w:type="spellEnd"/>
      <w:r w:rsidR="733B0339" w:rsidRPr="3A4C9812">
        <w:rPr>
          <w:rFonts w:asciiTheme="minorHAnsi" w:eastAsiaTheme="minorEastAsia" w:hAnsiTheme="minorHAnsi" w:cstheme="minorBidi"/>
          <w:i w:val="0"/>
          <w:iCs w:val="0"/>
          <w:color w:val="auto"/>
          <w:sz w:val="20"/>
          <w:szCs w:val="20"/>
        </w:rPr>
        <w:t xml:space="preserve"> and </w:t>
      </w:r>
      <w:proofErr w:type="spellStart"/>
      <w:r w:rsidR="733B0339" w:rsidRPr="3A4C9812">
        <w:rPr>
          <w:rFonts w:asciiTheme="minorHAnsi" w:eastAsiaTheme="minorEastAsia" w:hAnsiTheme="minorHAnsi" w:cstheme="minorBidi"/>
          <w:i w:val="0"/>
          <w:iCs w:val="0"/>
          <w:color w:val="auto"/>
          <w:sz w:val="20"/>
          <w:szCs w:val="20"/>
        </w:rPr>
        <w:t>advisory</w:t>
      </w:r>
      <w:proofErr w:type="spellEnd"/>
      <w:r w:rsidR="733B0339" w:rsidRPr="3A4C9812">
        <w:rPr>
          <w:rFonts w:asciiTheme="minorHAnsi" w:eastAsiaTheme="minorEastAsia" w:hAnsiTheme="minorHAnsi" w:cstheme="minorBidi"/>
          <w:i w:val="0"/>
          <w:iCs w:val="0"/>
          <w:color w:val="auto"/>
          <w:sz w:val="20"/>
          <w:szCs w:val="20"/>
        </w:rPr>
        <w:t xml:space="preserve"> </w:t>
      </w:r>
      <w:proofErr w:type="spellStart"/>
      <w:proofErr w:type="gramStart"/>
      <w:r w:rsidR="733B0339" w:rsidRPr="3A4C9812">
        <w:rPr>
          <w:rFonts w:asciiTheme="minorHAnsi" w:eastAsiaTheme="minorEastAsia" w:hAnsiTheme="minorHAnsi" w:cstheme="minorBidi"/>
          <w:i w:val="0"/>
          <w:iCs w:val="0"/>
          <w:color w:val="auto"/>
          <w:sz w:val="20"/>
          <w:szCs w:val="20"/>
        </w:rPr>
        <w:t>boards</w:t>
      </w:r>
      <w:proofErr w:type="spellEnd"/>
      <w:r w:rsidR="733B0339" w:rsidRPr="3A4C9812">
        <w:rPr>
          <w:rFonts w:asciiTheme="minorHAnsi" w:eastAsiaTheme="minorEastAsia" w:hAnsiTheme="minorHAnsi" w:cstheme="minorBidi"/>
          <w:i w:val="0"/>
          <w:iCs w:val="0"/>
          <w:color w:val="auto"/>
          <w:sz w:val="20"/>
          <w:szCs w:val="20"/>
        </w:rPr>
        <w:t xml:space="preserve"> -ISAB</w:t>
      </w:r>
      <w:proofErr w:type="gramEnd"/>
      <w:r w:rsidR="733B0339" w:rsidRPr="3A4C9812">
        <w:rPr>
          <w:rFonts w:asciiTheme="minorHAnsi" w:eastAsiaTheme="minorEastAsia" w:hAnsiTheme="minorHAnsi" w:cstheme="minorBidi"/>
          <w:i w:val="0"/>
          <w:iCs w:val="0"/>
          <w:color w:val="auto"/>
          <w:sz w:val="20"/>
          <w:szCs w:val="20"/>
        </w:rPr>
        <w:t xml:space="preserve">) a bude zahájeno i poskytování podpory. </w:t>
      </w:r>
    </w:p>
    <w:p w14:paraId="34A01F33" w14:textId="0AAD354F" w:rsidR="00D727BA" w:rsidRPr="00992741" w:rsidRDefault="4A62A854"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 xml:space="preserve">Nový program na podporu excelentního </w:t>
      </w:r>
      <w:proofErr w:type="spellStart"/>
      <w:r w:rsidRPr="6C54F3A7">
        <w:rPr>
          <w:rFonts w:asciiTheme="minorHAnsi" w:eastAsiaTheme="minorEastAsia" w:hAnsiTheme="minorHAnsi" w:cstheme="minorBidi"/>
          <w:i w:val="0"/>
          <w:iCs w:val="0"/>
          <w:color w:val="auto"/>
          <w:sz w:val="20"/>
          <w:szCs w:val="20"/>
        </w:rPr>
        <w:t>VaV</w:t>
      </w:r>
      <w:proofErr w:type="spellEnd"/>
      <w:r w:rsidRPr="6C54F3A7">
        <w:rPr>
          <w:rFonts w:asciiTheme="minorHAnsi" w:eastAsiaTheme="minorEastAsia" w:hAnsiTheme="minorHAnsi" w:cstheme="minorBidi"/>
          <w:i w:val="0"/>
          <w:iCs w:val="0"/>
          <w:color w:val="auto"/>
          <w:sz w:val="20"/>
          <w:szCs w:val="20"/>
        </w:rPr>
        <w:t xml:space="preserve"> v prioritních lékařských vědách a souvisejících společenskovědních disciplínách byl již projednán se všemi </w:t>
      </w:r>
      <w:proofErr w:type="spellStart"/>
      <w:r w:rsidRPr="6C54F3A7">
        <w:rPr>
          <w:rFonts w:asciiTheme="minorHAnsi" w:eastAsiaTheme="minorEastAsia" w:hAnsiTheme="minorHAnsi" w:cstheme="minorBidi"/>
          <w:i w:val="0"/>
          <w:iCs w:val="0"/>
          <w:color w:val="auto"/>
          <w:sz w:val="20"/>
          <w:szCs w:val="20"/>
        </w:rPr>
        <w:t>stakeholdery</w:t>
      </w:r>
      <w:proofErr w:type="spellEnd"/>
      <w:r w:rsidRPr="6C54F3A7">
        <w:rPr>
          <w:rFonts w:asciiTheme="minorHAnsi" w:eastAsiaTheme="minorEastAsia" w:hAnsiTheme="minorHAnsi" w:cstheme="minorBidi"/>
          <w:i w:val="0"/>
          <w:iCs w:val="0"/>
          <w:color w:val="auto"/>
          <w:sz w:val="20"/>
          <w:szCs w:val="20"/>
        </w:rPr>
        <w:t xml:space="preserve"> a proběhly konzultace se</w:t>
      </w:r>
      <w:r w:rsidR="51F08B9C" w:rsidRPr="6C54F3A7">
        <w:rPr>
          <w:rFonts w:asciiTheme="minorHAnsi" w:eastAsiaTheme="minorEastAsia" w:hAnsiTheme="minorHAnsi" w:cstheme="minorBidi"/>
          <w:i w:val="0"/>
          <w:iCs w:val="0"/>
          <w:color w:val="auto"/>
          <w:sz w:val="20"/>
          <w:szCs w:val="20"/>
        </w:rPr>
        <w:t> </w:t>
      </w:r>
      <w:r w:rsidRPr="6C54F3A7">
        <w:rPr>
          <w:rFonts w:asciiTheme="minorHAnsi" w:eastAsiaTheme="minorEastAsia" w:hAnsiTheme="minorHAnsi" w:cstheme="minorBidi"/>
          <w:i w:val="0"/>
          <w:iCs w:val="0"/>
          <w:color w:val="auto"/>
          <w:sz w:val="20"/>
          <w:szCs w:val="20"/>
        </w:rPr>
        <w:t xml:space="preserve">zástupci akademické i aplikační sféry, se členy expertních komisí Rady vlády pro výzkum, vývoj a inovace a byla prověřena absorpční kapacita programu. </w:t>
      </w:r>
    </w:p>
    <w:p w14:paraId="62974BAC" w14:textId="77777777" w:rsidR="00773058" w:rsidRDefault="00773058" w:rsidP="6C54F3A7">
      <w:pPr>
        <w:pStyle w:val="K-TextInfo"/>
        <w:rPr>
          <w:rFonts w:asciiTheme="minorHAnsi" w:eastAsiaTheme="minorEastAsia" w:hAnsiTheme="minorHAnsi" w:cstheme="minorBidi"/>
          <w:i w:val="0"/>
          <w:iCs w:val="0"/>
          <w:color w:val="auto"/>
          <w:sz w:val="20"/>
          <w:szCs w:val="20"/>
        </w:rPr>
      </w:pPr>
    </w:p>
    <w:p w14:paraId="23519E6E" w14:textId="20003EDD" w:rsidR="00A35CE4" w:rsidRPr="00992741" w:rsidRDefault="56812C79" w:rsidP="3A4C9812">
      <w:pPr>
        <w:pStyle w:val="K-TextInfo"/>
        <w:rPr>
          <w:rFonts w:asciiTheme="minorHAnsi" w:eastAsiaTheme="minorEastAsia" w:hAnsiTheme="minorHAnsi" w:cstheme="minorBidi"/>
          <w:i w:val="0"/>
          <w:iCs w:val="0"/>
          <w:color w:val="auto"/>
          <w:sz w:val="20"/>
          <w:szCs w:val="20"/>
        </w:rPr>
      </w:pPr>
      <w:r w:rsidRPr="3A4C9812">
        <w:rPr>
          <w:rFonts w:asciiTheme="minorHAnsi" w:eastAsiaTheme="minorEastAsia" w:hAnsiTheme="minorHAnsi" w:cstheme="minorBidi"/>
          <w:i w:val="0"/>
          <w:iCs w:val="0"/>
          <w:color w:val="auto"/>
          <w:sz w:val="20"/>
          <w:szCs w:val="20"/>
        </w:rPr>
        <w:t xml:space="preserve">Cíl 2: </w:t>
      </w:r>
      <w:r w:rsidR="46EC52D1" w:rsidRPr="3A4C9812">
        <w:rPr>
          <w:rFonts w:asciiTheme="minorHAnsi" w:eastAsiaTheme="minorEastAsia" w:hAnsiTheme="minorHAnsi" w:cstheme="minorBidi"/>
          <w:i w:val="0"/>
          <w:iCs w:val="0"/>
          <w:color w:val="auto"/>
          <w:sz w:val="20"/>
          <w:szCs w:val="20"/>
        </w:rPr>
        <w:t>Potvrzení vzniku</w:t>
      </w:r>
      <w:r w:rsidR="5308B538" w:rsidRPr="3A4C9812">
        <w:rPr>
          <w:rFonts w:asciiTheme="minorHAnsi" w:eastAsiaTheme="minorEastAsia" w:hAnsiTheme="minorHAnsi" w:cstheme="minorBidi"/>
          <w:i w:val="0"/>
          <w:iCs w:val="0"/>
          <w:color w:val="auto"/>
          <w:sz w:val="20"/>
          <w:szCs w:val="20"/>
        </w:rPr>
        <w:t xml:space="preserve"> národních vědeckých autorit v oblastí výzkumu infekčních chorob, onkologie,</w:t>
      </w:r>
      <w:r w:rsidR="4A029092" w:rsidRPr="3A4C9812">
        <w:rPr>
          <w:rFonts w:asciiTheme="minorHAnsi" w:eastAsiaTheme="minorEastAsia" w:hAnsiTheme="minorHAnsi" w:cstheme="minorBidi"/>
          <w:i w:val="0"/>
          <w:iCs w:val="0"/>
          <w:color w:val="auto"/>
          <w:sz w:val="20"/>
          <w:szCs w:val="20"/>
        </w:rPr>
        <w:t xml:space="preserve"> </w:t>
      </w:r>
      <w:r w:rsidR="5308B538" w:rsidRPr="3A4C9812">
        <w:rPr>
          <w:rFonts w:asciiTheme="minorHAnsi" w:eastAsiaTheme="minorEastAsia" w:hAnsiTheme="minorHAnsi" w:cstheme="minorBidi"/>
          <w:i w:val="0"/>
          <w:iCs w:val="0"/>
          <w:color w:val="auto"/>
          <w:sz w:val="20"/>
          <w:szCs w:val="20"/>
        </w:rPr>
        <w:t>metabolických poruch a kardiovaskulárních onemocnění</w:t>
      </w:r>
      <w:r w:rsidR="5EFEBB56" w:rsidRPr="3A4C9812">
        <w:rPr>
          <w:rFonts w:asciiTheme="minorHAnsi" w:eastAsiaTheme="minorEastAsia" w:hAnsiTheme="minorHAnsi" w:cstheme="minorBidi"/>
          <w:i w:val="0"/>
          <w:iCs w:val="0"/>
          <w:color w:val="auto"/>
          <w:sz w:val="20"/>
          <w:szCs w:val="20"/>
        </w:rPr>
        <w:t xml:space="preserve"> nebo</w:t>
      </w:r>
      <w:r w:rsidR="5308B538" w:rsidRPr="3A4C9812">
        <w:rPr>
          <w:rFonts w:asciiTheme="minorHAnsi" w:eastAsiaTheme="minorEastAsia" w:hAnsiTheme="minorHAnsi" w:cstheme="minorBidi"/>
          <w:i w:val="0"/>
          <w:iCs w:val="0"/>
          <w:color w:val="auto"/>
          <w:sz w:val="20"/>
          <w:szCs w:val="20"/>
        </w:rPr>
        <w:t xml:space="preserve"> </w:t>
      </w:r>
      <w:r w:rsidR="5EFEBB56" w:rsidRPr="3A4C9812">
        <w:rPr>
          <w:rFonts w:asciiTheme="minorHAnsi" w:eastAsiaTheme="minorEastAsia" w:hAnsiTheme="minorHAnsi" w:cstheme="minorBidi"/>
          <w:i w:val="0"/>
          <w:iCs w:val="0"/>
          <w:color w:val="auto"/>
          <w:sz w:val="20"/>
          <w:szCs w:val="20"/>
        </w:rPr>
        <w:t xml:space="preserve">neurověd, </w:t>
      </w:r>
      <w:r w:rsidR="5308B538" w:rsidRPr="3A4C9812">
        <w:rPr>
          <w:rFonts w:asciiTheme="minorHAnsi" w:eastAsiaTheme="minorEastAsia" w:hAnsiTheme="minorHAnsi" w:cstheme="minorBidi"/>
          <w:i w:val="0"/>
          <w:iCs w:val="0"/>
          <w:color w:val="auto"/>
          <w:sz w:val="20"/>
          <w:szCs w:val="20"/>
        </w:rPr>
        <w:t>a v oblasti výzkumu socioekonomických dopadů nemocí.</w:t>
      </w:r>
    </w:p>
    <w:p w14:paraId="27AEE6DF" w14:textId="0D703E05" w:rsidR="0046426E" w:rsidRPr="00992741" w:rsidRDefault="05C7597B"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 xml:space="preserve">Na základě výsledků transparentně provedené veřejné soutěže nový program </w:t>
      </w:r>
      <w:proofErr w:type="spellStart"/>
      <w:r w:rsidRPr="6C54F3A7">
        <w:rPr>
          <w:rFonts w:asciiTheme="minorHAnsi" w:eastAsiaTheme="minorEastAsia" w:hAnsiTheme="minorHAnsi" w:cstheme="minorBidi"/>
          <w:i w:val="0"/>
          <w:iCs w:val="0"/>
          <w:color w:val="auto"/>
          <w:sz w:val="20"/>
          <w:szCs w:val="20"/>
        </w:rPr>
        <w:t>VaVaI</w:t>
      </w:r>
      <w:proofErr w:type="spellEnd"/>
      <w:r w:rsidRPr="6C54F3A7">
        <w:rPr>
          <w:rFonts w:asciiTheme="minorHAnsi" w:eastAsiaTheme="minorEastAsia" w:hAnsiTheme="minorHAnsi" w:cstheme="minorBidi"/>
          <w:i w:val="0"/>
          <w:iCs w:val="0"/>
          <w:color w:val="auto"/>
          <w:sz w:val="20"/>
          <w:szCs w:val="20"/>
        </w:rPr>
        <w:t xml:space="preserve"> </w:t>
      </w:r>
      <w:r w:rsidR="413719B7" w:rsidRPr="6C54F3A7">
        <w:rPr>
          <w:rFonts w:asciiTheme="minorHAnsi" w:eastAsiaTheme="minorEastAsia" w:hAnsiTheme="minorHAnsi" w:cstheme="minorBidi"/>
          <w:i w:val="0"/>
          <w:iCs w:val="0"/>
          <w:color w:val="auto"/>
          <w:sz w:val="20"/>
          <w:szCs w:val="20"/>
        </w:rPr>
        <w:t>podle zák.</w:t>
      </w:r>
      <w:r w:rsidR="46634AA8" w:rsidRPr="6C54F3A7">
        <w:rPr>
          <w:rFonts w:asciiTheme="minorHAnsi" w:eastAsiaTheme="minorEastAsia" w:hAnsiTheme="minorHAnsi" w:cstheme="minorBidi"/>
          <w:i w:val="0"/>
          <w:iCs w:val="0"/>
          <w:color w:val="auto"/>
          <w:sz w:val="20"/>
          <w:szCs w:val="20"/>
        </w:rPr>
        <w:t> </w:t>
      </w:r>
      <w:r w:rsidR="413719B7" w:rsidRPr="6C54F3A7">
        <w:rPr>
          <w:rFonts w:asciiTheme="minorHAnsi" w:eastAsiaTheme="minorEastAsia" w:hAnsiTheme="minorHAnsi" w:cstheme="minorBidi"/>
          <w:i w:val="0"/>
          <w:iCs w:val="0"/>
          <w:color w:val="auto"/>
          <w:sz w:val="20"/>
          <w:szCs w:val="20"/>
        </w:rPr>
        <w:t>č.</w:t>
      </w:r>
      <w:r w:rsidR="46634AA8" w:rsidRPr="6C54F3A7">
        <w:rPr>
          <w:rFonts w:asciiTheme="minorHAnsi" w:eastAsiaTheme="minorEastAsia" w:hAnsiTheme="minorHAnsi" w:cstheme="minorBidi"/>
          <w:i w:val="0"/>
          <w:iCs w:val="0"/>
          <w:color w:val="auto"/>
          <w:sz w:val="20"/>
          <w:szCs w:val="20"/>
        </w:rPr>
        <w:t> </w:t>
      </w:r>
      <w:r w:rsidR="413719B7" w:rsidRPr="6C54F3A7">
        <w:rPr>
          <w:rFonts w:asciiTheme="minorHAnsi" w:eastAsiaTheme="minorEastAsia" w:hAnsiTheme="minorHAnsi" w:cstheme="minorBidi"/>
          <w:i w:val="0"/>
          <w:iCs w:val="0"/>
          <w:color w:val="auto"/>
          <w:sz w:val="20"/>
          <w:szCs w:val="20"/>
        </w:rPr>
        <w:t>130/2002</w:t>
      </w:r>
      <w:r w:rsidR="46634AA8" w:rsidRPr="6C54F3A7">
        <w:rPr>
          <w:rFonts w:asciiTheme="minorHAnsi" w:eastAsiaTheme="minorEastAsia" w:hAnsiTheme="minorHAnsi" w:cstheme="minorBidi"/>
          <w:i w:val="0"/>
          <w:iCs w:val="0"/>
          <w:color w:val="auto"/>
          <w:sz w:val="20"/>
          <w:szCs w:val="20"/>
        </w:rPr>
        <w:t> </w:t>
      </w:r>
      <w:r w:rsidR="413719B7" w:rsidRPr="6C54F3A7">
        <w:rPr>
          <w:rFonts w:asciiTheme="minorHAnsi" w:eastAsiaTheme="minorEastAsia" w:hAnsiTheme="minorHAnsi" w:cstheme="minorBidi"/>
          <w:i w:val="0"/>
          <w:iCs w:val="0"/>
          <w:color w:val="auto"/>
          <w:sz w:val="20"/>
          <w:szCs w:val="20"/>
        </w:rPr>
        <w:t xml:space="preserve">Sb. </w:t>
      </w:r>
      <w:r w:rsidRPr="6C54F3A7">
        <w:rPr>
          <w:rFonts w:asciiTheme="minorHAnsi" w:eastAsiaTheme="minorEastAsia" w:hAnsiTheme="minorHAnsi" w:cstheme="minorBidi"/>
          <w:i w:val="0"/>
          <w:iCs w:val="0"/>
          <w:color w:val="auto"/>
          <w:sz w:val="20"/>
          <w:szCs w:val="20"/>
        </w:rPr>
        <w:t xml:space="preserve">podpoří kvalitní, nejlépe připravené, nejméně 4 konsorciální projekty zahrnující spolupráci relevantních universit, veřejných výzkumných institucí a dalších veřejných i soukromých subjektů zajišťujících </w:t>
      </w:r>
      <w:r w:rsidR="46634AA8" w:rsidRPr="6C54F3A7">
        <w:rPr>
          <w:rFonts w:asciiTheme="minorHAnsi" w:eastAsiaTheme="minorEastAsia" w:hAnsiTheme="minorHAnsi" w:cstheme="minorBidi"/>
          <w:i w:val="0"/>
          <w:iCs w:val="0"/>
          <w:color w:val="auto"/>
          <w:sz w:val="20"/>
          <w:szCs w:val="20"/>
        </w:rPr>
        <w:t xml:space="preserve">spolupráci ve </w:t>
      </w:r>
      <w:proofErr w:type="spellStart"/>
      <w:r w:rsidR="46634AA8" w:rsidRPr="6C54F3A7">
        <w:rPr>
          <w:rFonts w:asciiTheme="minorHAnsi" w:eastAsiaTheme="minorEastAsia" w:hAnsiTheme="minorHAnsi" w:cstheme="minorBidi"/>
          <w:i w:val="0"/>
          <w:iCs w:val="0"/>
          <w:color w:val="auto"/>
          <w:sz w:val="20"/>
          <w:szCs w:val="20"/>
        </w:rPr>
        <w:t>VaVaI</w:t>
      </w:r>
      <w:proofErr w:type="spellEnd"/>
      <w:r w:rsidR="46634AA8" w:rsidRPr="6C54F3A7">
        <w:rPr>
          <w:rFonts w:asciiTheme="minorHAnsi" w:eastAsiaTheme="minorEastAsia" w:hAnsiTheme="minorHAnsi" w:cstheme="minorBidi"/>
          <w:i w:val="0"/>
          <w:iCs w:val="0"/>
          <w:color w:val="auto"/>
          <w:sz w:val="20"/>
          <w:szCs w:val="20"/>
        </w:rPr>
        <w:t xml:space="preserve"> a </w:t>
      </w:r>
      <w:r w:rsidRPr="6C54F3A7">
        <w:rPr>
          <w:rFonts w:asciiTheme="minorHAnsi" w:eastAsiaTheme="minorEastAsia" w:hAnsiTheme="minorHAnsi" w:cstheme="minorBidi"/>
          <w:i w:val="0"/>
          <w:iCs w:val="0"/>
          <w:color w:val="auto"/>
          <w:sz w:val="20"/>
          <w:szCs w:val="20"/>
        </w:rPr>
        <w:t xml:space="preserve">potřebný transfer znalostí. </w:t>
      </w:r>
    </w:p>
    <w:p w14:paraId="45FB16D7" w14:textId="0E09B7EE" w:rsidR="0046426E" w:rsidRPr="00992741" w:rsidRDefault="05C7597B"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lastRenderedPageBreak/>
        <w:t xml:space="preserve">Vlastní realizace projektů zahrnuje </w:t>
      </w:r>
      <w:r w:rsidR="733B0339" w:rsidRPr="6C54F3A7">
        <w:rPr>
          <w:rFonts w:asciiTheme="minorHAnsi" w:eastAsiaTheme="minorEastAsia" w:hAnsiTheme="minorHAnsi" w:cstheme="minorBidi"/>
          <w:i w:val="0"/>
          <w:iCs w:val="0"/>
          <w:color w:val="auto"/>
          <w:sz w:val="20"/>
          <w:szCs w:val="20"/>
        </w:rPr>
        <w:t xml:space="preserve">pravidelný </w:t>
      </w:r>
      <w:r w:rsidRPr="6C54F3A7">
        <w:rPr>
          <w:rFonts w:asciiTheme="minorHAnsi" w:eastAsiaTheme="minorEastAsia" w:hAnsiTheme="minorHAnsi" w:cstheme="minorBidi"/>
          <w:i w:val="0"/>
          <w:iCs w:val="0"/>
          <w:color w:val="auto"/>
          <w:sz w:val="20"/>
          <w:szCs w:val="20"/>
        </w:rPr>
        <w:t xml:space="preserve">meziroční monitoring, nezbytné meziroční finanční kontroly a kontroly věcného plnění cílů, </w:t>
      </w:r>
      <w:proofErr w:type="spellStart"/>
      <w:r w:rsidRPr="6C54F3A7">
        <w:rPr>
          <w:rFonts w:asciiTheme="minorHAnsi" w:eastAsiaTheme="minorEastAsia" w:hAnsiTheme="minorHAnsi" w:cstheme="minorBidi"/>
          <w:i w:val="0"/>
          <w:iCs w:val="0"/>
          <w:color w:val="auto"/>
          <w:sz w:val="20"/>
          <w:szCs w:val="20"/>
        </w:rPr>
        <w:t>mid</w:t>
      </w:r>
      <w:proofErr w:type="spellEnd"/>
      <w:r w:rsidRPr="6C54F3A7">
        <w:rPr>
          <w:rFonts w:asciiTheme="minorHAnsi" w:eastAsiaTheme="minorEastAsia" w:hAnsiTheme="minorHAnsi" w:cstheme="minorBidi"/>
          <w:i w:val="0"/>
          <w:iCs w:val="0"/>
          <w:color w:val="auto"/>
          <w:sz w:val="20"/>
          <w:szCs w:val="20"/>
        </w:rPr>
        <w:t>-term evaluace</w:t>
      </w:r>
      <w:r w:rsidR="733B0339" w:rsidRPr="6C54F3A7">
        <w:rPr>
          <w:rFonts w:asciiTheme="minorHAnsi" w:eastAsiaTheme="minorEastAsia" w:hAnsiTheme="minorHAnsi" w:cstheme="minorBidi"/>
          <w:i w:val="0"/>
          <w:iCs w:val="0"/>
          <w:color w:val="auto"/>
          <w:sz w:val="20"/>
          <w:szCs w:val="20"/>
        </w:rPr>
        <w:t>, expertní kontrola na místě</w:t>
      </w:r>
      <w:r w:rsidRPr="6C54F3A7">
        <w:rPr>
          <w:rFonts w:asciiTheme="minorHAnsi" w:eastAsiaTheme="minorEastAsia" w:hAnsiTheme="minorHAnsi" w:cstheme="minorBidi"/>
          <w:i w:val="0"/>
          <w:iCs w:val="0"/>
          <w:color w:val="auto"/>
          <w:sz w:val="20"/>
          <w:szCs w:val="20"/>
        </w:rPr>
        <w:t xml:space="preserve"> a peer </w:t>
      </w:r>
      <w:proofErr w:type="spellStart"/>
      <w:r w:rsidRPr="6C54F3A7">
        <w:rPr>
          <w:rFonts w:asciiTheme="minorHAnsi" w:eastAsiaTheme="minorEastAsia" w:hAnsiTheme="minorHAnsi" w:cstheme="minorBidi"/>
          <w:i w:val="0"/>
          <w:iCs w:val="0"/>
          <w:color w:val="auto"/>
          <w:sz w:val="20"/>
          <w:szCs w:val="20"/>
        </w:rPr>
        <w:t>review</w:t>
      </w:r>
      <w:proofErr w:type="spellEnd"/>
      <w:r w:rsidRPr="6C54F3A7">
        <w:rPr>
          <w:rFonts w:asciiTheme="minorHAnsi" w:eastAsiaTheme="minorEastAsia" w:hAnsiTheme="minorHAnsi" w:cstheme="minorBidi"/>
          <w:i w:val="0"/>
          <w:iCs w:val="0"/>
          <w:color w:val="auto"/>
          <w:sz w:val="20"/>
          <w:szCs w:val="20"/>
        </w:rPr>
        <w:t xml:space="preserve"> hodnocení projektů se budou řídit systémově zavedenými a ověřenými procesními postupy podle zák. č. 130/2002 Sb. a související právních předpisů. Podmínkou pro poskytnutí podpory pro jednotlivé roční etapy řešení je vždy úspěšnost a splnění předchozích dílčích etapových cílů každého projektu.</w:t>
      </w:r>
      <w:r w:rsidR="203A10A4" w:rsidRPr="6C54F3A7">
        <w:rPr>
          <w:rFonts w:asciiTheme="minorHAnsi" w:eastAsiaTheme="minorEastAsia" w:hAnsiTheme="minorHAnsi" w:cstheme="minorBidi"/>
          <w:i w:val="0"/>
          <w:iCs w:val="0"/>
          <w:color w:val="auto"/>
          <w:sz w:val="20"/>
          <w:szCs w:val="20"/>
        </w:rPr>
        <w:t xml:space="preserve"> </w:t>
      </w:r>
      <w:r w:rsidRPr="6C54F3A7">
        <w:rPr>
          <w:rFonts w:asciiTheme="minorHAnsi" w:eastAsiaTheme="minorEastAsia" w:hAnsiTheme="minorHAnsi" w:cstheme="minorBidi"/>
          <w:i w:val="0"/>
          <w:iCs w:val="0"/>
          <w:color w:val="auto"/>
          <w:sz w:val="20"/>
          <w:szCs w:val="20"/>
        </w:rPr>
        <w:t>To zajistí ekonomicky efektivní využívání centralizovaně vkládaných veřejných prostředků. Jejich garantem bude poskytovatel podpory, MŠMT/MEYS.</w:t>
      </w:r>
    </w:p>
    <w:p w14:paraId="258A70F3" w14:textId="05C723F0" w:rsidR="00D448FD" w:rsidRPr="00992741" w:rsidRDefault="5308B538"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 xml:space="preserve">Výsledkem projektů bude zřízení, vybudování a ověření fungování nejméně 4 </w:t>
      </w:r>
      <w:r w:rsidR="203A10A4" w:rsidRPr="6C54F3A7">
        <w:rPr>
          <w:rFonts w:asciiTheme="minorHAnsi" w:eastAsiaTheme="minorEastAsia" w:hAnsiTheme="minorHAnsi" w:cstheme="minorBidi"/>
          <w:i w:val="0"/>
          <w:iCs w:val="0"/>
          <w:color w:val="auto"/>
          <w:sz w:val="20"/>
          <w:szCs w:val="20"/>
        </w:rPr>
        <w:t xml:space="preserve">konsorciálních </w:t>
      </w:r>
      <w:r w:rsidRPr="6C54F3A7">
        <w:rPr>
          <w:rFonts w:asciiTheme="minorHAnsi" w:eastAsiaTheme="minorEastAsia" w:hAnsiTheme="minorHAnsi" w:cstheme="minorBidi"/>
          <w:i w:val="0"/>
          <w:iCs w:val="0"/>
          <w:color w:val="auto"/>
          <w:sz w:val="20"/>
          <w:szCs w:val="20"/>
        </w:rPr>
        <w:t xml:space="preserve">národních </w:t>
      </w:r>
      <w:proofErr w:type="spellStart"/>
      <w:r w:rsidRPr="6C54F3A7">
        <w:rPr>
          <w:rFonts w:asciiTheme="minorHAnsi" w:eastAsiaTheme="minorEastAsia" w:hAnsiTheme="minorHAnsi" w:cstheme="minorBidi"/>
          <w:i w:val="0"/>
          <w:iCs w:val="0"/>
          <w:color w:val="auto"/>
          <w:sz w:val="20"/>
          <w:szCs w:val="20"/>
        </w:rPr>
        <w:t>VaVaI</w:t>
      </w:r>
      <w:proofErr w:type="spellEnd"/>
      <w:r w:rsidR="203A10A4" w:rsidRPr="6C54F3A7">
        <w:rPr>
          <w:rFonts w:asciiTheme="minorHAnsi" w:eastAsiaTheme="minorEastAsia" w:hAnsiTheme="minorHAnsi" w:cstheme="minorBidi"/>
          <w:i w:val="0"/>
          <w:iCs w:val="0"/>
          <w:color w:val="auto"/>
          <w:sz w:val="20"/>
          <w:szCs w:val="20"/>
        </w:rPr>
        <w:t xml:space="preserve"> </w:t>
      </w:r>
      <w:r w:rsidR="413719B7" w:rsidRPr="6C54F3A7">
        <w:rPr>
          <w:rFonts w:asciiTheme="minorHAnsi" w:eastAsiaTheme="minorEastAsia" w:hAnsiTheme="minorHAnsi" w:cstheme="minorBidi"/>
          <w:i w:val="0"/>
          <w:iCs w:val="0"/>
          <w:color w:val="auto"/>
          <w:sz w:val="20"/>
          <w:szCs w:val="20"/>
        </w:rPr>
        <w:t>platforem</w:t>
      </w:r>
      <w:r w:rsidR="203A10A4" w:rsidRPr="6C54F3A7">
        <w:rPr>
          <w:rFonts w:asciiTheme="minorHAnsi" w:eastAsiaTheme="minorEastAsia" w:hAnsiTheme="minorHAnsi" w:cstheme="minorBidi"/>
          <w:i w:val="0"/>
          <w:iCs w:val="0"/>
          <w:color w:val="auto"/>
          <w:sz w:val="20"/>
          <w:szCs w:val="20"/>
        </w:rPr>
        <w:t xml:space="preserve"> plně organicky integrovaných v ekosystému existujících mateřských R&amp;D organizací</w:t>
      </w:r>
      <w:r w:rsidR="1DF9E991" w:rsidRPr="6C54F3A7">
        <w:rPr>
          <w:rFonts w:asciiTheme="minorHAnsi" w:eastAsiaTheme="minorEastAsia" w:hAnsiTheme="minorHAnsi" w:cstheme="minorBidi"/>
          <w:i w:val="0"/>
          <w:iCs w:val="0"/>
          <w:color w:val="auto"/>
          <w:sz w:val="20"/>
          <w:szCs w:val="20"/>
        </w:rPr>
        <w:t xml:space="preserve"> na úrovni institutů</w:t>
      </w:r>
      <w:r w:rsidRPr="6C54F3A7">
        <w:rPr>
          <w:rFonts w:asciiTheme="minorHAnsi" w:eastAsiaTheme="minorEastAsia" w:hAnsiTheme="minorHAnsi" w:cstheme="minorBidi"/>
          <w:i w:val="0"/>
          <w:iCs w:val="0"/>
          <w:color w:val="auto"/>
          <w:sz w:val="20"/>
          <w:szCs w:val="20"/>
        </w:rPr>
        <w:t>, působící</w:t>
      </w:r>
      <w:r w:rsidR="05C7597B" w:rsidRPr="6C54F3A7">
        <w:rPr>
          <w:rFonts w:asciiTheme="minorHAnsi" w:eastAsiaTheme="minorEastAsia" w:hAnsiTheme="minorHAnsi" w:cstheme="minorBidi"/>
          <w:i w:val="0"/>
          <w:iCs w:val="0"/>
          <w:color w:val="auto"/>
          <w:sz w:val="20"/>
          <w:szCs w:val="20"/>
        </w:rPr>
        <w:t>c</w:t>
      </w:r>
      <w:r w:rsidRPr="6C54F3A7">
        <w:rPr>
          <w:rFonts w:asciiTheme="minorHAnsi" w:eastAsiaTheme="minorEastAsia" w:hAnsiTheme="minorHAnsi" w:cstheme="minorBidi"/>
          <w:i w:val="0"/>
          <w:iCs w:val="0"/>
          <w:color w:val="auto"/>
          <w:sz w:val="20"/>
          <w:szCs w:val="20"/>
        </w:rPr>
        <w:t xml:space="preserve">h </w:t>
      </w:r>
      <w:r w:rsidR="0E0699E0" w:rsidRPr="6C54F3A7">
        <w:rPr>
          <w:rFonts w:asciiTheme="minorHAnsi" w:eastAsiaTheme="minorEastAsia" w:hAnsiTheme="minorHAnsi" w:cstheme="minorBidi"/>
          <w:i w:val="0"/>
          <w:iCs w:val="0"/>
          <w:color w:val="auto"/>
          <w:sz w:val="20"/>
          <w:szCs w:val="20"/>
        </w:rPr>
        <w:t xml:space="preserve">v identifikovaných prioritních oblastech </w:t>
      </w:r>
      <w:proofErr w:type="spellStart"/>
      <w:r w:rsidR="0E0699E0" w:rsidRPr="6C54F3A7">
        <w:rPr>
          <w:rFonts w:asciiTheme="minorHAnsi" w:eastAsiaTheme="minorEastAsia" w:hAnsiTheme="minorHAnsi" w:cstheme="minorBidi"/>
          <w:i w:val="0"/>
          <w:iCs w:val="0"/>
          <w:color w:val="auto"/>
          <w:sz w:val="20"/>
          <w:szCs w:val="20"/>
        </w:rPr>
        <w:t>VaV</w:t>
      </w:r>
      <w:proofErr w:type="spellEnd"/>
      <w:r w:rsidR="413719B7" w:rsidRPr="6C54F3A7">
        <w:rPr>
          <w:rFonts w:asciiTheme="minorHAnsi" w:eastAsiaTheme="minorEastAsia" w:hAnsiTheme="minorHAnsi" w:cstheme="minorBidi"/>
          <w:i w:val="0"/>
          <w:iCs w:val="0"/>
          <w:color w:val="auto"/>
          <w:sz w:val="20"/>
          <w:szCs w:val="20"/>
        </w:rPr>
        <w:t>.</w:t>
      </w:r>
      <w:r w:rsidRPr="6C54F3A7">
        <w:rPr>
          <w:rFonts w:asciiTheme="minorHAnsi" w:eastAsiaTheme="minorEastAsia" w:hAnsiTheme="minorHAnsi" w:cstheme="minorBidi"/>
          <w:i w:val="0"/>
          <w:iCs w:val="0"/>
          <w:color w:val="auto"/>
          <w:sz w:val="20"/>
          <w:szCs w:val="20"/>
        </w:rPr>
        <w:t xml:space="preserve"> </w:t>
      </w:r>
      <w:r w:rsidR="203A10A4" w:rsidRPr="6C54F3A7">
        <w:rPr>
          <w:rFonts w:asciiTheme="minorHAnsi" w:eastAsiaTheme="minorEastAsia" w:hAnsiTheme="minorHAnsi" w:cstheme="minorBidi"/>
          <w:i w:val="0"/>
          <w:iCs w:val="0"/>
          <w:color w:val="auto"/>
          <w:sz w:val="20"/>
          <w:szCs w:val="20"/>
        </w:rPr>
        <w:t>Klíčovou podmínkou je</w:t>
      </w:r>
      <w:r w:rsidR="11C4B70F" w:rsidRPr="6C54F3A7">
        <w:rPr>
          <w:rFonts w:asciiTheme="minorHAnsi" w:eastAsiaTheme="minorEastAsia" w:hAnsiTheme="minorHAnsi" w:cstheme="minorBidi"/>
          <w:i w:val="0"/>
          <w:iCs w:val="0"/>
          <w:color w:val="auto"/>
          <w:sz w:val="20"/>
          <w:szCs w:val="20"/>
        </w:rPr>
        <w:t> </w:t>
      </w:r>
      <w:r w:rsidR="7C63463A" w:rsidRPr="6C54F3A7">
        <w:rPr>
          <w:rFonts w:asciiTheme="minorHAnsi" w:eastAsiaTheme="minorEastAsia" w:hAnsiTheme="minorHAnsi" w:cstheme="minorBidi"/>
          <w:i w:val="0"/>
          <w:iCs w:val="0"/>
          <w:color w:val="auto"/>
          <w:sz w:val="20"/>
          <w:szCs w:val="20"/>
        </w:rPr>
        <w:t xml:space="preserve">jejich </w:t>
      </w:r>
      <w:r w:rsidR="203A10A4" w:rsidRPr="6C54F3A7">
        <w:rPr>
          <w:rFonts w:asciiTheme="minorHAnsi" w:eastAsiaTheme="minorEastAsia" w:hAnsiTheme="minorHAnsi" w:cstheme="minorBidi"/>
          <w:i w:val="0"/>
          <w:iCs w:val="0"/>
          <w:color w:val="auto"/>
          <w:sz w:val="20"/>
          <w:szCs w:val="20"/>
        </w:rPr>
        <w:t xml:space="preserve">integrace </w:t>
      </w:r>
      <w:r w:rsidR="7C63463A" w:rsidRPr="6C54F3A7">
        <w:rPr>
          <w:rFonts w:asciiTheme="minorHAnsi" w:eastAsiaTheme="minorEastAsia" w:hAnsiTheme="minorHAnsi" w:cstheme="minorBidi"/>
          <w:i w:val="0"/>
          <w:iCs w:val="0"/>
          <w:color w:val="auto"/>
          <w:sz w:val="20"/>
          <w:szCs w:val="20"/>
        </w:rPr>
        <w:t xml:space="preserve">do </w:t>
      </w:r>
      <w:r w:rsidR="203A10A4" w:rsidRPr="6C54F3A7">
        <w:rPr>
          <w:rFonts w:asciiTheme="minorHAnsi" w:eastAsiaTheme="minorEastAsia" w:hAnsiTheme="minorHAnsi" w:cstheme="minorBidi"/>
          <w:i w:val="0"/>
          <w:iCs w:val="0"/>
          <w:color w:val="auto"/>
          <w:sz w:val="20"/>
          <w:szCs w:val="20"/>
        </w:rPr>
        <w:t xml:space="preserve">R&amp;D </w:t>
      </w:r>
      <w:r w:rsidR="7C63463A" w:rsidRPr="6C54F3A7">
        <w:rPr>
          <w:rFonts w:asciiTheme="minorHAnsi" w:eastAsiaTheme="minorEastAsia" w:hAnsiTheme="minorHAnsi" w:cstheme="minorBidi"/>
          <w:i w:val="0"/>
          <w:iCs w:val="0"/>
          <w:color w:val="auto"/>
          <w:sz w:val="20"/>
          <w:szCs w:val="20"/>
        </w:rPr>
        <w:t>systému</w:t>
      </w:r>
      <w:r w:rsidR="203A10A4" w:rsidRPr="6C54F3A7">
        <w:rPr>
          <w:rFonts w:asciiTheme="minorHAnsi" w:eastAsiaTheme="minorEastAsia" w:hAnsiTheme="minorHAnsi" w:cstheme="minorBidi"/>
          <w:i w:val="0"/>
          <w:iCs w:val="0"/>
          <w:color w:val="auto"/>
          <w:sz w:val="20"/>
          <w:szCs w:val="20"/>
        </w:rPr>
        <w:t xml:space="preserve"> v ČR</w:t>
      </w:r>
      <w:r w:rsidR="7C63463A" w:rsidRPr="6C54F3A7">
        <w:rPr>
          <w:rFonts w:asciiTheme="minorHAnsi" w:eastAsiaTheme="minorEastAsia" w:hAnsiTheme="minorHAnsi" w:cstheme="minorBidi"/>
          <w:i w:val="0"/>
          <w:iCs w:val="0"/>
          <w:color w:val="auto"/>
          <w:sz w:val="20"/>
          <w:szCs w:val="20"/>
        </w:rPr>
        <w:t xml:space="preserve"> </w:t>
      </w:r>
      <w:r w:rsidR="56812C79" w:rsidRPr="6C54F3A7">
        <w:rPr>
          <w:rFonts w:asciiTheme="minorHAnsi" w:eastAsiaTheme="minorEastAsia" w:hAnsiTheme="minorHAnsi" w:cstheme="minorBidi"/>
          <w:i w:val="0"/>
          <w:iCs w:val="0"/>
          <w:color w:val="auto"/>
          <w:sz w:val="20"/>
          <w:szCs w:val="20"/>
        </w:rPr>
        <w:t xml:space="preserve">jakožto národních výzkumných autorit </w:t>
      </w:r>
      <w:r w:rsidR="7C63463A" w:rsidRPr="6C54F3A7">
        <w:rPr>
          <w:rFonts w:asciiTheme="minorHAnsi" w:eastAsiaTheme="minorEastAsia" w:hAnsiTheme="minorHAnsi" w:cstheme="minorBidi"/>
          <w:i w:val="0"/>
          <w:iCs w:val="0"/>
          <w:color w:val="auto"/>
          <w:sz w:val="20"/>
          <w:szCs w:val="20"/>
        </w:rPr>
        <w:t xml:space="preserve">s mezinárodním přesahem </w:t>
      </w:r>
      <w:r w:rsidR="56812C79" w:rsidRPr="6C54F3A7">
        <w:rPr>
          <w:rFonts w:asciiTheme="minorHAnsi" w:eastAsiaTheme="minorEastAsia" w:hAnsiTheme="minorHAnsi" w:cstheme="minorBidi"/>
          <w:i w:val="0"/>
          <w:iCs w:val="0"/>
          <w:color w:val="auto"/>
          <w:sz w:val="20"/>
          <w:szCs w:val="20"/>
        </w:rPr>
        <w:t>generující</w:t>
      </w:r>
      <w:r w:rsidR="4E13A472" w:rsidRPr="6C54F3A7">
        <w:rPr>
          <w:rFonts w:asciiTheme="minorHAnsi" w:eastAsiaTheme="minorEastAsia" w:hAnsiTheme="minorHAnsi" w:cstheme="minorBidi"/>
          <w:i w:val="0"/>
          <w:iCs w:val="0"/>
          <w:color w:val="auto"/>
          <w:sz w:val="20"/>
          <w:szCs w:val="20"/>
        </w:rPr>
        <w:t>ch</w:t>
      </w:r>
      <w:r w:rsidR="413719B7" w:rsidRPr="6C54F3A7">
        <w:rPr>
          <w:rFonts w:asciiTheme="minorHAnsi" w:eastAsiaTheme="minorEastAsia" w:hAnsiTheme="minorHAnsi" w:cstheme="minorBidi"/>
          <w:i w:val="0"/>
          <w:iCs w:val="0"/>
          <w:color w:val="auto"/>
          <w:sz w:val="20"/>
          <w:szCs w:val="20"/>
        </w:rPr>
        <w:t xml:space="preserve"> </w:t>
      </w:r>
      <w:r w:rsidR="56812C79" w:rsidRPr="6C54F3A7">
        <w:rPr>
          <w:rFonts w:asciiTheme="minorHAnsi" w:eastAsiaTheme="minorEastAsia" w:hAnsiTheme="minorHAnsi" w:cstheme="minorBidi"/>
          <w:i w:val="0"/>
          <w:iCs w:val="0"/>
          <w:color w:val="auto"/>
          <w:sz w:val="20"/>
          <w:szCs w:val="20"/>
        </w:rPr>
        <w:t xml:space="preserve">relevantní </w:t>
      </w:r>
      <w:r w:rsidR="413719B7" w:rsidRPr="6C54F3A7">
        <w:rPr>
          <w:rFonts w:asciiTheme="minorHAnsi" w:eastAsiaTheme="minorEastAsia" w:hAnsiTheme="minorHAnsi" w:cstheme="minorBidi"/>
          <w:i w:val="0"/>
          <w:iCs w:val="0"/>
          <w:color w:val="auto"/>
          <w:sz w:val="20"/>
          <w:szCs w:val="20"/>
        </w:rPr>
        <w:t xml:space="preserve">a mezinárodně konkurenceschopné </w:t>
      </w:r>
      <w:r w:rsidR="56812C79" w:rsidRPr="6C54F3A7">
        <w:rPr>
          <w:rFonts w:asciiTheme="minorHAnsi" w:eastAsiaTheme="minorEastAsia" w:hAnsiTheme="minorHAnsi" w:cstheme="minorBidi"/>
          <w:i w:val="0"/>
          <w:iCs w:val="0"/>
          <w:color w:val="auto"/>
          <w:sz w:val="20"/>
          <w:szCs w:val="20"/>
        </w:rPr>
        <w:t xml:space="preserve">R&amp;D výsledky </w:t>
      </w:r>
      <w:r w:rsidR="11C4B70F" w:rsidRPr="6C54F3A7">
        <w:rPr>
          <w:rFonts w:asciiTheme="minorHAnsi" w:eastAsiaTheme="minorEastAsia" w:hAnsiTheme="minorHAnsi" w:cstheme="minorBidi"/>
          <w:i w:val="0"/>
          <w:iCs w:val="0"/>
          <w:color w:val="auto"/>
          <w:sz w:val="20"/>
          <w:szCs w:val="20"/>
        </w:rPr>
        <w:t>a </w:t>
      </w:r>
      <w:r w:rsidR="56812C79" w:rsidRPr="6C54F3A7">
        <w:rPr>
          <w:rFonts w:asciiTheme="minorHAnsi" w:eastAsiaTheme="minorEastAsia" w:hAnsiTheme="minorHAnsi" w:cstheme="minorBidi"/>
          <w:i w:val="0"/>
          <w:iCs w:val="0"/>
          <w:color w:val="auto"/>
          <w:sz w:val="20"/>
          <w:szCs w:val="20"/>
        </w:rPr>
        <w:t>strategie v</w:t>
      </w:r>
      <w:r w:rsidR="413719B7" w:rsidRPr="6C54F3A7">
        <w:rPr>
          <w:rFonts w:asciiTheme="minorHAnsi" w:eastAsiaTheme="minorEastAsia" w:hAnsiTheme="minorHAnsi" w:cstheme="minorBidi"/>
          <w:i w:val="0"/>
          <w:iCs w:val="0"/>
          <w:color w:val="auto"/>
          <w:sz w:val="20"/>
          <w:szCs w:val="20"/>
        </w:rPr>
        <w:t xml:space="preserve"> uvedených</w:t>
      </w:r>
      <w:r w:rsidR="56812C79" w:rsidRPr="6C54F3A7">
        <w:rPr>
          <w:rFonts w:asciiTheme="minorHAnsi" w:eastAsiaTheme="minorEastAsia" w:hAnsiTheme="minorHAnsi" w:cstheme="minorBidi"/>
          <w:i w:val="0"/>
          <w:iCs w:val="0"/>
          <w:color w:val="auto"/>
          <w:sz w:val="20"/>
          <w:szCs w:val="20"/>
        </w:rPr>
        <w:t xml:space="preserve"> specifických prioritních oblastech</w:t>
      </w:r>
      <w:r w:rsidR="0E0699E0" w:rsidRPr="6C54F3A7">
        <w:rPr>
          <w:rFonts w:asciiTheme="minorHAnsi" w:eastAsiaTheme="minorEastAsia" w:hAnsiTheme="minorHAnsi" w:cstheme="minorBidi"/>
          <w:i w:val="0"/>
          <w:iCs w:val="0"/>
          <w:color w:val="auto"/>
          <w:sz w:val="20"/>
          <w:szCs w:val="20"/>
        </w:rPr>
        <w:t xml:space="preserve"> </w:t>
      </w:r>
      <w:proofErr w:type="spellStart"/>
      <w:r w:rsidR="0E0699E0" w:rsidRPr="6C54F3A7">
        <w:rPr>
          <w:rFonts w:asciiTheme="minorHAnsi" w:eastAsiaTheme="minorEastAsia" w:hAnsiTheme="minorHAnsi" w:cstheme="minorBidi"/>
          <w:i w:val="0"/>
          <w:iCs w:val="0"/>
          <w:color w:val="auto"/>
          <w:sz w:val="20"/>
          <w:szCs w:val="20"/>
        </w:rPr>
        <w:t>VaV</w:t>
      </w:r>
      <w:proofErr w:type="spellEnd"/>
      <w:r w:rsidR="413719B7" w:rsidRPr="6C54F3A7">
        <w:rPr>
          <w:rFonts w:asciiTheme="minorHAnsi" w:eastAsiaTheme="minorEastAsia" w:hAnsiTheme="minorHAnsi" w:cstheme="minorBidi"/>
          <w:i w:val="0"/>
          <w:iCs w:val="0"/>
          <w:color w:val="auto"/>
          <w:sz w:val="20"/>
          <w:szCs w:val="20"/>
        </w:rPr>
        <w:t>, institucionální udržitelnost a finanční stabilita</w:t>
      </w:r>
      <w:r w:rsidR="56812C79" w:rsidRPr="6C54F3A7">
        <w:rPr>
          <w:rFonts w:asciiTheme="minorHAnsi" w:eastAsiaTheme="minorEastAsia" w:hAnsiTheme="minorHAnsi" w:cstheme="minorBidi"/>
          <w:i w:val="0"/>
          <w:iCs w:val="0"/>
          <w:color w:val="auto"/>
          <w:sz w:val="20"/>
          <w:szCs w:val="20"/>
        </w:rPr>
        <w:t xml:space="preserve">. </w:t>
      </w:r>
      <w:r w:rsidR="51166FE8" w:rsidRPr="6C54F3A7">
        <w:rPr>
          <w:rFonts w:asciiTheme="minorHAnsi" w:eastAsiaTheme="minorEastAsia" w:hAnsiTheme="minorHAnsi" w:cstheme="minorBidi"/>
          <w:i w:val="0"/>
          <w:iCs w:val="0"/>
          <w:color w:val="auto"/>
          <w:sz w:val="20"/>
          <w:szCs w:val="20"/>
        </w:rPr>
        <w:t xml:space="preserve">K evaluacím bude využito statistických, </w:t>
      </w:r>
      <w:proofErr w:type="spellStart"/>
      <w:r w:rsidR="51166FE8" w:rsidRPr="6C54F3A7">
        <w:rPr>
          <w:rFonts w:asciiTheme="minorHAnsi" w:eastAsiaTheme="minorEastAsia" w:hAnsiTheme="minorHAnsi" w:cstheme="minorBidi"/>
          <w:i w:val="0"/>
          <w:iCs w:val="0"/>
          <w:color w:val="auto"/>
          <w:sz w:val="20"/>
          <w:szCs w:val="20"/>
        </w:rPr>
        <w:t>bibliometrických</w:t>
      </w:r>
      <w:proofErr w:type="spellEnd"/>
      <w:r w:rsidR="51166FE8" w:rsidRPr="6C54F3A7">
        <w:rPr>
          <w:rFonts w:asciiTheme="minorHAnsi" w:eastAsiaTheme="minorEastAsia" w:hAnsiTheme="minorHAnsi" w:cstheme="minorBidi"/>
          <w:i w:val="0"/>
          <w:iCs w:val="0"/>
          <w:color w:val="auto"/>
          <w:sz w:val="20"/>
          <w:szCs w:val="20"/>
        </w:rPr>
        <w:t xml:space="preserve"> a dalších </w:t>
      </w:r>
      <w:proofErr w:type="spellStart"/>
      <w:r w:rsidR="51166FE8" w:rsidRPr="6C54F3A7">
        <w:rPr>
          <w:rFonts w:asciiTheme="minorHAnsi" w:eastAsiaTheme="minorEastAsia" w:hAnsiTheme="minorHAnsi" w:cstheme="minorBidi"/>
          <w:i w:val="0"/>
          <w:iCs w:val="0"/>
          <w:color w:val="auto"/>
          <w:sz w:val="20"/>
          <w:szCs w:val="20"/>
        </w:rPr>
        <w:t>scientometrických</w:t>
      </w:r>
      <w:proofErr w:type="spellEnd"/>
      <w:r w:rsidR="51166FE8" w:rsidRPr="6C54F3A7">
        <w:rPr>
          <w:rFonts w:asciiTheme="minorHAnsi" w:eastAsiaTheme="minorEastAsia" w:hAnsiTheme="minorHAnsi" w:cstheme="minorBidi"/>
          <w:i w:val="0"/>
          <w:iCs w:val="0"/>
          <w:color w:val="auto"/>
          <w:sz w:val="20"/>
          <w:szCs w:val="20"/>
        </w:rPr>
        <w:t xml:space="preserve"> analýz, peer </w:t>
      </w:r>
      <w:proofErr w:type="spellStart"/>
      <w:r w:rsidR="51166FE8" w:rsidRPr="6C54F3A7">
        <w:rPr>
          <w:rFonts w:asciiTheme="minorHAnsi" w:eastAsiaTheme="minorEastAsia" w:hAnsiTheme="minorHAnsi" w:cstheme="minorBidi"/>
          <w:i w:val="0"/>
          <w:iCs w:val="0"/>
          <w:color w:val="auto"/>
          <w:sz w:val="20"/>
          <w:szCs w:val="20"/>
        </w:rPr>
        <w:t>review</w:t>
      </w:r>
      <w:proofErr w:type="spellEnd"/>
      <w:r w:rsidR="51166FE8" w:rsidRPr="6C54F3A7">
        <w:rPr>
          <w:rFonts w:asciiTheme="minorHAnsi" w:eastAsiaTheme="minorEastAsia" w:hAnsiTheme="minorHAnsi" w:cstheme="minorBidi"/>
          <w:i w:val="0"/>
          <w:iCs w:val="0"/>
          <w:color w:val="auto"/>
          <w:sz w:val="20"/>
          <w:szCs w:val="20"/>
        </w:rPr>
        <w:t xml:space="preserve"> a expertních kontrol na místě. </w:t>
      </w:r>
      <w:r w:rsidR="56812C79" w:rsidRPr="6C54F3A7">
        <w:rPr>
          <w:rFonts w:asciiTheme="minorHAnsi" w:eastAsiaTheme="minorEastAsia" w:hAnsiTheme="minorHAnsi" w:cstheme="minorBidi"/>
          <w:i w:val="0"/>
          <w:iCs w:val="0"/>
          <w:color w:val="auto"/>
          <w:sz w:val="20"/>
          <w:szCs w:val="20"/>
        </w:rPr>
        <w:t xml:space="preserve">Odborný </w:t>
      </w:r>
      <w:r w:rsidR="11C4B70F" w:rsidRPr="6C54F3A7">
        <w:rPr>
          <w:rFonts w:asciiTheme="minorHAnsi" w:eastAsiaTheme="minorEastAsia" w:hAnsiTheme="minorHAnsi" w:cstheme="minorBidi"/>
          <w:i w:val="0"/>
          <w:iCs w:val="0"/>
          <w:color w:val="auto"/>
          <w:sz w:val="20"/>
          <w:szCs w:val="20"/>
        </w:rPr>
        <w:t>i </w:t>
      </w:r>
      <w:r w:rsidR="56812C79" w:rsidRPr="6C54F3A7">
        <w:rPr>
          <w:rFonts w:asciiTheme="minorHAnsi" w:eastAsiaTheme="minorEastAsia" w:hAnsiTheme="minorHAnsi" w:cstheme="minorBidi"/>
          <w:i w:val="0"/>
          <w:iCs w:val="0"/>
          <w:color w:val="auto"/>
          <w:sz w:val="20"/>
          <w:szCs w:val="20"/>
        </w:rPr>
        <w:t xml:space="preserve">realizační dohled, včetně mezinárodních evaluací zajistí </w:t>
      </w:r>
      <w:r w:rsidR="51166FE8" w:rsidRPr="6C54F3A7">
        <w:rPr>
          <w:rFonts w:asciiTheme="minorHAnsi" w:eastAsiaTheme="minorEastAsia" w:hAnsiTheme="minorHAnsi" w:cstheme="minorBidi"/>
          <w:i w:val="0"/>
          <w:iCs w:val="0"/>
          <w:color w:val="auto"/>
          <w:sz w:val="20"/>
          <w:szCs w:val="20"/>
        </w:rPr>
        <w:t xml:space="preserve">se zapojením ISAB </w:t>
      </w:r>
      <w:r w:rsidR="56812C79" w:rsidRPr="6C54F3A7">
        <w:rPr>
          <w:rFonts w:asciiTheme="minorHAnsi" w:eastAsiaTheme="minorEastAsia" w:hAnsiTheme="minorHAnsi" w:cstheme="minorBidi"/>
          <w:i w:val="0"/>
          <w:iCs w:val="0"/>
          <w:color w:val="auto"/>
          <w:sz w:val="20"/>
          <w:szCs w:val="20"/>
        </w:rPr>
        <w:t>MŠMT/MEYS jako poskytovatel podpory.</w:t>
      </w:r>
    </w:p>
    <w:p w14:paraId="4E216EA8" w14:textId="77777777" w:rsidR="00D448FD" w:rsidRPr="00992741" w:rsidRDefault="00D448FD" w:rsidP="6C54F3A7">
      <w:pPr>
        <w:pStyle w:val="K-Nadpis3"/>
        <w:rPr>
          <w:rFonts w:asciiTheme="minorHAnsi" w:eastAsiaTheme="minorEastAsia" w:hAnsiTheme="minorHAnsi" w:cstheme="minorBidi"/>
          <w:color w:val="auto"/>
          <w:sz w:val="20"/>
          <w:szCs w:val="20"/>
        </w:rPr>
      </w:pPr>
    </w:p>
    <w:p w14:paraId="6CD31FED" w14:textId="4F2B607D" w:rsidR="007A2737" w:rsidRPr="00992741" w:rsidRDefault="3AEB50F1" w:rsidP="6C54F3A7">
      <w:pPr>
        <w:pStyle w:val="K-Nadpis3"/>
        <w:rPr>
          <w:rFonts w:asciiTheme="minorHAnsi" w:eastAsiaTheme="minorEastAsia" w:hAnsiTheme="minorHAnsi" w:cstheme="minorBidi"/>
          <w:color w:val="auto"/>
          <w:sz w:val="20"/>
          <w:szCs w:val="20"/>
        </w:rPr>
      </w:pPr>
      <w:r w:rsidRPr="6C54F3A7">
        <w:rPr>
          <w:rFonts w:asciiTheme="minorHAnsi" w:eastAsiaTheme="minorEastAsia" w:hAnsiTheme="minorHAnsi" w:cstheme="minorBidi"/>
          <w:color w:val="auto"/>
          <w:sz w:val="20"/>
          <w:szCs w:val="20"/>
        </w:rPr>
        <w:t xml:space="preserve">c) </w:t>
      </w:r>
      <w:r w:rsidR="394C3D6D" w:rsidRPr="6C54F3A7">
        <w:rPr>
          <w:rFonts w:asciiTheme="minorHAnsi" w:eastAsiaTheme="minorEastAsia" w:hAnsiTheme="minorHAnsi" w:cstheme="minorBidi"/>
          <w:color w:val="auto"/>
          <w:sz w:val="20"/>
          <w:szCs w:val="20"/>
        </w:rPr>
        <w:t>Národní strategický kontext</w:t>
      </w:r>
    </w:p>
    <w:p w14:paraId="7FE40BD2" w14:textId="587B82CB" w:rsidR="00B26B47" w:rsidRPr="00992741" w:rsidRDefault="5F7DB517"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 xml:space="preserve">Společenský pokrok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v</w:t>
      </w:r>
      <w:r w:rsidR="62317338" w:rsidRPr="6C54F3A7">
        <w:rPr>
          <w:rFonts w:asciiTheme="minorHAnsi" w:eastAsiaTheme="minorEastAsia" w:hAnsiTheme="minorHAnsi" w:cstheme="minorBidi"/>
          <w:i w:val="0"/>
          <w:iCs w:val="0"/>
          <w:color w:val="auto"/>
          <w:sz w:val="20"/>
          <w:szCs w:val="20"/>
        </w:rPr>
        <w:t xml:space="preserve">eškeré moderní technologie jsou </w:t>
      </w:r>
      <w:r w:rsidR="4E13A472" w:rsidRPr="6C54F3A7">
        <w:rPr>
          <w:rFonts w:asciiTheme="minorHAnsi" w:eastAsiaTheme="minorEastAsia" w:hAnsiTheme="minorHAnsi" w:cstheme="minorBidi"/>
          <w:i w:val="0"/>
          <w:iCs w:val="0"/>
          <w:color w:val="auto"/>
          <w:sz w:val="20"/>
          <w:szCs w:val="20"/>
        </w:rPr>
        <w:t xml:space="preserve">principiálně </w:t>
      </w:r>
      <w:r w:rsidR="62317338" w:rsidRPr="6C54F3A7">
        <w:rPr>
          <w:rFonts w:asciiTheme="minorHAnsi" w:eastAsiaTheme="minorEastAsia" w:hAnsiTheme="minorHAnsi" w:cstheme="minorBidi"/>
          <w:i w:val="0"/>
          <w:iCs w:val="0"/>
          <w:color w:val="auto"/>
          <w:sz w:val="20"/>
          <w:szCs w:val="20"/>
        </w:rPr>
        <w:t xml:space="preserve">založeny na objevech </w:t>
      </w:r>
      <w:r w:rsidR="11C4B70F" w:rsidRPr="6C54F3A7">
        <w:rPr>
          <w:rFonts w:asciiTheme="minorHAnsi" w:eastAsiaTheme="minorEastAsia" w:hAnsiTheme="minorHAnsi" w:cstheme="minorBidi"/>
          <w:i w:val="0"/>
          <w:iCs w:val="0"/>
          <w:color w:val="auto"/>
          <w:sz w:val="20"/>
          <w:szCs w:val="20"/>
        </w:rPr>
        <w:t>a </w:t>
      </w:r>
      <w:r w:rsidR="62317338" w:rsidRPr="6C54F3A7">
        <w:rPr>
          <w:rFonts w:asciiTheme="minorHAnsi" w:eastAsiaTheme="minorEastAsia" w:hAnsiTheme="minorHAnsi" w:cstheme="minorBidi"/>
          <w:i w:val="0"/>
          <w:iCs w:val="0"/>
          <w:color w:val="auto"/>
          <w:sz w:val="20"/>
          <w:szCs w:val="20"/>
        </w:rPr>
        <w:t xml:space="preserve">vynálezech, které byly výsledkem touhy po poznání mnoha předešlých generací. Ekonomický </w:t>
      </w:r>
      <w:r w:rsidR="11C4B70F" w:rsidRPr="6C54F3A7">
        <w:rPr>
          <w:rFonts w:asciiTheme="minorHAnsi" w:eastAsiaTheme="minorEastAsia" w:hAnsiTheme="minorHAnsi" w:cstheme="minorBidi"/>
          <w:i w:val="0"/>
          <w:iCs w:val="0"/>
          <w:color w:val="auto"/>
          <w:sz w:val="20"/>
          <w:szCs w:val="20"/>
        </w:rPr>
        <w:t>i </w:t>
      </w:r>
      <w:r w:rsidR="62317338" w:rsidRPr="6C54F3A7">
        <w:rPr>
          <w:rFonts w:asciiTheme="minorHAnsi" w:eastAsiaTheme="minorEastAsia" w:hAnsiTheme="minorHAnsi" w:cstheme="minorBidi"/>
          <w:i w:val="0"/>
          <w:iCs w:val="0"/>
          <w:color w:val="auto"/>
          <w:sz w:val="20"/>
          <w:szCs w:val="20"/>
        </w:rPr>
        <w:t xml:space="preserve">společenský dopad drtivé většiny klíčových objevů posledních století nebyl </w:t>
      </w:r>
      <w:r w:rsidR="11C4B70F" w:rsidRPr="6C54F3A7">
        <w:rPr>
          <w:rFonts w:asciiTheme="minorHAnsi" w:eastAsiaTheme="minorEastAsia" w:hAnsiTheme="minorHAnsi" w:cstheme="minorBidi"/>
          <w:i w:val="0"/>
          <w:iCs w:val="0"/>
          <w:color w:val="auto"/>
          <w:sz w:val="20"/>
          <w:szCs w:val="20"/>
        </w:rPr>
        <w:t>v </w:t>
      </w:r>
      <w:r w:rsidR="62317338" w:rsidRPr="6C54F3A7">
        <w:rPr>
          <w:rFonts w:asciiTheme="minorHAnsi" w:eastAsiaTheme="minorEastAsia" w:hAnsiTheme="minorHAnsi" w:cstheme="minorBidi"/>
          <w:i w:val="0"/>
          <w:iCs w:val="0"/>
          <w:color w:val="auto"/>
          <w:sz w:val="20"/>
          <w:szCs w:val="20"/>
        </w:rPr>
        <w:t xml:space="preserve">době jejich zrodu zřejmý </w:t>
      </w:r>
      <w:r w:rsidR="11C4B70F" w:rsidRPr="6C54F3A7">
        <w:rPr>
          <w:rFonts w:asciiTheme="minorHAnsi" w:eastAsiaTheme="minorEastAsia" w:hAnsiTheme="minorHAnsi" w:cstheme="minorBidi"/>
          <w:i w:val="0"/>
          <w:iCs w:val="0"/>
          <w:color w:val="auto"/>
          <w:sz w:val="20"/>
          <w:szCs w:val="20"/>
        </w:rPr>
        <w:t>a </w:t>
      </w:r>
      <w:r w:rsidR="62317338" w:rsidRPr="6C54F3A7">
        <w:rPr>
          <w:rFonts w:asciiTheme="minorHAnsi" w:eastAsiaTheme="minorEastAsia" w:hAnsiTheme="minorHAnsi" w:cstheme="minorBidi"/>
          <w:i w:val="0"/>
          <w:iCs w:val="0"/>
          <w:color w:val="auto"/>
          <w:sz w:val="20"/>
          <w:szCs w:val="20"/>
        </w:rPr>
        <w:t xml:space="preserve">trvalo často několik desetiletí, než vědecké poznatky našly praktické uplatnění. Udržet touhu po poznání, která je důležitým hnacím motorem rozvoje společnosti </w:t>
      </w:r>
      <w:r w:rsidR="11C4B70F" w:rsidRPr="6C54F3A7">
        <w:rPr>
          <w:rFonts w:asciiTheme="minorHAnsi" w:eastAsiaTheme="minorEastAsia" w:hAnsiTheme="minorHAnsi" w:cstheme="minorBidi"/>
          <w:i w:val="0"/>
          <w:iCs w:val="0"/>
          <w:color w:val="auto"/>
          <w:sz w:val="20"/>
          <w:szCs w:val="20"/>
        </w:rPr>
        <w:t>i v </w:t>
      </w:r>
      <w:r w:rsidR="62317338" w:rsidRPr="6C54F3A7">
        <w:rPr>
          <w:rFonts w:asciiTheme="minorHAnsi" w:eastAsiaTheme="minorEastAsia" w:hAnsiTheme="minorHAnsi" w:cstheme="minorBidi"/>
          <w:i w:val="0"/>
          <w:iCs w:val="0"/>
          <w:color w:val="auto"/>
          <w:sz w:val="20"/>
          <w:szCs w:val="20"/>
        </w:rPr>
        <w:t>budoucnu, je</w:t>
      </w:r>
      <w:r w:rsidR="4E13A472" w:rsidRPr="6C54F3A7">
        <w:rPr>
          <w:rFonts w:asciiTheme="minorHAnsi" w:eastAsiaTheme="minorEastAsia" w:hAnsiTheme="minorHAnsi" w:cstheme="minorBidi"/>
          <w:i w:val="0"/>
          <w:iCs w:val="0"/>
          <w:color w:val="auto"/>
          <w:sz w:val="20"/>
          <w:szCs w:val="20"/>
        </w:rPr>
        <w:t xml:space="preserve"> žádoucí investicí </w:t>
      </w:r>
      <w:r w:rsidR="11C4B70F" w:rsidRPr="6C54F3A7">
        <w:rPr>
          <w:rFonts w:asciiTheme="minorHAnsi" w:eastAsiaTheme="minorEastAsia" w:hAnsiTheme="minorHAnsi" w:cstheme="minorBidi"/>
          <w:i w:val="0"/>
          <w:iCs w:val="0"/>
          <w:color w:val="auto"/>
          <w:sz w:val="20"/>
          <w:szCs w:val="20"/>
        </w:rPr>
        <w:t>a </w:t>
      </w:r>
      <w:r w:rsidR="4E13A472" w:rsidRPr="6C54F3A7">
        <w:rPr>
          <w:rFonts w:asciiTheme="minorHAnsi" w:eastAsiaTheme="minorEastAsia" w:hAnsiTheme="minorHAnsi" w:cstheme="minorBidi"/>
          <w:i w:val="0"/>
          <w:iCs w:val="0"/>
          <w:color w:val="auto"/>
          <w:sz w:val="20"/>
          <w:szCs w:val="20"/>
        </w:rPr>
        <w:t xml:space="preserve">nezbytným </w:t>
      </w:r>
      <w:r w:rsidR="62317338" w:rsidRPr="6C54F3A7">
        <w:rPr>
          <w:rFonts w:asciiTheme="minorHAnsi" w:eastAsiaTheme="minorEastAsia" w:hAnsiTheme="minorHAnsi" w:cstheme="minorBidi"/>
          <w:i w:val="0"/>
          <w:iCs w:val="0"/>
          <w:color w:val="auto"/>
          <w:sz w:val="20"/>
          <w:szCs w:val="20"/>
        </w:rPr>
        <w:t>předpoklad</w:t>
      </w:r>
      <w:r w:rsidR="4E13A472" w:rsidRPr="6C54F3A7">
        <w:rPr>
          <w:rFonts w:asciiTheme="minorHAnsi" w:eastAsiaTheme="minorEastAsia" w:hAnsiTheme="minorHAnsi" w:cstheme="minorBidi"/>
          <w:i w:val="0"/>
          <w:iCs w:val="0"/>
          <w:color w:val="auto"/>
          <w:sz w:val="20"/>
          <w:szCs w:val="20"/>
        </w:rPr>
        <w:t>em</w:t>
      </w:r>
      <w:r w:rsidR="62317338" w:rsidRPr="6C54F3A7">
        <w:rPr>
          <w:rFonts w:asciiTheme="minorHAnsi" w:eastAsiaTheme="minorEastAsia" w:hAnsiTheme="minorHAnsi" w:cstheme="minorBidi"/>
          <w:i w:val="0"/>
          <w:iCs w:val="0"/>
          <w:color w:val="auto"/>
          <w:sz w:val="20"/>
          <w:szCs w:val="20"/>
        </w:rPr>
        <w:t xml:space="preserve"> pro</w:t>
      </w:r>
      <w:r w:rsidR="51F08B9C" w:rsidRPr="6C54F3A7">
        <w:rPr>
          <w:rFonts w:asciiTheme="minorHAnsi" w:eastAsiaTheme="minorEastAsia" w:hAnsiTheme="minorHAnsi" w:cstheme="minorBidi"/>
          <w:i w:val="0"/>
          <w:iCs w:val="0"/>
          <w:color w:val="auto"/>
          <w:sz w:val="20"/>
          <w:szCs w:val="20"/>
        </w:rPr>
        <w:t> </w:t>
      </w:r>
      <w:r w:rsidR="62317338" w:rsidRPr="6C54F3A7">
        <w:rPr>
          <w:rFonts w:asciiTheme="minorHAnsi" w:eastAsiaTheme="minorEastAsia" w:hAnsiTheme="minorHAnsi" w:cstheme="minorBidi"/>
          <w:i w:val="0"/>
          <w:iCs w:val="0"/>
          <w:color w:val="auto"/>
          <w:sz w:val="20"/>
          <w:szCs w:val="20"/>
        </w:rPr>
        <w:t>všestrannou prosperitu České republiky.</w:t>
      </w:r>
    </w:p>
    <w:p w14:paraId="6AA6776A" w14:textId="760859D7" w:rsidR="00B26B47" w:rsidRPr="00992741" w:rsidRDefault="62317338"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 xml:space="preserve">Chceme-li být mezinárodně relevantní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 xml:space="preserve">rychle zvyšovat produktivitu práce, je nutné zajistit rozvoj všech složek výzkumu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 xml:space="preserve">vývoje </w:t>
      </w:r>
      <w:r w:rsidR="11C4B70F" w:rsidRPr="6C54F3A7">
        <w:rPr>
          <w:rFonts w:asciiTheme="minorHAnsi" w:eastAsiaTheme="minorEastAsia" w:hAnsiTheme="minorHAnsi" w:cstheme="minorBidi"/>
          <w:i w:val="0"/>
          <w:iCs w:val="0"/>
          <w:color w:val="auto"/>
          <w:sz w:val="20"/>
          <w:szCs w:val="20"/>
        </w:rPr>
        <w:t>v </w:t>
      </w:r>
      <w:r w:rsidRPr="6C54F3A7">
        <w:rPr>
          <w:rFonts w:asciiTheme="minorHAnsi" w:eastAsiaTheme="minorEastAsia" w:hAnsiTheme="minorHAnsi" w:cstheme="minorBidi"/>
          <w:i w:val="0"/>
          <w:iCs w:val="0"/>
          <w:color w:val="auto"/>
          <w:sz w:val="20"/>
          <w:szCs w:val="20"/>
        </w:rPr>
        <w:t xml:space="preserve">ČR – základního výzkumu, aplikovaného výzkumu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 xml:space="preserve">vývoje. Je třeba řešit výzvy jako zjednodušení spolupráce soukromého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 xml:space="preserve">veřejného sektoru, inovace </w:t>
      </w:r>
      <w:r w:rsidR="11C4B70F" w:rsidRPr="6C54F3A7">
        <w:rPr>
          <w:rFonts w:asciiTheme="minorHAnsi" w:eastAsiaTheme="minorEastAsia" w:hAnsiTheme="minorHAnsi" w:cstheme="minorBidi"/>
          <w:i w:val="0"/>
          <w:iCs w:val="0"/>
          <w:color w:val="auto"/>
          <w:sz w:val="20"/>
          <w:szCs w:val="20"/>
        </w:rPr>
        <w:t>v </w:t>
      </w:r>
      <w:r w:rsidRPr="6C54F3A7">
        <w:rPr>
          <w:rFonts w:asciiTheme="minorHAnsi" w:eastAsiaTheme="minorEastAsia" w:hAnsiTheme="minorHAnsi" w:cstheme="minorBidi"/>
          <w:i w:val="0"/>
          <w:iCs w:val="0"/>
          <w:color w:val="auto"/>
          <w:sz w:val="20"/>
          <w:szCs w:val="20"/>
        </w:rPr>
        <w:t xml:space="preserve">podnicích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 xml:space="preserve">zaměření výzkumu, vývoje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inovací</w:t>
      </w:r>
      <w:r w:rsidR="4E13A472" w:rsidRPr="6C54F3A7">
        <w:rPr>
          <w:rFonts w:asciiTheme="minorHAnsi" w:eastAsiaTheme="minorEastAsia" w:hAnsiTheme="minorHAnsi" w:cstheme="minorBidi"/>
          <w:i w:val="0"/>
          <w:iCs w:val="0"/>
          <w:color w:val="auto"/>
          <w:sz w:val="20"/>
          <w:szCs w:val="20"/>
        </w:rPr>
        <w:t xml:space="preserve"> do prioritních oblastí, zejména těch, </w:t>
      </w:r>
      <w:r w:rsidR="7AA2D90B" w:rsidRPr="6C54F3A7">
        <w:rPr>
          <w:rFonts w:asciiTheme="minorHAnsi" w:eastAsiaTheme="minorEastAsia" w:hAnsiTheme="minorHAnsi" w:cstheme="minorBidi"/>
          <w:i w:val="0"/>
          <w:iCs w:val="0"/>
          <w:color w:val="auto"/>
          <w:sz w:val="20"/>
          <w:szCs w:val="20"/>
        </w:rPr>
        <w:t xml:space="preserve">které byly </w:t>
      </w:r>
      <w:r w:rsidR="4E13A472" w:rsidRPr="6C54F3A7">
        <w:rPr>
          <w:rFonts w:asciiTheme="minorHAnsi" w:eastAsiaTheme="minorEastAsia" w:hAnsiTheme="minorHAnsi" w:cstheme="minorBidi"/>
          <w:i w:val="0"/>
          <w:iCs w:val="0"/>
          <w:color w:val="auto"/>
          <w:sz w:val="20"/>
          <w:szCs w:val="20"/>
        </w:rPr>
        <w:t>identifikov</w:t>
      </w:r>
      <w:r w:rsidR="7AA2D90B" w:rsidRPr="6C54F3A7">
        <w:rPr>
          <w:rFonts w:asciiTheme="minorHAnsi" w:eastAsiaTheme="minorEastAsia" w:hAnsiTheme="minorHAnsi" w:cstheme="minorBidi"/>
          <w:i w:val="0"/>
          <w:iCs w:val="0"/>
          <w:color w:val="auto"/>
          <w:sz w:val="20"/>
          <w:szCs w:val="20"/>
        </w:rPr>
        <w:t>ány</w:t>
      </w:r>
      <w:r w:rsidR="4E13A472" w:rsidRPr="6C54F3A7">
        <w:rPr>
          <w:rFonts w:asciiTheme="minorHAnsi" w:eastAsiaTheme="minorEastAsia" w:hAnsiTheme="minorHAnsi" w:cstheme="minorBidi"/>
          <w:i w:val="0"/>
          <w:iCs w:val="0"/>
          <w:color w:val="auto"/>
          <w:sz w:val="20"/>
          <w:szCs w:val="20"/>
        </w:rPr>
        <w:t xml:space="preserve"> v krizových obdobích</w:t>
      </w:r>
      <w:r w:rsidRPr="6C54F3A7">
        <w:rPr>
          <w:rFonts w:asciiTheme="minorHAnsi" w:eastAsiaTheme="minorEastAsia" w:hAnsiTheme="minorHAnsi" w:cstheme="minorBidi"/>
          <w:i w:val="0"/>
          <w:iCs w:val="0"/>
          <w:color w:val="auto"/>
          <w:sz w:val="20"/>
          <w:szCs w:val="20"/>
        </w:rPr>
        <w:t>.</w:t>
      </w:r>
    </w:p>
    <w:p w14:paraId="513BA011" w14:textId="0BBED2A9" w:rsidR="00246021" w:rsidRPr="00F34B12" w:rsidRDefault="567210E2"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Výzkum a technologický vývoj v progresivních vědních oborech přináší znalostní předpoklady pro</w:t>
      </w:r>
      <w:r w:rsidR="51F08B9C" w:rsidRPr="6C54F3A7">
        <w:rPr>
          <w:rFonts w:asciiTheme="minorHAnsi" w:eastAsiaTheme="minorEastAsia" w:hAnsiTheme="minorHAnsi" w:cstheme="minorBidi"/>
          <w:i w:val="0"/>
          <w:iCs w:val="0"/>
          <w:color w:val="auto"/>
          <w:sz w:val="20"/>
          <w:szCs w:val="20"/>
        </w:rPr>
        <w:t> </w:t>
      </w:r>
      <w:r w:rsidRPr="6C54F3A7">
        <w:rPr>
          <w:rFonts w:asciiTheme="minorHAnsi" w:eastAsiaTheme="minorEastAsia" w:hAnsiTheme="minorHAnsi" w:cstheme="minorBidi"/>
          <w:i w:val="0"/>
          <w:iCs w:val="0"/>
          <w:color w:val="auto"/>
          <w:sz w:val="20"/>
          <w:szCs w:val="20"/>
        </w:rPr>
        <w:t>posílení ekonomiky</w:t>
      </w:r>
      <w:r w:rsidR="7AA2D90B" w:rsidRPr="6C54F3A7">
        <w:rPr>
          <w:rFonts w:asciiTheme="minorHAnsi" w:eastAsiaTheme="minorEastAsia" w:hAnsiTheme="minorHAnsi" w:cstheme="minorBidi"/>
          <w:i w:val="0"/>
          <w:iCs w:val="0"/>
          <w:color w:val="auto"/>
          <w:sz w:val="20"/>
          <w:szCs w:val="20"/>
        </w:rPr>
        <w:t>,</w:t>
      </w:r>
      <w:r w:rsidRPr="6C54F3A7">
        <w:rPr>
          <w:rFonts w:asciiTheme="minorHAnsi" w:eastAsiaTheme="minorEastAsia" w:hAnsiTheme="minorHAnsi" w:cstheme="minorBidi"/>
          <w:i w:val="0"/>
          <w:iCs w:val="0"/>
          <w:color w:val="auto"/>
          <w:sz w:val="20"/>
          <w:szCs w:val="20"/>
        </w:rPr>
        <w:t xml:space="preserve"> mírnění dopadů klimatické změny,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 xml:space="preserve">posilují </w:t>
      </w:r>
      <w:r w:rsidR="11C4B70F" w:rsidRPr="6C54F3A7">
        <w:rPr>
          <w:rFonts w:asciiTheme="minorHAnsi" w:eastAsiaTheme="minorEastAsia" w:hAnsiTheme="minorHAnsi" w:cstheme="minorBidi"/>
          <w:i w:val="0"/>
          <w:iCs w:val="0"/>
          <w:color w:val="auto"/>
          <w:sz w:val="20"/>
          <w:szCs w:val="20"/>
        </w:rPr>
        <w:t>i </w:t>
      </w:r>
      <w:r w:rsidRPr="6C54F3A7">
        <w:rPr>
          <w:rFonts w:asciiTheme="minorHAnsi" w:eastAsiaTheme="minorEastAsia" w:hAnsiTheme="minorHAnsi" w:cstheme="minorBidi"/>
          <w:i w:val="0"/>
          <w:iCs w:val="0"/>
          <w:color w:val="auto"/>
          <w:sz w:val="20"/>
          <w:szCs w:val="20"/>
        </w:rPr>
        <w:t xml:space="preserve">připravenost a odolnost společnosti vůči socioekonomickým krizím, jakou představuje např. ta vyvolaná pandemií nového druhu </w:t>
      </w:r>
      <w:proofErr w:type="spellStart"/>
      <w:r w:rsidRPr="6C54F3A7">
        <w:rPr>
          <w:rFonts w:asciiTheme="minorHAnsi" w:eastAsiaTheme="minorEastAsia" w:hAnsiTheme="minorHAnsi" w:cstheme="minorBidi"/>
          <w:i w:val="0"/>
          <w:iCs w:val="0"/>
          <w:color w:val="auto"/>
          <w:sz w:val="20"/>
          <w:szCs w:val="20"/>
        </w:rPr>
        <w:t>koronaviru</w:t>
      </w:r>
      <w:proofErr w:type="spellEnd"/>
      <w:r w:rsidRPr="6C54F3A7">
        <w:rPr>
          <w:rFonts w:asciiTheme="minorHAnsi" w:eastAsiaTheme="minorEastAsia" w:hAnsiTheme="minorHAnsi" w:cstheme="minorBidi"/>
          <w:i w:val="0"/>
          <w:iCs w:val="0"/>
          <w:color w:val="auto"/>
          <w:sz w:val="20"/>
          <w:szCs w:val="20"/>
        </w:rPr>
        <w:t xml:space="preserve"> SARS-CoV-2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 xml:space="preserve">onemocněním Covid-19. Nástrojem pro dosažení přelomových poznatků </w:t>
      </w:r>
      <w:r w:rsidR="11C4B70F" w:rsidRPr="6C54F3A7">
        <w:rPr>
          <w:rFonts w:asciiTheme="minorHAnsi" w:eastAsiaTheme="minorEastAsia" w:hAnsiTheme="minorHAnsi" w:cstheme="minorBidi"/>
          <w:i w:val="0"/>
          <w:iCs w:val="0"/>
          <w:color w:val="auto"/>
          <w:sz w:val="20"/>
          <w:szCs w:val="20"/>
        </w:rPr>
        <w:t>s </w:t>
      </w:r>
      <w:r w:rsidRPr="6C54F3A7">
        <w:rPr>
          <w:rFonts w:asciiTheme="minorHAnsi" w:eastAsiaTheme="minorEastAsia" w:hAnsiTheme="minorHAnsi" w:cstheme="minorBidi"/>
          <w:i w:val="0"/>
          <w:iCs w:val="0"/>
          <w:color w:val="auto"/>
          <w:sz w:val="20"/>
          <w:szCs w:val="20"/>
        </w:rPr>
        <w:t xml:space="preserve">vysokým potenciálem pro jejich následný transfer do produktů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 xml:space="preserve">služeb </w:t>
      </w:r>
      <w:r w:rsidR="11C4B70F" w:rsidRPr="6C54F3A7">
        <w:rPr>
          <w:rFonts w:asciiTheme="minorHAnsi" w:eastAsiaTheme="minorEastAsia" w:hAnsiTheme="minorHAnsi" w:cstheme="minorBidi"/>
          <w:i w:val="0"/>
          <w:iCs w:val="0"/>
          <w:color w:val="auto"/>
          <w:sz w:val="20"/>
          <w:szCs w:val="20"/>
        </w:rPr>
        <w:t>s </w:t>
      </w:r>
      <w:r w:rsidRPr="6C54F3A7">
        <w:rPr>
          <w:rFonts w:asciiTheme="minorHAnsi" w:eastAsiaTheme="minorEastAsia" w:hAnsiTheme="minorHAnsi" w:cstheme="minorBidi"/>
          <w:i w:val="0"/>
          <w:iCs w:val="0"/>
          <w:color w:val="auto"/>
          <w:sz w:val="20"/>
          <w:szCs w:val="20"/>
        </w:rPr>
        <w:t xml:space="preserve">vysokou přidanou hodnotou a socioekonomickou relevancí je špičková výzkumná infrastruktura využívaná k realizaci </w:t>
      </w:r>
      <w:r w:rsidR="4E13A472" w:rsidRPr="6C54F3A7">
        <w:rPr>
          <w:rFonts w:asciiTheme="minorHAnsi" w:eastAsiaTheme="minorEastAsia" w:hAnsiTheme="minorHAnsi" w:cstheme="minorBidi"/>
          <w:i w:val="0"/>
          <w:iCs w:val="0"/>
          <w:color w:val="auto"/>
          <w:sz w:val="20"/>
          <w:szCs w:val="20"/>
        </w:rPr>
        <w:t xml:space="preserve">interdisciplinárního </w:t>
      </w:r>
      <w:r w:rsidR="11C4B70F" w:rsidRPr="6C54F3A7">
        <w:rPr>
          <w:rFonts w:asciiTheme="minorHAnsi" w:eastAsiaTheme="minorEastAsia" w:hAnsiTheme="minorHAnsi" w:cstheme="minorBidi"/>
          <w:i w:val="0"/>
          <w:iCs w:val="0"/>
          <w:color w:val="auto"/>
          <w:sz w:val="20"/>
          <w:szCs w:val="20"/>
        </w:rPr>
        <w:t>i </w:t>
      </w:r>
      <w:r w:rsidRPr="6C54F3A7">
        <w:rPr>
          <w:rFonts w:asciiTheme="minorHAnsi" w:eastAsiaTheme="minorEastAsia" w:hAnsiTheme="minorHAnsi" w:cstheme="minorBidi"/>
          <w:i w:val="0"/>
          <w:iCs w:val="0"/>
          <w:color w:val="auto"/>
          <w:sz w:val="20"/>
          <w:szCs w:val="20"/>
        </w:rPr>
        <w:t>multi</w:t>
      </w:r>
      <w:r w:rsidR="4E13A472" w:rsidRPr="6C54F3A7">
        <w:rPr>
          <w:rFonts w:asciiTheme="minorHAnsi" w:eastAsiaTheme="minorEastAsia" w:hAnsiTheme="minorHAnsi" w:cstheme="minorBidi"/>
          <w:i w:val="0"/>
          <w:iCs w:val="0"/>
          <w:color w:val="auto"/>
          <w:sz w:val="20"/>
          <w:szCs w:val="20"/>
        </w:rPr>
        <w:t xml:space="preserve">disciplinárního </w:t>
      </w:r>
      <w:r w:rsidRPr="6C54F3A7">
        <w:rPr>
          <w:rFonts w:asciiTheme="minorHAnsi" w:eastAsiaTheme="minorEastAsia" w:hAnsiTheme="minorHAnsi" w:cstheme="minorBidi"/>
          <w:i w:val="0"/>
          <w:iCs w:val="0"/>
          <w:color w:val="auto"/>
          <w:sz w:val="20"/>
          <w:szCs w:val="20"/>
        </w:rPr>
        <w:t>výzkum</w:t>
      </w:r>
      <w:r w:rsidR="5F7DB517" w:rsidRPr="6C54F3A7">
        <w:rPr>
          <w:rFonts w:asciiTheme="minorHAnsi" w:eastAsiaTheme="minorEastAsia" w:hAnsiTheme="minorHAnsi" w:cstheme="minorBidi"/>
          <w:i w:val="0"/>
          <w:iCs w:val="0"/>
          <w:color w:val="auto"/>
          <w:sz w:val="20"/>
          <w:szCs w:val="20"/>
        </w:rPr>
        <w:t>u</w:t>
      </w:r>
      <w:r w:rsidR="4E13A472" w:rsidRPr="6C54F3A7">
        <w:rPr>
          <w:rFonts w:asciiTheme="minorHAnsi" w:eastAsiaTheme="minorEastAsia" w:hAnsiTheme="minorHAnsi" w:cstheme="minorBidi"/>
          <w:i w:val="0"/>
          <w:iCs w:val="0"/>
          <w:color w:val="auto"/>
          <w:sz w:val="20"/>
          <w:szCs w:val="20"/>
        </w:rPr>
        <w:t xml:space="preserve"> </w:t>
      </w:r>
      <w:r w:rsidR="11C4B70F" w:rsidRPr="6C54F3A7">
        <w:rPr>
          <w:rFonts w:asciiTheme="minorHAnsi" w:eastAsiaTheme="minorEastAsia" w:hAnsiTheme="minorHAnsi" w:cstheme="minorBidi"/>
          <w:i w:val="0"/>
          <w:iCs w:val="0"/>
          <w:color w:val="auto"/>
          <w:sz w:val="20"/>
          <w:szCs w:val="20"/>
        </w:rPr>
        <w:t>a </w:t>
      </w:r>
      <w:r w:rsidR="4E13A472" w:rsidRPr="6C54F3A7">
        <w:rPr>
          <w:rFonts w:asciiTheme="minorHAnsi" w:eastAsiaTheme="minorEastAsia" w:hAnsiTheme="minorHAnsi" w:cstheme="minorBidi"/>
          <w:i w:val="0"/>
          <w:iCs w:val="0"/>
          <w:color w:val="auto"/>
          <w:sz w:val="20"/>
          <w:szCs w:val="20"/>
        </w:rPr>
        <w:t>vývoje</w:t>
      </w:r>
      <w:r w:rsidRPr="6C54F3A7">
        <w:rPr>
          <w:rFonts w:asciiTheme="minorHAnsi" w:eastAsiaTheme="minorEastAsia" w:hAnsiTheme="minorHAnsi" w:cstheme="minorBidi"/>
          <w:i w:val="0"/>
          <w:iCs w:val="0"/>
          <w:color w:val="auto"/>
          <w:sz w:val="20"/>
          <w:szCs w:val="20"/>
        </w:rPr>
        <w:t>.</w:t>
      </w:r>
      <w:r w:rsidR="49A6D6E9" w:rsidRPr="6C54F3A7">
        <w:rPr>
          <w:rFonts w:asciiTheme="minorHAnsi" w:eastAsiaTheme="minorEastAsia" w:hAnsiTheme="minorHAnsi" w:cstheme="minorBidi"/>
          <w:i w:val="0"/>
          <w:iCs w:val="0"/>
          <w:color w:val="auto"/>
          <w:sz w:val="20"/>
          <w:szCs w:val="20"/>
        </w:rPr>
        <w:t xml:space="preserve"> Neméně důležité je i pokročilé a transparentní řízení lidských zdrojů (zahrnující </w:t>
      </w:r>
      <w:r w:rsidR="42ED0E70" w:rsidRPr="6C54F3A7">
        <w:rPr>
          <w:rFonts w:asciiTheme="minorHAnsi" w:eastAsiaTheme="minorEastAsia" w:hAnsiTheme="minorHAnsi" w:cstheme="minorBidi"/>
          <w:i w:val="0"/>
          <w:iCs w:val="0"/>
          <w:color w:val="auto"/>
          <w:sz w:val="20"/>
          <w:szCs w:val="20"/>
        </w:rPr>
        <w:t xml:space="preserve">též </w:t>
      </w:r>
      <w:r w:rsidR="49A6D6E9" w:rsidRPr="6C54F3A7">
        <w:rPr>
          <w:rFonts w:asciiTheme="minorHAnsi" w:eastAsiaTheme="minorEastAsia" w:hAnsiTheme="minorHAnsi" w:cstheme="minorBidi"/>
          <w:i w:val="0"/>
          <w:iCs w:val="0"/>
          <w:color w:val="auto"/>
          <w:sz w:val="20"/>
          <w:szCs w:val="20"/>
        </w:rPr>
        <w:t>genderové aspekty).</w:t>
      </w:r>
    </w:p>
    <w:p w14:paraId="04F56EE8" w14:textId="02D92838" w:rsidR="003F3AF2" w:rsidRPr="00992741" w:rsidRDefault="140FEC41"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 xml:space="preserve">Základním strategickým dokumentem </w:t>
      </w:r>
      <w:r w:rsidR="55437EDF" w:rsidRPr="6C54F3A7">
        <w:rPr>
          <w:rFonts w:asciiTheme="minorHAnsi" w:eastAsiaTheme="minorEastAsia" w:hAnsiTheme="minorHAnsi" w:cstheme="minorBidi"/>
          <w:i w:val="0"/>
          <w:iCs w:val="0"/>
          <w:color w:val="auto"/>
          <w:sz w:val="20"/>
          <w:szCs w:val="20"/>
        </w:rPr>
        <w:t xml:space="preserve">pro Českou republiku </w:t>
      </w:r>
      <w:r w:rsidR="11C4B70F" w:rsidRPr="6C54F3A7">
        <w:rPr>
          <w:rFonts w:asciiTheme="minorHAnsi" w:eastAsiaTheme="minorEastAsia" w:hAnsiTheme="minorHAnsi" w:cstheme="minorBidi"/>
          <w:i w:val="0"/>
          <w:iCs w:val="0"/>
          <w:color w:val="auto"/>
          <w:sz w:val="20"/>
          <w:szCs w:val="20"/>
        </w:rPr>
        <w:t>v </w:t>
      </w:r>
      <w:r w:rsidR="62949B9B" w:rsidRPr="6C54F3A7">
        <w:rPr>
          <w:rFonts w:asciiTheme="minorHAnsi" w:eastAsiaTheme="minorEastAsia" w:hAnsiTheme="minorHAnsi" w:cstheme="minorBidi"/>
          <w:i w:val="0"/>
          <w:iCs w:val="0"/>
          <w:color w:val="auto"/>
          <w:sz w:val="20"/>
          <w:szCs w:val="20"/>
        </w:rPr>
        <w:t xml:space="preserve">oblasti </w:t>
      </w:r>
      <w:proofErr w:type="spellStart"/>
      <w:r w:rsidR="62949B9B" w:rsidRPr="6C54F3A7">
        <w:rPr>
          <w:rFonts w:asciiTheme="minorHAnsi" w:eastAsiaTheme="minorEastAsia" w:hAnsiTheme="minorHAnsi" w:cstheme="minorBidi"/>
          <w:i w:val="0"/>
          <w:iCs w:val="0"/>
          <w:color w:val="auto"/>
          <w:sz w:val="20"/>
          <w:szCs w:val="20"/>
        </w:rPr>
        <w:t>VaVaI</w:t>
      </w:r>
      <w:proofErr w:type="spellEnd"/>
      <w:r w:rsidR="62949B9B" w:rsidRPr="6C54F3A7">
        <w:rPr>
          <w:rFonts w:asciiTheme="minorHAnsi" w:eastAsiaTheme="minorEastAsia" w:hAnsiTheme="minorHAnsi" w:cstheme="minorBidi"/>
          <w:i w:val="0"/>
          <w:iCs w:val="0"/>
          <w:color w:val="auto"/>
          <w:sz w:val="20"/>
          <w:szCs w:val="20"/>
        </w:rPr>
        <w:t xml:space="preserve"> </w:t>
      </w:r>
      <w:r w:rsidR="55437EDF" w:rsidRPr="6C54F3A7">
        <w:rPr>
          <w:rFonts w:asciiTheme="minorHAnsi" w:eastAsiaTheme="minorEastAsia" w:hAnsiTheme="minorHAnsi" w:cstheme="minorBidi"/>
          <w:i w:val="0"/>
          <w:iCs w:val="0"/>
          <w:color w:val="auto"/>
          <w:sz w:val="20"/>
          <w:szCs w:val="20"/>
        </w:rPr>
        <w:t xml:space="preserve">je </w:t>
      </w:r>
      <w:r w:rsidR="31D0DD12" w:rsidRPr="6C54F3A7">
        <w:rPr>
          <w:rFonts w:asciiTheme="minorHAnsi" w:eastAsiaTheme="minorEastAsia" w:hAnsiTheme="minorHAnsi" w:cstheme="minorBidi"/>
          <w:i w:val="0"/>
          <w:iCs w:val="0"/>
          <w:color w:val="auto"/>
          <w:sz w:val="20"/>
          <w:szCs w:val="20"/>
        </w:rPr>
        <w:t xml:space="preserve">Národní politika výzkumu, vývoje </w:t>
      </w:r>
      <w:r w:rsidR="11C4B70F" w:rsidRPr="6C54F3A7">
        <w:rPr>
          <w:rFonts w:asciiTheme="minorHAnsi" w:eastAsiaTheme="minorEastAsia" w:hAnsiTheme="minorHAnsi" w:cstheme="minorBidi"/>
          <w:i w:val="0"/>
          <w:iCs w:val="0"/>
          <w:color w:val="auto"/>
          <w:sz w:val="20"/>
          <w:szCs w:val="20"/>
        </w:rPr>
        <w:t>a </w:t>
      </w:r>
      <w:r w:rsidR="31D0DD12" w:rsidRPr="6C54F3A7">
        <w:rPr>
          <w:rFonts w:asciiTheme="minorHAnsi" w:eastAsiaTheme="minorEastAsia" w:hAnsiTheme="minorHAnsi" w:cstheme="minorBidi"/>
          <w:i w:val="0"/>
          <w:iCs w:val="0"/>
          <w:color w:val="auto"/>
          <w:sz w:val="20"/>
          <w:szCs w:val="20"/>
        </w:rPr>
        <w:t>inovací 2021+ schválená u</w:t>
      </w:r>
      <w:r w:rsidRPr="6C54F3A7">
        <w:rPr>
          <w:rFonts w:asciiTheme="minorHAnsi" w:eastAsiaTheme="minorEastAsia" w:hAnsiTheme="minorHAnsi" w:cstheme="minorBidi"/>
          <w:i w:val="0"/>
          <w:iCs w:val="0"/>
          <w:color w:val="auto"/>
          <w:sz w:val="20"/>
          <w:szCs w:val="20"/>
        </w:rPr>
        <w:t>snesením vlády</w:t>
      </w:r>
      <w:r w:rsidR="31D0DD12" w:rsidRPr="6C54F3A7">
        <w:rPr>
          <w:rFonts w:asciiTheme="minorHAnsi" w:eastAsiaTheme="minorEastAsia" w:hAnsiTheme="minorHAnsi" w:cstheme="minorBidi"/>
          <w:i w:val="0"/>
          <w:iCs w:val="0"/>
          <w:color w:val="auto"/>
          <w:sz w:val="20"/>
          <w:szCs w:val="20"/>
        </w:rPr>
        <w:t xml:space="preserve"> ČR č. 759 </w:t>
      </w:r>
      <w:r w:rsidRPr="6C54F3A7">
        <w:rPr>
          <w:rFonts w:asciiTheme="minorHAnsi" w:eastAsiaTheme="minorEastAsia" w:hAnsiTheme="minorHAnsi" w:cstheme="minorBidi"/>
          <w:i w:val="0"/>
          <w:iCs w:val="0"/>
          <w:color w:val="auto"/>
          <w:sz w:val="20"/>
          <w:szCs w:val="20"/>
        </w:rPr>
        <w:t>ze dne 20.</w:t>
      </w:r>
      <w:r w:rsidR="31D0DD12" w:rsidRPr="6C54F3A7">
        <w:rPr>
          <w:rFonts w:asciiTheme="minorHAnsi" w:eastAsiaTheme="minorEastAsia" w:hAnsiTheme="minorHAnsi" w:cstheme="minorBidi"/>
          <w:i w:val="0"/>
          <w:iCs w:val="0"/>
          <w:color w:val="auto"/>
          <w:sz w:val="20"/>
          <w:szCs w:val="20"/>
        </w:rPr>
        <w:t> </w:t>
      </w:r>
      <w:r w:rsidRPr="6C54F3A7">
        <w:rPr>
          <w:rFonts w:asciiTheme="minorHAnsi" w:eastAsiaTheme="minorEastAsia" w:hAnsiTheme="minorHAnsi" w:cstheme="minorBidi"/>
          <w:i w:val="0"/>
          <w:iCs w:val="0"/>
          <w:color w:val="auto"/>
          <w:sz w:val="20"/>
          <w:szCs w:val="20"/>
        </w:rPr>
        <w:t>července 2020</w:t>
      </w:r>
      <w:r w:rsidR="31D0DD12" w:rsidRPr="6C54F3A7">
        <w:rPr>
          <w:rFonts w:asciiTheme="minorHAnsi" w:eastAsiaTheme="minorEastAsia" w:hAnsiTheme="minorHAnsi" w:cstheme="minorBidi"/>
          <w:i w:val="0"/>
          <w:iCs w:val="0"/>
          <w:color w:val="auto"/>
          <w:sz w:val="20"/>
          <w:szCs w:val="20"/>
        </w:rPr>
        <w:t>, která současně s dalšími politikami, jako je Inovační strategie České republiky 2019–2030</w:t>
      </w:r>
      <w:r w:rsidR="3C4A9B91" w:rsidRPr="6C54F3A7">
        <w:rPr>
          <w:rFonts w:asciiTheme="minorHAnsi" w:eastAsiaTheme="minorEastAsia" w:hAnsiTheme="minorHAnsi" w:cstheme="minorBidi"/>
          <w:i w:val="0"/>
          <w:iCs w:val="0"/>
          <w:color w:val="auto"/>
          <w:sz w:val="20"/>
          <w:szCs w:val="20"/>
        </w:rPr>
        <w:t>, Strategický rámec rozvoje péče o zdraví v České republice do roku 2030. Zdraví 2030</w:t>
      </w:r>
      <w:r w:rsidR="31D0DD12" w:rsidRPr="6C54F3A7">
        <w:rPr>
          <w:rFonts w:asciiTheme="minorHAnsi" w:eastAsiaTheme="minorEastAsia" w:hAnsiTheme="minorHAnsi" w:cstheme="minorBidi"/>
          <w:i w:val="0"/>
          <w:iCs w:val="0"/>
          <w:color w:val="auto"/>
          <w:sz w:val="20"/>
          <w:szCs w:val="20"/>
        </w:rPr>
        <w:t xml:space="preserve">, Národní výzkumná </w:t>
      </w:r>
      <w:r w:rsidR="11C4B70F" w:rsidRPr="6C54F3A7">
        <w:rPr>
          <w:rFonts w:asciiTheme="minorHAnsi" w:eastAsiaTheme="minorEastAsia" w:hAnsiTheme="minorHAnsi" w:cstheme="minorBidi"/>
          <w:i w:val="0"/>
          <w:iCs w:val="0"/>
          <w:color w:val="auto"/>
          <w:sz w:val="20"/>
          <w:szCs w:val="20"/>
        </w:rPr>
        <w:t>a </w:t>
      </w:r>
      <w:r w:rsidR="31D0DD12" w:rsidRPr="6C54F3A7">
        <w:rPr>
          <w:rFonts w:asciiTheme="minorHAnsi" w:eastAsiaTheme="minorEastAsia" w:hAnsiTheme="minorHAnsi" w:cstheme="minorBidi"/>
          <w:i w:val="0"/>
          <w:iCs w:val="0"/>
          <w:color w:val="auto"/>
          <w:sz w:val="20"/>
          <w:szCs w:val="20"/>
        </w:rPr>
        <w:t>inovační strategie inteligentní specializac</w:t>
      </w:r>
      <w:r w:rsidR="5D04B30C" w:rsidRPr="6C54F3A7">
        <w:rPr>
          <w:rFonts w:asciiTheme="minorHAnsi" w:eastAsiaTheme="minorEastAsia" w:hAnsiTheme="minorHAnsi" w:cstheme="minorBidi"/>
          <w:i w:val="0"/>
          <w:iCs w:val="0"/>
          <w:color w:val="auto"/>
          <w:sz w:val="20"/>
          <w:szCs w:val="20"/>
        </w:rPr>
        <w:t>e</w:t>
      </w:r>
      <w:r w:rsidR="31D0DD12" w:rsidRPr="6C54F3A7">
        <w:rPr>
          <w:rFonts w:asciiTheme="minorHAnsi" w:eastAsiaTheme="minorEastAsia" w:hAnsiTheme="minorHAnsi" w:cstheme="minorBidi"/>
          <w:i w:val="0"/>
          <w:iCs w:val="0"/>
          <w:color w:val="auto"/>
          <w:sz w:val="20"/>
          <w:szCs w:val="20"/>
        </w:rPr>
        <w:t xml:space="preserve"> </w:t>
      </w:r>
      <w:r w:rsidR="5D04B30C" w:rsidRPr="6C54F3A7">
        <w:rPr>
          <w:rFonts w:asciiTheme="minorHAnsi" w:eastAsiaTheme="minorEastAsia" w:hAnsiTheme="minorHAnsi" w:cstheme="minorBidi"/>
          <w:i w:val="0"/>
          <w:iCs w:val="0"/>
          <w:color w:val="auto"/>
          <w:sz w:val="20"/>
          <w:szCs w:val="20"/>
        </w:rPr>
        <w:t>schválená vládou České republiky v lednu 2021</w:t>
      </w:r>
      <w:r w:rsidR="51166FE8" w:rsidRPr="6C54F3A7">
        <w:rPr>
          <w:rFonts w:asciiTheme="minorHAnsi" w:eastAsiaTheme="minorEastAsia" w:hAnsiTheme="minorHAnsi" w:cstheme="minorBidi"/>
          <w:i w:val="0"/>
          <w:iCs w:val="0"/>
          <w:color w:val="auto"/>
          <w:sz w:val="20"/>
          <w:szCs w:val="20"/>
        </w:rPr>
        <w:t xml:space="preserve"> </w:t>
      </w:r>
      <w:r w:rsidR="11C4B70F" w:rsidRPr="6C54F3A7">
        <w:rPr>
          <w:rFonts w:asciiTheme="minorHAnsi" w:eastAsiaTheme="minorEastAsia" w:hAnsiTheme="minorHAnsi" w:cstheme="minorBidi"/>
          <w:i w:val="0"/>
          <w:iCs w:val="0"/>
          <w:color w:val="auto"/>
          <w:sz w:val="20"/>
          <w:szCs w:val="20"/>
        </w:rPr>
        <w:t>a </w:t>
      </w:r>
      <w:r w:rsidR="31D0DD12" w:rsidRPr="6C54F3A7">
        <w:rPr>
          <w:rFonts w:asciiTheme="minorHAnsi" w:eastAsiaTheme="minorEastAsia" w:hAnsiTheme="minorHAnsi" w:cstheme="minorBidi"/>
          <w:i w:val="0"/>
          <w:iCs w:val="0"/>
          <w:color w:val="auto"/>
          <w:sz w:val="20"/>
          <w:szCs w:val="20"/>
        </w:rPr>
        <w:t>její implementační plány nebo</w:t>
      </w:r>
      <w:r w:rsidR="62949B9B" w:rsidRPr="6C54F3A7">
        <w:rPr>
          <w:rFonts w:asciiTheme="minorHAnsi" w:eastAsiaTheme="minorEastAsia" w:hAnsiTheme="minorHAnsi" w:cstheme="minorBidi"/>
          <w:i w:val="0"/>
          <w:iCs w:val="0"/>
          <w:color w:val="auto"/>
          <w:sz w:val="20"/>
          <w:szCs w:val="20"/>
        </w:rPr>
        <w:t xml:space="preserve"> Národní ERA </w:t>
      </w:r>
      <w:proofErr w:type="spellStart"/>
      <w:r w:rsidR="62949B9B" w:rsidRPr="6C54F3A7">
        <w:rPr>
          <w:rFonts w:asciiTheme="minorHAnsi" w:eastAsiaTheme="minorEastAsia" w:hAnsiTheme="minorHAnsi" w:cstheme="minorBidi"/>
          <w:i w:val="0"/>
          <w:iCs w:val="0"/>
          <w:color w:val="auto"/>
          <w:sz w:val="20"/>
          <w:szCs w:val="20"/>
        </w:rPr>
        <w:t>Road</w:t>
      </w:r>
      <w:proofErr w:type="spellEnd"/>
      <w:r w:rsidR="62949B9B" w:rsidRPr="6C54F3A7">
        <w:rPr>
          <w:rFonts w:asciiTheme="minorHAnsi" w:eastAsiaTheme="minorEastAsia" w:hAnsiTheme="minorHAnsi" w:cstheme="minorBidi"/>
          <w:i w:val="0"/>
          <w:iCs w:val="0"/>
          <w:color w:val="auto"/>
          <w:sz w:val="20"/>
          <w:szCs w:val="20"/>
        </w:rPr>
        <w:t xml:space="preserve"> Map ČR</w:t>
      </w:r>
      <w:r w:rsidR="00BA5F8E" w:rsidRPr="6C54F3A7">
        <w:rPr>
          <w:rStyle w:val="Znakapoznpodarou"/>
          <w:rFonts w:asciiTheme="minorHAnsi" w:eastAsiaTheme="minorEastAsia" w:hAnsiTheme="minorHAnsi" w:cstheme="minorBidi"/>
          <w:i w:val="0"/>
          <w:iCs w:val="0"/>
          <w:color w:val="auto"/>
          <w:sz w:val="20"/>
          <w:szCs w:val="20"/>
        </w:rPr>
        <w:footnoteReference w:id="32"/>
      </w:r>
      <w:r w:rsidR="62949B9B" w:rsidRPr="6C54F3A7">
        <w:rPr>
          <w:rFonts w:asciiTheme="minorHAnsi" w:eastAsiaTheme="minorEastAsia" w:hAnsiTheme="minorHAnsi" w:cstheme="minorBidi"/>
          <w:i w:val="0"/>
          <w:iCs w:val="0"/>
          <w:color w:val="auto"/>
          <w:sz w:val="20"/>
          <w:szCs w:val="20"/>
        </w:rPr>
        <w:t xml:space="preserve">, vytváří rámec pro rozvoj </w:t>
      </w:r>
      <w:r w:rsidR="11C4B70F" w:rsidRPr="6C54F3A7">
        <w:rPr>
          <w:rFonts w:asciiTheme="minorHAnsi" w:eastAsiaTheme="minorEastAsia" w:hAnsiTheme="minorHAnsi" w:cstheme="minorBidi"/>
          <w:i w:val="0"/>
          <w:iCs w:val="0"/>
          <w:color w:val="auto"/>
          <w:sz w:val="20"/>
          <w:szCs w:val="20"/>
        </w:rPr>
        <w:t>a </w:t>
      </w:r>
      <w:r w:rsidR="62949B9B" w:rsidRPr="6C54F3A7">
        <w:rPr>
          <w:rFonts w:asciiTheme="minorHAnsi" w:eastAsiaTheme="minorEastAsia" w:hAnsiTheme="minorHAnsi" w:cstheme="minorBidi"/>
          <w:i w:val="0"/>
          <w:iCs w:val="0"/>
          <w:color w:val="auto"/>
          <w:sz w:val="20"/>
          <w:szCs w:val="20"/>
        </w:rPr>
        <w:t xml:space="preserve">řízení kapacit </w:t>
      </w:r>
      <w:proofErr w:type="spellStart"/>
      <w:r w:rsidR="62949B9B" w:rsidRPr="6C54F3A7">
        <w:rPr>
          <w:rFonts w:asciiTheme="minorHAnsi" w:eastAsiaTheme="minorEastAsia" w:hAnsiTheme="minorHAnsi" w:cstheme="minorBidi"/>
          <w:i w:val="0"/>
          <w:iCs w:val="0"/>
          <w:color w:val="auto"/>
          <w:sz w:val="20"/>
          <w:szCs w:val="20"/>
        </w:rPr>
        <w:t>VaVaI</w:t>
      </w:r>
      <w:proofErr w:type="spellEnd"/>
      <w:r w:rsidR="62949B9B" w:rsidRPr="6C54F3A7">
        <w:rPr>
          <w:rFonts w:asciiTheme="minorHAnsi" w:eastAsiaTheme="minorEastAsia" w:hAnsiTheme="minorHAnsi" w:cstheme="minorBidi"/>
          <w:i w:val="0"/>
          <w:iCs w:val="0"/>
          <w:color w:val="auto"/>
          <w:sz w:val="20"/>
          <w:szCs w:val="20"/>
        </w:rPr>
        <w:t xml:space="preserve"> v ČR </w:t>
      </w:r>
      <w:r w:rsidR="11C4B70F" w:rsidRPr="6C54F3A7">
        <w:rPr>
          <w:rFonts w:asciiTheme="minorHAnsi" w:eastAsiaTheme="minorEastAsia" w:hAnsiTheme="minorHAnsi" w:cstheme="minorBidi"/>
          <w:i w:val="0"/>
          <w:iCs w:val="0"/>
          <w:color w:val="auto"/>
          <w:sz w:val="20"/>
          <w:szCs w:val="20"/>
        </w:rPr>
        <w:t>a </w:t>
      </w:r>
      <w:r w:rsidR="62949B9B" w:rsidRPr="6C54F3A7">
        <w:rPr>
          <w:rFonts w:asciiTheme="minorHAnsi" w:eastAsiaTheme="minorEastAsia" w:hAnsiTheme="minorHAnsi" w:cstheme="minorBidi"/>
          <w:i w:val="0"/>
          <w:iCs w:val="0"/>
          <w:color w:val="auto"/>
          <w:sz w:val="20"/>
          <w:szCs w:val="20"/>
        </w:rPr>
        <w:t xml:space="preserve">současně vymezuje věcně </w:t>
      </w:r>
      <w:r w:rsidR="11C4B70F" w:rsidRPr="6C54F3A7">
        <w:rPr>
          <w:rFonts w:asciiTheme="minorHAnsi" w:eastAsiaTheme="minorEastAsia" w:hAnsiTheme="minorHAnsi" w:cstheme="minorBidi"/>
          <w:i w:val="0"/>
          <w:iCs w:val="0"/>
          <w:color w:val="auto"/>
          <w:sz w:val="20"/>
          <w:szCs w:val="20"/>
        </w:rPr>
        <w:t>i </w:t>
      </w:r>
      <w:r w:rsidR="62949B9B" w:rsidRPr="6C54F3A7">
        <w:rPr>
          <w:rFonts w:asciiTheme="minorHAnsi" w:eastAsiaTheme="minorEastAsia" w:hAnsiTheme="minorHAnsi" w:cstheme="minorBidi"/>
          <w:i w:val="0"/>
          <w:iCs w:val="0"/>
          <w:color w:val="auto"/>
          <w:sz w:val="20"/>
          <w:szCs w:val="20"/>
        </w:rPr>
        <w:t xml:space="preserve">procesně implementační </w:t>
      </w:r>
      <w:r w:rsidRPr="6C54F3A7">
        <w:rPr>
          <w:rFonts w:asciiTheme="minorHAnsi" w:eastAsiaTheme="minorEastAsia" w:hAnsiTheme="minorHAnsi" w:cstheme="minorBidi"/>
          <w:i w:val="0"/>
          <w:iCs w:val="0"/>
          <w:color w:val="auto"/>
          <w:sz w:val="20"/>
          <w:szCs w:val="20"/>
        </w:rPr>
        <w:t>nástroj</w:t>
      </w:r>
      <w:r w:rsidR="62949B9B" w:rsidRPr="6C54F3A7">
        <w:rPr>
          <w:rFonts w:asciiTheme="minorHAnsi" w:eastAsiaTheme="minorEastAsia" w:hAnsiTheme="minorHAnsi" w:cstheme="minorBidi"/>
          <w:i w:val="0"/>
          <w:iCs w:val="0"/>
          <w:color w:val="auto"/>
          <w:sz w:val="20"/>
          <w:szCs w:val="20"/>
        </w:rPr>
        <w:t>e</w:t>
      </w:r>
      <w:r w:rsidRPr="6C54F3A7">
        <w:rPr>
          <w:rFonts w:asciiTheme="minorHAnsi" w:eastAsiaTheme="minorEastAsia" w:hAnsiTheme="minorHAnsi" w:cstheme="minorBidi"/>
          <w:i w:val="0"/>
          <w:iCs w:val="0"/>
          <w:color w:val="auto"/>
          <w:sz w:val="20"/>
          <w:szCs w:val="20"/>
        </w:rPr>
        <w:t xml:space="preserve"> užívan</w:t>
      </w:r>
      <w:r w:rsidR="62949B9B" w:rsidRPr="6C54F3A7">
        <w:rPr>
          <w:rFonts w:asciiTheme="minorHAnsi" w:eastAsiaTheme="minorEastAsia" w:hAnsiTheme="minorHAnsi" w:cstheme="minorBidi"/>
          <w:i w:val="0"/>
          <w:iCs w:val="0"/>
          <w:color w:val="auto"/>
          <w:sz w:val="20"/>
          <w:szCs w:val="20"/>
        </w:rPr>
        <w:t>é</w:t>
      </w:r>
      <w:r w:rsidRPr="6C54F3A7">
        <w:rPr>
          <w:rFonts w:asciiTheme="minorHAnsi" w:eastAsiaTheme="minorEastAsia" w:hAnsiTheme="minorHAnsi" w:cstheme="minorBidi"/>
          <w:i w:val="0"/>
          <w:iCs w:val="0"/>
          <w:color w:val="auto"/>
          <w:sz w:val="20"/>
          <w:szCs w:val="20"/>
        </w:rPr>
        <w:t xml:space="preserve"> </w:t>
      </w:r>
      <w:r w:rsidR="11C4B70F" w:rsidRPr="6C54F3A7">
        <w:rPr>
          <w:rFonts w:asciiTheme="minorHAnsi" w:eastAsiaTheme="minorEastAsia" w:hAnsiTheme="minorHAnsi" w:cstheme="minorBidi"/>
          <w:i w:val="0"/>
          <w:iCs w:val="0"/>
          <w:color w:val="auto"/>
          <w:sz w:val="20"/>
          <w:szCs w:val="20"/>
        </w:rPr>
        <w:t>v </w:t>
      </w:r>
      <w:r w:rsidRPr="6C54F3A7">
        <w:rPr>
          <w:rFonts w:asciiTheme="minorHAnsi" w:eastAsiaTheme="minorEastAsia" w:hAnsiTheme="minorHAnsi" w:cstheme="minorBidi"/>
          <w:i w:val="0"/>
          <w:iCs w:val="0"/>
          <w:color w:val="auto"/>
          <w:sz w:val="20"/>
          <w:szCs w:val="20"/>
        </w:rPr>
        <w:t xml:space="preserve">České republice </w:t>
      </w:r>
      <w:r w:rsidR="62949B9B" w:rsidRPr="6C54F3A7">
        <w:rPr>
          <w:rFonts w:asciiTheme="minorHAnsi" w:eastAsiaTheme="minorEastAsia" w:hAnsiTheme="minorHAnsi" w:cstheme="minorBidi"/>
          <w:i w:val="0"/>
          <w:iCs w:val="0"/>
          <w:color w:val="auto"/>
          <w:sz w:val="20"/>
          <w:szCs w:val="20"/>
        </w:rPr>
        <w:t xml:space="preserve">k plnění úkolů jejich strategických cílů. Většina z nich je však </w:t>
      </w:r>
      <w:r w:rsidRPr="6C54F3A7">
        <w:rPr>
          <w:rFonts w:asciiTheme="minorHAnsi" w:eastAsiaTheme="minorEastAsia" w:hAnsiTheme="minorHAnsi" w:cstheme="minorBidi"/>
          <w:i w:val="0"/>
          <w:iCs w:val="0"/>
          <w:color w:val="auto"/>
          <w:sz w:val="20"/>
          <w:szCs w:val="20"/>
        </w:rPr>
        <w:t>založena na principu „zdola nahoru“</w:t>
      </w:r>
      <w:r w:rsidR="62949B9B" w:rsidRPr="6C54F3A7">
        <w:rPr>
          <w:rFonts w:asciiTheme="minorHAnsi" w:eastAsiaTheme="minorEastAsia" w:hAnsiTheme="minorHAnsi" w:cstheme="minorBidi"/>
          <w:i w:val="0"/>
          <w:iCs w:val="0"/>
          <w:color w:val="auto"/>
          <w:sz w:val="20"/>
          <w:szCs w:val="20"/>
        </w:rPr>
        <w:t xml:space="preserve">, který </w:t>
      </w:r>
      <w:r w:rsidR="4E13A472" w:rsidRPr="6C54F3A7">
        <w:rPr>
          <w:rFonts w:asciiTheme="minorHAnsi" w:eastAsiaTheme="minorEastAsia" w:hAnsiTheme="minorHAnsi" w:cstheme="minorBidi"/>
          <w:i w:val="0"/>
          <w:iCs w:val="0"/>
          <w:color w:val="auto"/>
          <w:sz w:val="20"/>
          <w:szCs w:val="20"/>
        </w:rPr>
        <w:t xml:space="preserve">sám osobě </w:t>
      </w:r>
      <w:r w:rsidR="62949B9B" w:rsidRPr="6C54F3A7">
        <w:rPr>
          <w:rFonts w:asciiTheme="minorHAnsi" w:eastAsiaTheme="minorEastAsia" w:hAnsiTheme="minorHAnsi" w:cstheme="minorBidi"/>
          <w:i w:val="0"/>
          <w:iCs w:val="0"/>
          <w:color w:val="auto"/>
          <w:sz w:val="20"/>
          <w:szCs w:val="20"/>
        </w:rPr>
        <w:t xml:space="preserve">v této době k řízení výzkumu </w:t>
      </w:r>
      <w:r w:rsidR="11C4B70F" w:rsidRPr="6C54F3A7">
        <w:rPr>
          <w:rFonts w:asciiTheme="minorHAnsi" w:eastAsiaTheme="minorEastAsia" w:hAnsiTheme="minorHAnsi" w:cstheme="minorBidi"/>
          <w:i w:val="0"/>
          <w:iCs w:val="0"/>
          <w:color w:val="auto"/>
          <w:sz w:val="20"/>
          <w:szCs w:val="20"/>
        </w:rPr>
        <w:t>a </w:t>
      </w:r>
      <w:r w:rsidR="62949B9B" w:rsidRPr="6C54F3A7">
        <w:rPr>
          <w:rFonts w:asciiTheme="minorHAnsi" w:eastAsiaTheme="minorEastAsia" w:hAnsiTheme="minorHAnsi" w:cstheme="minorBidi"/>
          <w:i w:val="0"/>
          <w:iCs w:val="0"/>
          <w:color w:val="auto"/>
          <w:sz w:val="20"/>
          <w:szCs w:val="20"/>
        </w:rPr>
        <w:t>inovací na národní úrovni již nepostačuje.</w:t>
      </w:r>
      <w:r w:rsidR="5C78B14E" w:rsidRPr="6C54F3A7">
        <w:rPr>
          <w:rFonts w:asciiTheme="minorHAnsi" w:eastAsiaTheme="minorEastAsia" w:hAnsiTheme="minorHAnsi" w:cstheme="minorBidi"/>
          <w:i w:val="0"/>
          <w:iCs w:val="0"/>
          <w:color w:val="auto"/>
          <w:sz w:val="20"/>
          <w:szCs w:val="20"/>
        </w:rPr>
        <w:t xml:space="preserve"> </w:t>
      </w:r>
      <w:r w:rsidR="1DF9E991" w:rsidRPr="6C54F3A7">
        <w:rPr>
          <w:rFonts w:asciiTheme="minorHAnsi" w:eastAsiaTheme="minorEastAsia" w:hAnsiTheme="minorHAnsi" w:cstheme="minorBidi"/>
          <w:i w:val="0"/>
          <w:iCs w:val="0"/>
          <w:color w:val="auto"/>
          <w:sz w:val="20"/>
          <w:szCs w:val="20"/>
        </w:rPr>
        <w:t xml:space="preserve">Program podpory </w:t>
      </w:r>
      <w:proofErr w:type="spellStart"/>
      <w:r w:rsidR="1DF9E991" w:rsidRPr="6C54F3A7">
        <w:rPr>
          <w:rFonts w:asciiTheme="minorHAnsi" w:eastAsiaTheme="minorEastAsia" w:hAnsiTheme="minorHAnsi" w:cstheme="minorBidi"/>
          <w:i w:val="0"/>
          <w:iCs w:val="0"/>
          <w:color w:val="auto"/>
          <w:sz w:val="20"/>
          <w:szCs w:val="20"/>
        </w:rPr>
        <w:t>VaVaI</w:t>
      </w:r>
      <w:proofErr w:type="spellEnd"/>
      <w:r w:rsidR="1DF9E991" w:rsidRPr="6C54F3A7">
        <w:rPr>
          <w:rFonts w:asciiTheme="minorHAnsi" w:eastAsiaTheme="minorEastAsia" w:hAnsiTheme="minorHAnsi" w:cstheme="minorBidi"/>
          <w:i w:val="0"/>
          <w:iCs w:val="0"/>
          <w:color w:val="auto"/>
          <w:sz w:val="20"/>
          <w:szCs w:val="20"/>
        </w:rPr>
        <w:t>, který bude iniciovat vynikající, orientovaný a experimentální výzkum a vývoj v</w:t>
      </w:r>
      <w:r w:rsidR="51F08B9C" w:rsidRPr="6C54F3A7">
        <w:rPr>
          <w:rFonts w:asciiTheme="minorHAnsi" w:eastAsiaTheme="minorEastAsia" w:hAnsiTheme="minorHAnsi" w:cstheme="minorBidi"/>
          <w:i w:val="0"/>
          <w:iCs w:val="0"/>
          <w:color w:val="auto"/>
          <w:sz w:val="20"/>
          <w:szCs w:val="20"/>
        </w:rPr>
        <w:t> </w:t>
      </w:r>
      <w:r w:rsidR="7AA2D90B" w:rsidRPr="6C54F3A7">
        <w:rPr>
          <w:rFonts w:asciiTheme="minorHAnsi" w:eastAsiaTheme="minorEastAsia" w:hAnsiTheme="minorHAnsi" w:cstheme="minorBidi"/>
          <w:i w:val="0"/>
          <w:iCs w:val="0"/>
          <w:color w:val="auto"/>
          <w:sz w:val="20"/>
          <w:szCs w:val="20"/>
        </w:rPr>
        <w:t>pr</w:t>
      </w:r>
      <w:r w:rsidR="51F08B9C" w:rsidRPr="6C54F3A7">
        <w:rPr>
          <w:rFonts w:asciiTheme="minorHAnsi" w:eastAsiaTheme="minorEastAsia" w:hAnsiTheme="minorHAnsi" w:cstheme="minorBidi"/>
          <w:i w:val="0"/>
          <w:iCs w:val="0"/>
          <w:color w:val="auto"/>
          <w:sz w:val="20"/>
          <w:szCs w:val="20"/>
        </w:rPr>
        <w:t>i</w:t>
      </w:r>
      <w:r w:rsidR="7AA2D90B" w:rsidRPr="6C54F3A7">
        <w:rPr>
          <w:rFonts w:asciiTheme="minorHAnsi" w:eastAsiaTheme="minorEastAsia" w:hAnsiTheme="minorHAnsi" w:cstheme="minorBidi"/>
          <w:i w:val="0"/>
          <w:iCs w:val="0"/>
          <w:color w:val="auto"/>
          <w:sz w:val="20"/>
          <w:szCs w:val="20"/>
        </w:rPr>
        <w:t xml:space="preserve">oritních, </w:t>
      </w:r>
      <w:r w:rsidR="1DF9E991" w:rsidRPr="6C54F3A7">
        <w:rPr>
          <w:rFonts w:asciiTheme="minorHAnsi" w:eastAsiaTheme="minorEastAsia" w:hAnsiTheme="minorHAnsi" w:cstheme="minorBidi"/>
          <w:i w:val="0"/>
          <w:iCs w:val="0"/>
          <w:color w:val="auto"/>
          <w:sz w:val="20"/>
          <w:szCs w:val="20"/>
        </w:rPr>
        <w:t>relativně úzkých vyprofilovaných oblastech na principu „</w:t>
      </w:r>
      <w:r w:rsidR="1DF9E991" w:rsidRPr="6C54F3A7">
        <w:rPr>
          <w:rFonts w:asciiTheme="minorHAnsi" w:eastAsiaTheme="minorEastAsia" w:hAnsiTheme="minorHAnsi" w:cstheme="minorBidi"/>
          <w:b/>
          <w:bCs/>
          <w:i w:val="0"/>
          <w:iCs w:val="0"/>
          <w:color w:val="auto"/>
          <w:sz w:val="20"/>
          <w:szCs w:val="20"/>
        </w:rPr>
        <w:t>shora dolů“</w:t>
      </w:r>
      <w:r w:rsidR="1DF9E991" w:rsidRPr="6C54F3A7">
        <w:rPr>
          <w:rFonts w:asciiTheme="minorHAnsi" w:eastAsiaTheme="minorEastAsia" w:hAnsiTheme="minorHAnsi" w:cstheme="minorBidi"/>
          <w:i w:val="0"/>
          <w:iCs w:val="0"/>
          <w:color w:val="auto"/>
          <w:sz w:val="20"/>
          <w:szCs w:val="20"/>
        </w:rPr>
        <w:t>,</w:t>
      </w:r>
      <w:r w:rsidR="1DF9E991" w:rsidRPr="6C54F3A7">
        <w:rPr>
          <w:rFonts w:asciiTheme="minorHAnsi" w:eastAsiaTheme="minorEastAsia" w:hAnsiTheme="minorHAnsi" w:cstheme="minorBidi"/>
          <w:b/>
          <w:bCs/>
          <w:i w:val="0"/>
          <w:iCs w:val="0"/>
          <w:color w:val="auto"/>
          <w:sz w:val="20"/>
          <w:szCs w:val="20"/>
        </w:rPr>
        <w:t xml:space="preserve"> </w:t>
      </w:r>
      <w:r w:rsidR="1DF9E991" w:rsidRPr="6C54F3A7">
        <w:rPr>
          <w:rFonts w:asciiTheme="minorHAnsi" w:eastAsiaTheme="minorEastAsia" w:hAnsiTheme="minorHAnsi" w:cstheme="minorBidi"/>
          <w:i w:val="0"/>
          <w:iCs w:val="0"/>
          <w:color w:val="auto"/>
          <w:sz w:val="20"/>
          <w:szCs w:val="20"/>
        </w:rPr>
        <w:t>představuje chybějící systémový nástroj a n</w:t>
      </w:r>
      <w:r w:rsidR="5C78B14E" w:rsidRPr="6C54F3A7">
        <w:rPr>
          <w:rFonts w:asciiTheme="minorHAnsi" w:eastAsiaTheme="minorEastAsia" w:hAnsiTheme="minorHAnsi" w:cstheme="minorBidi"/>
          <w:i w:val="0"/>
          <w:iCs w:val="0"/>
          <w:color w:val="auto"/>
          <w:sz w:val="20"/>
          <w:szCs w:val="20"/>
        </w:rPr>
        <w:t xml:space="preserve">ovou kvalitu v řízení </w:t>
      </w:r>
      <w:proofErr w:type="spellStart"/>
      <w:r w:rsidR="1DF9E991" w:rsidRPr="6C54F3A7">
        <w:rPr>
          <w:rFonts w:asciiTheme="minorHAnsi" w:eastAsiaTheme="minorEastAsia" w:hAnsiTheme="minorHAnsi" w:cstheme="minorBidi"/>
          <w:i w:val="0"/>
          <w:iCs w:val="0"/>
          <w:color w:val="auto"/>
          <w:sz w:val="20"/>
          <w:szCs w:val="20"/>
        </w:rPr>
        <w:t>VaVaI</w:t>
      </w:r>
      <w:proofErr w:type="spellEnd"/>
      <w:r w:rsidR="1DF9E991" w:rsidRPr="6C54F3A7">
        <w:rPr>
          <w:rFonts w:asciiTheme="minorHAnsi" w:eastAsiaTheme="minorEastAsia" w:hAnsiTheme="minorHAnsi" w:cstheme="minorBidi"/>
          <w:i w:val="0"/>
          <w:iCs w:val="0"/>
          <w:color w:val="auto"/>
          <w:sz w:val="20"/>
          <w:szCs w:val="20"/>
        </w:rPr>
        <w:t xml:space="preserve"> v ČR, která umožní zacílení vědecko-výzkumných kapacit na ty potřeby státu, které se ukázaly jako klíčové.</w:t>
      </w:r>
      <w:r w:rsidR="7AA2D90B" w:rsidRPr="6C54F3A7">
        <w:rPr>
          <w:rFonts w:asciiTheme="minorHAnsi" w:eastAsiaTheme="minorEastAsia" w:hAnsiTheme="minorHAnsi" w:cstheme="minorBidi"/>
          <w:i w:val="0"/>
          <w:iCs w:val="0"/>
          <w:color w:val="auto"/>
          <w:sz w:val="20"/>
          <w:szCs w:val="20"/>
        </w:rPr>
        <w:t xml:space="preserve"> </w:t>
      </w:r>
      <w:r w:rsidR="1DF9E991" w:rsidRPr="6C54F3A7">
        <w:rPr>
          <w:rFonts w:asciiTheme="minorHAnsi" w:eastAsiaTheme="minorEastAsia" w:hAnsiTheme="minorHAnsi" w:cstheme="minorBidi"/>
          <w:i w:val="0"/>
          <w:iCs w:val="0"/>
          <w:color w:val="auto"/>
          <w:sz w:val="20"/>
          <w:szCs w:val="20"/>
        </w:rPr>
        <w:t xml:space="preserve">Díky nastavení cílů programu se tak do systému jako národní autority začlení 4-5 nových interdisciplinárních seskupení, která budou svou výzkumnou orientaci povinně směřovat do </w:t>
      </w:r>
      <w:r w:rsidR="1DF9E991" w:rsidRPr="6C54F3A7">
        <w:rPr>
          <w:rFonts w:asciiTheme="minorHAnsi" w:eastAsiaTheme="minorEastAsia" w:hAnsiTheme="minorHAnsi" w:cstheme="minorBidi"/>
          <w:i w:val="0"/>
          <w:iCs w:val="0"/>
          <w:color w:val="auto"/>
          <w:sz w:val="20"/>
          <w:szCs w:val="20"/>
        </w:rPr>
        <w:lastRenderedPageBreak/>
        <w:t>předem vymezených oblastí a budou schopny systematicky shromažďovat, analyzovat a poskytovat relevantní informace veřejným službám za jejich řízení a rozhodování.</w:t>
      </w:r>
    </w:p>
    <w:p w14:paraId="1DEFD343" w14:textId="5FE89674" w:rsidR="00D92C9C" w:rsidRPr="00992741" w:rsidRDefault="0275ED4E"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Proces přípravy jednotlivých komponent</w:t>
      </w:r>
      <w:r w:rsidR="05E9043B" w:rsidRPr="6C54F3A7">
        <w:rPr>
          <w:rFonts w:asciiTheme="minorHAnsi" w:eastAsiaTheme="minorEastAsia" w:hAnsiTheme="minorHAnsi" w:cstheme="minorBidi"/>
          <w:i w:val="0"/>
          <w:iCs w:val="0"/>
          <w:color w:val="auto"/>
          <w:sz w:val="20"/>
          <w:szCs w:val="20"/>
        </w:rPr>
        <w:t xml:space="preserve">, jehož výsledkem byla </w:t>
      </w:r>
      <w:r w:rsidR="11C4B70F" w:rsidRPr="6C54F3A7">
        <w:rPr>
          <w:rFonts w:asciiTheme="minorHAnsi" w:eastAsiaTheme="minorEastAsia" w:hAnsiTheme="minorHAnsi" w:cstheme="minorBidi"/>
          <w:i w:val="0"/>
          <w:iCs w:val="0"/>
          <w:color w:val="auto"/>
          <w:sz w:val="20"/>
          <w:szCs w:val="20"/>
        </w:rPr>
        <w:t>i </w:t>
      </w:r>
      <w:r w:rsidR="05E9043B" w:rsidRPr="6C54F3A7">
        <w:rPr>
          <w:rFonts w:asciiTheme="minorHAnsi" w:eastAsiaTheme="minorEastAsia" w:hAnsiTheme="minorHAnsi" w:cstheme="minorBidi"/>
          <w:i w:val="0"/>
          <w:iCs w:val="0"/>
          <w:color w:val="auto"/>
          <w:sz w:val="20"/>
          <w:szCs w:val="20"/>
        </w:rPr>
        <w:t xml:space="preserve">profilace této komponenty 5.1. </w:t>
      </w:r>
      <w:r w:rsidR="11C4B70F" w:rsidRPr="6C54F3A7">
        <w:rPr>
          <w:rFonts w:asciiTheme="minorHAnsi" w:eastAsiaTheme="minorEastAsia" w:hAnsiTheme="minorHAnsi" w:cstheme="minorBidi"/>
          <w:i w:val="0"/>
          <w:iCs w:val="0"/>
          <w:color w:val="auto"/>
          <w:sz w:val="20"/>
          <w:szCs w:val="20"/>
        </w:rPr>
        <w:t>a </w:t>
      </w:r>
      <w:r w:rsidR="05E9043B" w:rsidRPr="6C54F3A7">
        <w:rPr>
          <w:rFonts w:asciiTheme="minorHAnsi" w:eastAsiaTheme="minorEastAsia" w:hAnsiTheme="minorHAnsi" w:cstheme="minorBidi"/>
          <w:i w:val="0"/>
          <w:iCs w:val="0"/>
          <w:color w:val="auto"/>
          <w:sz w:val="20"/>
          <w:szCs w:val="20"/>
        </w:rPr>
        <w:t>jejího implementačního nástroje, moder</w:t>
      </w:r>
      <w:r w:rsidR="49A6D6E9" w:rsidRPr="6C54F3A7">
        <w:rPr>
          <w:rFonts w:asciiTheme="minorHAnsi" w:eastAsiaTheme="minorEastAsia" w:hAnsiTheme="minorHAnsi" w:cstheme="minorBidi"/>
          <w:i w:val="0"/>
          <w:iCs w:val="0"/>
          <w:color w:val="auto"/>
          <w:sz w:val="20"/>
          <w:szCs w:val="20"/>
        </w:rPr>
        <w:t>ovaly</w:t>
      </w:r>
      <w:r w:rsidR="05E9043B" w:rsidRPr="6C54F3A7">
        <w:rPr>
          <w:rFonts w:asciiTheme="minorHAnsi" w:eastAsiaTheme="minorEastAsia" w:hAnsiTheme="minorHAnsi" w:cstheme="minorBidi"/>
          <w:i w:val="0"/>
          <w:iCs w:val="0"/>
          <w:color w:val="auto"/>
          <w:sz w:val="20"/>
          <w:szCs w:val="20"/>
        </w:rPr>
        <w:t xml:space="preserve"> na národní úrovni </w:t>
      </w:r>
      <w:r w:rsidRPr="6C54F3A7">
        <w:rPr>
          <w:rFonts w:asciiTheme="minorHAnsi" w:eastAsiaTheme="minorEastAsia" w:hAnsiTheme="minorHAnsi" w:cstheme="minorBidi"/>
          <w:i w:val="0"/>
          <w:iCs w:val="0"/>
          <w:color w:val="auto"/>
          <w:sz w:val="20"/>
          <w:szCs w:val="20"/>
        </w:rPr>
        <w:t xml:space="preserve">společně Ministerstvo průmyslu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obchodu</w:t>
      </w:r>
      <w:r w:rsidR="7AA2D90B" w:rsidRPr="6C54F3A7">
        <w:rPr>
          <w:rFonts w:asciiTheme="minorHAnsi" w:eastAsiaTheme="minorEastAsia" w:hAnsiTheme="minorHAnsi" w:cstheme="minorBidi"/>
          <w:i w:val="0"/>
          <w:iCs w:val="0"/>
          <w:color w:val="auto"/>
          <w:sz w:val="20"/>
          <w:szCs w:val="20"/>
        </w:rPr>
        <w:t xml:space="preserve"> (MPO)</w:t>
      </w:r>
      <w:r w:rsidRPr="6C54F3A7">
        <w:rPr>
          <w:rFonts w:asciiTheme="minorHAnsi" w:eastAsiaTheme="minorEastAsia" w:hAnsiTheme="minorHAnsi" w:cstheme="minorBidi"/>
          <w:i w:val="0"/>
          <w:iCs w:val="0"/>
          <w:color w:val="auto"/>
          <w:sz w:val="20"/>
          <w:szCs w:val="20"/>
        </w:rPr>
        <w:t xml:space="preserve">, Ministerstvo školství, mládeže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 xml:space="preserve">tělovýchovy (MŠMT/MEYS)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pracovní skupina Rady pro</w:t>
      </w:r>
      <w:r w:rsidR="51F08B9C" w:rsidRPr="6C54F3A7">
        <w:rPr>
          <w:rFonts w:asciiTheme="minorHAnsi" w:eastAsiaTheme="minorEastAsia" w:hAnsiTheme="minorHAnsi" w:cstheme="minorBidi"/>
          <w:i w:val="0"/>
          <w:iCs w:val="0"/>
          <w:color w:val="auto"/>
          <w:sz w:val="20"/>
          <w:szCs w:val="20"/>
        </w:rPr>
        <w:t xml:space="preserve"> </w:t>
      </w:r>
      <w:r w:rsidRPr="6C54F3A7">
        <w:rPr>
          <w:rFonts w:asciiTheme="minorHAnsi" w:eastAsiaTheme="minorEastAsia" w:hAnsiTheme="minorHAnsi" w:cstheme="minorBidi"/>
          <w:i w:val="0"/>
          <w:iCs w:val="0"/>
          <w:color w:val="auto"/>
          <w:sz w:val="20"/>
          <w:szCs w:val="20"/>
        </w:rPr>
        <w:t xml:space="preserve">výzkum, vývoj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 xml:space="preserve">inovace při Úřadu vlády České republiky (dále jen </w:t>
      </w:r>
      <w:r w:rsidR="7AA2D90B" w:rsidRPr="6C54F3A7">
        <w:rPr>
          <w:rFonts w:asciiTheme="minorHAnsi" w:eastAsiaTheme="minorEastAsia" w:hAnsiTheme="minorHAnsi" w:cstheme="minorBidi"/>
          <w:i w:val="0"/>
          <w:iCs w:val="0"/>
          <w:color w:val="auto"/>
          <w:sz w:val="20"/>
          <w:szCs w:val="20"/>
        </w:rPr>
        <w:t>RVVI</w:t>
      </w:r>
      <w:r w:rsidRPr="6C54F3A7">
        <w:rPr>
          <w:rFonts w:asciiTheme="minorHAnsi" w:eastAsiaTheme="minorEastAsia" w:hAnsiTheme="minorHAnsi" w:cstheme="minorBidi"/>
          <w:i w:val="0"/>
          <w:iCs w:val="0"/>
          <w:color w:val="auto"/>
          <w:sz w:val="20"/>
          <w:szCs w:val="20"/>
        </w:rPr>
        <w:t xml:space="preserve">), kde jsou </w:t>
      </w:r>
      <w:r w:rsidR="11C4B70F" w:rsidRPr="6C54F3A7">
        <w:rPr>
          <w:rFonts w:asciiTheme="minorHAnsi" w:eastAsiaTheme="minorEastAsia" w:hAnsiTheme="minorHAnsi" w:cstheme="minorBidi"/>
          <w:i w:val="0"/>
          <w:iCs w:val="0"/>
          <w:color w:val="auto"/>
          <w:sz w:val="20"/>
          <w:szCs w:val="20"/>
        </w:rPr>
        <w:t>i </w:t>
      </w:r>
      <w:r w:rsidRPr="6C54F3A7">
        <w:rPr>
          <w:rFonts w:asciiTheme="minorHAnsi" w:eastAsiaTheme="minorEastAsia" w:hAnsiTheme="minorHAnsi" w:cstheme="minorBidi"/>
          <w:i w:val="0"/>
          <w:iCs w:val="0"/>
          <w:color w:val="auto"/>
          <w:sz w:val="20"/>
          <w:szCs w:val="20"/>
        </w:rPr>
        <w:t xml:space="preserve">zástupci Mezinárodního poradního výboru </w:t>
      </w:r>
      <w:r w:rsidR="39F55338" w:rsidRPr="6C54F3A7">
        <w:rPr>
          <w:rFonts w:asciiTheme="minorHAnsi" w:eastAsiaTheme="minorEastAsia" w:hAnsiTheme="minorHAnsi" w:cstheme="minorBidi"/>
          <w:i w:val="0"/>
          <w:iCs w:val="0"/>
          <w:color w:val="auto"/>
          <w:sz w:val="20"/>
          <w:szCs w:val="20"/>
        </w:rPr>
        <w:t>r</w:t>
      </w:r>
      <w:r w:rsidRPr="6C54F3A7">
        <w:rPr>
          <w:rFonts w:asciiTheme="minorHAnsi" w:eastAsiaTheme="minorEastAsia" w:hAnsiTheme="minorHAnsi" w:cstheme="minorBidi"/>
          <w:i w:val="0"/>
          <w:iCs w:val="0"/>
          <w:color w:val="auto"/>
          <w:sz w:val="20"/>
          <w:szCs w:val="20"/>
        </w:rPr>
        <w:t xml:space="preserve">ady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 xml:space="preserve">členové Národní ekonomické rady vlády. Souběžně </w:t>
      </w:r>
      <w:r w:rsidR="49A6D6E9" w:rsidRPr="6C54F3A7">
        <w:rPr>
          <w:rFonts w:asciiTheme="minorHAnsi" w:eastAsiaTheme="minorEastAsia" w:hAnsiTheme="minorHAnsi" w:cstheme="minorBidi"/>
          <w:i w:val="0"/>
          <w:iCs w:val="0"/>
          <w:color w:val="auto"/>
          <w:sz w:val="20"/>
          <w:szCs w:val="20"/>
        </w:rPr>
        <w:t>bylo</w:t>
      </w:r>
      <w:r w:rsidRPr="6C54F3A7">
        <w:rPr>
          <w:rFonts w:asciiTheme="minorHAnsi" w:eastAsiaTheme="minorEastAsia" w:hAnsiTheme="minorHAnsi" w:cstheme="minorBidi"/>
          <w:i w:val="0"/>
          <w:iCs w:val="0"/>
          <w:color w:val="auto"/>
          <w:sz w:val="20"/>
          <w:szCs w:val="20"/>
        </w:rPr>
        <w:t xml:space="preserve"> </w:t>
      </w:r>
      <w:r w:rsidR="49A6D6E9" w:rsidRPr="6C54F3A7">
        <w:rPr>
          <w:rFonts w:asciiTheme="minorHAnsi" w:eastAsiaTheme="minorEastAsia" w:hAnsiTheme="minorHAnsi" w:cstheme="minorBidi"/>
          <w:i w:val="0"/>
          <w:iCs w:val="0"/>
          <w:color w:val="auto"/>
          <w:sz w:val="20"/>
          <w:szCs w:val="20"/>
        </w:rPr>
        <w:t xml:space="preserve">jednáno </w:t>
      </w:r>
      <w:r w:rsidR="11C4B70F" w:rsidRPr="6C54F3A7">
        <w:rPr>
          <w:rFonts w:asciiTheme="minorHAnsi" w:eastAsiaTheme="minorEastAsia" w:hAnsiTheme="minorHAnsi" w:cstheme="minorBidi"/>
          <w:i w:val="0"/>
          <w:iCs w:val="0"/>
          <w:color w:val="auto"/>
          <w:sz w:val="20"/>
          <w:szCs w:val="20"/>
        </w:rPr>
        <w:t>s </w:t>
      </w:r>
      <w:r w:rsidRPr="6C54F3A7">
        <w:rPr>
          <w:rFonts w:asciiTheme="minorHAnsi" w:eastAsiaTheme="minorEastAsia" w:hAnsiTheme="minorHAnsi" w:cstheme="minorBidi"/>
          <w:i w:val="0"/>
          <w:iCs w:val="0"/>
          <w:color w:val="auto"/>
          <w:sz w:val="20"/>
          <w:szCs w:val="20"/>
        </w:rPr>
        <w:t>odborníky z výzkumné komunity</w:t>
      </w:r>
      <w:r w:rsidR="671E4327" w:rsidRPr="6C54F3A7">
        <w:rPr>
          <w:rFonts w:asciiTheme="minorHAnsi" w:eastAsiaTheme="minorEastAsia" w:hAnsiTheme="minorHAnsi" w:cstheme="minorBidi"/>
          <w:i w:val="0"/>
          <w:iCs w:val="0"/>
          <w:color w:val="auto"/>
          <w:sz w:val="20"/>
          <w:szCs w:val="20"/>
        </w:rPr>
        <w:t xml:space="preserve"> </w:t>
      </w:r>
      <w:r w:rsidR="11C4B70F" w:rsidRPr="6C54F3A7">
        <w:rPr>
          <w:rFonts w:asciiTheme="minorHAnsi" w:eastAsiaTheme="minorEastAsia" w:hAnsiTheme="minorHAnsi" w:cstheme="minorBidi"/>
          <w:i w:val="0"/>
          <w:iCs w:val="0"/>
          <w:color w:val="auto"/>
          <w:sz w:val="20"/>
          <w:szCs w:val="20"/>
        </w:rPr>
        <w:t>i </w:t>
      </w:r>
      <w:r w:rsidR="671E4327" w:rsidRPr="6C54F3A7">
        <w:rPr>
          <w:rFonts w:asciiTheme="minorHAnsi" w:eastAsiaTheme="minorEastAsia" w:hAnsiTheme="minorHAnsi" w:cstheme="minorBidi"/>
          <w:i w:val="0"/>
          <w:iCs w:val="0"/>
          <w:color w:val="auto"/>
          <w:sz w:val="20"/>
          <w:szCs w:val="20"/>
        </w:rPr>
        <w:t>zástupci budoucích uživatelů výstupů této komponenty</w:t>
      </w:r>
      <w:r w:rsidRPr="6C54F3A7">
        <w:rPr>
          <w:rFonts w:asciiTheme="minorHAnsi" w:eastAsiaTheme="minorEastAsia" w:hAnsiTheme="minorHAnsi" w:cstheme="minorBidi"/>
          <w:i w:val="0"/>
          <w:iCs w:val="0"/>
          <w:color w:val="auto"/>
          <w:sz w:val="20"/>
          <w:szCs w:val="20"/>
        </w:rPr>
        <w:t>. Na</w:t>
      </w:r>
      <w:r w:rsidR="7AA2D90B" w:rsidRPr="6C54F3A7">
        <w:rPr>
          <w:rFonts w:asciiTheme="minorHAnsi" w:eastAsiaTheme="minorEastAsia" w:hAnsiTheme="minorHAnsi" w:cstheme="minorBidi"/>
          <w:i w:val="0"/>
          <w:iCs w:val="0"/>
          <w:color w:val="auto"/>
          <w:sz w:val="20"/>
          <w:szCs w:val="20"/>
        </w:rPr>
        <w:t> </w:t>
      </w:r>
      <w:r w:rsidRPr="6C54F3A7">
        <w:rPr>
          <w:rFonts w:asciiTheme="minorHAnsi" w:eastAsiaTheme="minorEastAsia" w:hAnsiTheme="minorHAnsi" w:cstheme="minorBidi"/>
          <w:i w:val="0"/>
          <w:iCs w:val="0"/>
          <w:color w:val="auto"/>
          <w:sz w:val="20"/>
          <w:szCs w:val="20"/>
        </w:rPr>
        <w:t xml:space="preserve">této platformě probíhá diskuse o profilování Národního plánu obnovy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 xml:space="preserve">prioritních tématech za účasti zástupců veřejné správy, ale také vědeckých kapacit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 xml:space="preserve">složek podnikatelské sféry. </w:t>
      </w:r>
    </w:p>
    <w:p w14:paraId="3ABF7EFE" w14:textId="4B251671" w:rsidR="00E61F47" w:rsidRPr="00F34B12" w:rsidRDefault="5F7DB517"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 xml:space="preserve">Principy nového programu podpory </w:t>
      </w:r>
      <w:proofErr w:type="spellStart"/>
      <w:r w:rsidRPr="6C54F3A7">
        <w:rPr>
          <w:rFonts w:asciiTheme="minorHAnsi" w:eastAsiaTheme="minorEastAsia" w:hAnsiTheme="minorHAnsi" w:cstheme="minorBidi"/>
          <w:i w:val="0"/>
          <w:iCs w:val="0"/>
          <w:color w:val="auto"/>
          <w:sz w:val="20"/>
          <w:szCs w:val="20"/>
        </w:rPr>
        <w:t>VaVaI</w:t>
      </w:r>
      <w:proofErr w:type="spellEnd"/>
      <w:r w:rsidRPr="6C54F3A7">
        <w:rPr>
          <w:rFonts w:asciiTheme="minorHAnsi" w:eastAsiaTheme="minorEastAsia" w:hAnsiTheme="minorHAnsi" w:cstheme="minorBidi"/>
          <w:i w:val="0"/>
          <w:iCs w:val="0"/>
          <w:color w:val="auto"/>
          <w:sz w:val="20"/>
          <w:szCs w:val="20"/>
        </w:rPr>
        <w:t xml:space="preserve"> </w:t>
      </w:r>
      <w:r w:rsidR="10BAB60C" w:rsidRPr="6C54F3A7">
        <w:rPr>
          <w:rFonts w:asciiTheme="minorHAnsi" w:eastAsiaTheme="minorEastAsia" w:hAnsiTheme="minorHAnsi" w:cstheme="minorBidi"/>
          <w:i w:val="0"/>
          <w:iCs w:val="0"/>
          <w:color w:val="auto"/>
          <w:sz w:val="20"/>
          <w:szCs w:val="20"/>
        </w:rPr>
        <w:t xml:space="preserve">byly </w:t>
      </w:r>
      <w:r w:rsidR="11C4B70F" w:rsidRPr="6C54F3A7">
        <w:rPr>
          <w:rFonts w:asciiTheme="minorHAnsi" w:eastAsiaTheme="minorEastAsia" w:hAnsiTheme="minorHAnsi" w:cstheme="minorBidi"/>
          <w:i w:val="0"/>
          <w:iCs w:val="0"/>
          <w:color w:val="auto"/>
          <w:sz w:val="20"/>
          <w:szCs w:val="20"/>
        </w:rPr>
        <w:t>v </w:t>
      </w:r>
      <w:r w:rsidR="10BAB60C" w:rsidRPr="6C54F3A7">
        <w:rPr>
          <w:rFonts w:asciiTheme="minorHAnsi" w:eastAsiaTheme="minorEastAsia" w:hAnsiTheme="minorHAnsi" w:cstheme="minorBidi"/>
          <w:i w:val="0"/>
          <w:iCs w:val="0"/>
          <w:color w:val="auto"/>
          <w:sz w:val="20"/>
          <w:szCs w:val="20"/>
        </w:rPr>
        <w:t>nedávné</w:t>
      </w:r>
      <w:r w:rsidRPr="6C54F3A7">
        <w:rPr>
          <w:rFonts w:asciiTheme="minorHAnsi" w:eastAsiaTheme="minorEastAsia" w:hAnsiTheme="minorHAnsi" w:cstheme="minorBidi"/>
          <w:i w:val="0"/>
          <w:iCs w:val="0"/>
          <w:color w:val="auto"/>
          <w:sz w:val="20"/>
          <w:szCs w:val="20"/>
        </w:rPr>
        <w:t xml:space="preserve"> době projedná</w:t>
      </w:r>
      <w:r w:rsidR="10BAB60C" w:rsidRPr="6C54F3A7">
        <w:rPr>
          <w:rFonts w:asciiTheme="minorHAnsi" w:eastAsiaTheme="minorEastAsia" w:hAnsiTheme="minorHAnsi" w:cstheme="minorBidi"/>
          <w:i w:val="0"/>
          <w:iCs w:val="0"/>
          <w:color w:val="auto"/>
          <w:sz w:val="20"/>
          <w:szCs w:val="20"/>
        </w:rPr>
        <w:t>ny</w:t>
      </w:r>
      <w:r w:rsidRPr="6C54F3A7">
        <w:rPr>
          <w:rFonts w:asciiTheme="minorHAnsi" w:eastAsiaTheme="minorEastAsia" w:hAnsiTheme="minorHAnsi" w:cstheme="minorBidi"/>
          <w:i w:val="0"/>
          <w:iCs w:val="0"/>
          <w:color w:val="auto"/>
          <w:sz w:val="20"/>
          <w:szCs w:val="20"/>
        </w:rPr>
        <w:t xml:space="preserve"> se všemi </w:t>
      </w:r>
      <w:proofErr w:type="spellStart"/>
      <w:r w:rsidRPr="6C54F3A7">
        <w:rPr>
          <w:rFonts w:asciiTheme="minorHAnsi" w:eastAsiaTheme="minorEastAsia" w:hAnsiTheme="minorHAnsi" w:cstheme="minorBidi"/>
          <w:i w:val="0"/>
          <w:iCs w:val="0"/>
          <w:color w:val="auto"/>
          <w:sz w:val="20"/>
          <w:szCs w:val="20"/>
        </w:rPr>
        <w:t>stakeholdery</w:t>
      </w:r>
      <w:proofErr w:type="spellEnd"/>
      <w:r w:rsidRPr="6C54F3A7">
        <w:rPr>
          <w:rFonts w:asciiTheme="minorHAnsi" w:eastAsiaTheme="minorEastAsia" w:hAnsiTheme="minorHAnsi" w:cstheme="minorBidi"/>
          <w:i w:val="0"/>
          <w:iCs w:val="0"/>
          <w:color w:val="auto"/>
          <w:sz w:val="20"/>
          <w:szCs w:val="20"/>
        </w:rPr>
        <w:t xml:space="preserve"> jak na</w:t>
      </w:r>
      <w:r w:rsidR="7AA2D90B" w:rsidRPr="6C54F3A7">
        <w:rPr>
          <w:rFonts w:asciiTheme="minorHAnsi" w:eastAsiaTheme="minorEastAsia" w:hAnsiTheme="minorHAnsi" w:cstheme="minorBidi"/>
          <w:i w:val="0"/>
          <w:iCs w:val="0"/>
          <w:color w:val="auto"/>
          <w:sz w:val="20"/>
          <w:szCs w:val="20"/>
        </w:rPr>
        <w:t> </w:t>
      </w:r>
      <w:r w:rsidRPr="6C54F3A7">
        <w:rPr>
          <w:rFonts w:asciiTheme="minorHAnsi" w:eastAsiaTheme="minorEastAsia" w:hAnsiTheme="minorHAnsi" w:cstheme="minorBidi"/>
          <w:i w:val="0"/>
          <w:iCs w:val="0"/>
          <w:color w:val="auto"/>
          <w:sz w:val="20"/>
          <w:szCs w:val="20"/>
        </w:rPr>
        <w:t xml:space="preserve">úrovni státní správy, </w:t>
      </w:r>
      <w:r w:rsidR="7AA2D90B" w:rsidRPr="6C54F3A7">
        <w:rPr>
          <w:rFonts w:asciiTheme="minorHAnsi" w:eastAsiaTheme="minorEastAsia" w:hAnsiTheme="minorHAnsi" w:cstheme="minorBidi"/>
          <w:i w:val="0"/>
          <w:iCs w:val="0"/>
          <w:color w:val="auto"/>
          <w:sz w:val="20"/>
          <w:szCs w:val="20"/>
        </w:rPr>
        <w:t xml:space="preserve">včetně zástupců Ministerstva zdravotnictví, </w:t>
      </w:r>
      <w:r w:rsidRPr="6C54F3A7">
        <w:rPr>
          <w:rFonts w:asciiTheme="minorHAnsi" w:eastAsiaTheme="minorEastAsia" w:hAnsiTheme="minorHAnsi" w:cstheme="minorBidi"/>
          <w:i w:val="0"/>
          <w:iCs w:val="0"/>
          <w:color w:val="auto"/>
          <w:sz w:val="20"/>
          <w:szCs w:val="20"/>
        </w:rPr>
        <w:t>tak profesních kruhů. Další oponentura proběh</w:t>
      </w:r>
      <w:r w:rsidR="10BAB60C" w:rsidRPr="6C54F3A7">
        <w:rPr>
          <w:rFonts w:asciiTheme="minorHAnsi" w:eastAsiaTheme="minorEastAsia" w:hAnsiTheme="minorHAnsi" w:cstheme="minorBidi"/>
          <w:i w:val="0"/>
          <w:iCs w:val="0"/>
          <w:color w:val="auto"/>
          <w:sz w:val="20"/>
          <w:szCs w:val="20"/>
        </w:rPr>
        <w:t>la</w:t>
      </w:r>
      <w:r w:rsidRPr="6C54F3A7">
        <w:rPr>
          <w:rFonts w:asciiTheme="minorHAnsi" w:eastAsiaTheme="minorEastAsia" w:hAnsiTheme="minorHAnsi" w:cstheme="minorBidi"/>
          <w:i w:val="0"/>
          <w:iCs w:val="0"/>
          <w:color w:val="auto"/>
          <w:sz w:val="20"/>
          <w:szCs w:val="20"/>
        </w:rPr>
        <w:t xml:space="preserve"> </w:t>
      </w:r>
      <w:r w:rsidR="11C4B70F" w:rsidRPr="6C54F3A7">
        <w:rPr>
          <w:rFonts w:asciiTheme="minorHAnsi" w:eastAsiaTheme="minorEastAsia" w:hAnsiTheme="minorHAnsi" w:cstheme="minorBidi"/>
          <w:i w:val="0"/>
          <w:iCs w:val="0"/>
          <w:color w:val="auto"/>
          <w:sz w:val="20"/>
          <w:szCs w:val="20"/>
        </w:rPr>
        <w:t>v </w:t>
      </w:r>
      <w:r w:rsidRPr="6C54F3A7">
        <w:rPr>
          <w:rFonts w:asciiTheme="minorHAnsi" w:eastAsiaTheme="minorEastAsia" w:hAnsiTheme="minorHAnsi" w:cstheme="minorBidi"/>
          <w:i w:val="0"/>
          <w:iCs w:val="0"/>
          <w:color w:val="auto"/>
          <w:sz w:val="20"/>
          <w:szCs w:val="20"/>
        </w:rPr>
        <w:t xml:space="preserve">konzultacích se zástupci akademické </w:t>
      </w:r>
      <w:r w:rsidR="11C4B70F" w:rsidRPr="6C54F3A7">
        <w:rPr>
          <w:rFonts w:asciiTheme="minorHAnsi" w:eastAsiaTheme="minorEastAsia" w:hAnsiTheme="minorHAnsi" w:cstheme="minorBidi"/>
          <w:i w:val="0"/>
          <w:iCs w:val="0"/>
          <w:color w:val="auto"/>
          <w:sz w:val="20"/>
          <w:szCs w:val="20"/>
        </w:rPr>
        <w:t>i </w:t>
      </w:r>
      <w:r w:rsidRPr="6C54F3A7">
        <w:rPr>
          <w:rFonts w:asciiTheme="minorHAnsi" w:eastAsiaTheme="minorEastAsia" w:hAnsiTheme="minorHAnsi" w:cstheme="minorBidi"/>
          <w:i w:val="0"/>
          <w:iCs w:val="0"/>
          <w:color w:val="auto"/>
          <w:sz w:val="20"/>
          <w:szCs w:val="20"/>
        </w:rPr>
        <w:t xml:space="preserve">aplikační sféry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 xml:space="preserve">vysokých škol, v Radě pro výzkum, vývoj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 xml:space="preserve">inovace ČR. Současně </w:t>
      </w:r>
      <w:r w:rsidR="10BAB60C" w:rsidRPr="6C54F3A7">
        <w:rPr>
          <w:rFonts w:asciiTheme="minorHAnsi" w:eastAsiaTheme="minorEastAsia" w:hAnsiTheme="minorHAnsi" w:cstheme="minorBidi"/>
          <w:i w:val="0"/>
          <w:iCs w:val="0"/>
          <w:color w:val="auto"/>
          <w:sz w:val="20"/>
          <w:szCs w:val="20"/>
        </w:rPr>
        <w:t xml:space="preserve">byla </w:t>
      </w:r>
      <w:r w:rsidRPr="6C54F3A7">
        <w:rPr>
          <w:rFonts w:asciiTheme="minorHAnsi" w:eastAsiaTheme="minorEastAsia" w:hAnsiTheme="minorHAnsi" w:cstheme="minorBidi"/>
          <w:i w:val="0"/>
          <w:iCs w:val="0"/>
          <w:color w:val="auto"/>
          <w:sz w:val="20"/>
          <w:szCs w:val="20"/>
        </w:rPr>
        <w:t>prověř</w:t>
      </w:r>
      <w:r w:rsidR="10BAB60C" w:rsidRPr="6C54F3A7">
        <w:rPr>
          <w:rFonts w:asciiTheme="minorHAnsi" w:eastAsiaTheme="minorEastAsia" w:hAnsiTheme="minorHAnsi" w:cstheme="minorBidi"/>
          <w:i w:val="0"/>
          <w:iCs w:val="0"/>
          <w:color w:val="auto"/>
          <w:sz w:val="20"/>
          <w:szCs w:val="20"/>
        </w:rPr>
        <w:t>ena</w:t>
      </w:r>
      <w:r w:rsidRPr="6C54F3A7">
        <w:rPr>
          <w:rFonts w:asciiTheme="minorHAnsi" w:eastAsiaTheme="minorEastAsia" w:hAnsiTheme="minorHAnsi" w:cstheme="minorBidi"/>
          <w:i w:val="0"/>
          <w:iCs w:val="0"/>
          <w:color w:val="auto"/>
          <w:sz w:val="20"/>
          <w:szCs w:val="20"/>
        </w:rPr>
        <w:t xml:space="preserve"> dostatečnost absorpční kapacity navrhovaného programu</w:t>
      </w:r>
      <w:r w:rsidR="10BAB60C" w:rsidRPr="6C54F3A7">
        <w:rPr>
          <w:rFonts w:asciiTheme="minorHAnsi" w:eastAsiaTheme="minorEastAsia" w:hAnsiTheme="minorHAnsi" w:cstheme="minorBidi"/>
          <w:i w:val="0"/>
          <w:iCs w:val="0"/>
          <w:color w:val="auto"/>
          <w:sz w:val="20"/>
          <w:szCs w:val="20"/>
        </w:rPr>
        <w:t xml:space="preserve"> studií Technologického centra AV</w:t>
      </w:r>
      <w:r w:rsidR="7AA2D90B" w:rsidRPr="6C54F3A7">
        <w:rPr>
          <w:rFonts w:asciiTheme="minorHAnsi" w:eastAsiaTheme="minorEastAsia" w:hAnsiTheme="minorHAnsi" w:cstheme="minorBidi"/>
          <w:i w:val="0"/>
          <w:iCs w:val="0"/>
          <w:color w:val="auto"/>
          <w:sz w:val="20"/>
          <w:szCs w:val="20"/>
        </w:rPr>
        <w:t> </w:t>
      </w:r>
      <w:r w:rsidR="10BAB60C" w:rsidRPr="6C54F3A7">
        <w:rPr>
          <w:rFonts w:asciiTheme="minorHAnsi" w:eastAsiaTheme="minorEastAsia" w:hAnsiTheme="minorHAnsi" w:cstheme="minorBidi"/>
          <w:i w:val="0"/>
          <w:iCs w:val="0"/>
          <w:color w:val="auto"/>
          <w:sz w:val="20"/>
          <w:szCs w:val="20"/>
        </w:rPr>
        <w:t>ČR.</w:t>
      </w:r>
      <w:r w:rsidR="00FE4664" w:rsidRPr="6C54F3A7">
        <w:rPr>
          <w:rStyle w:val="Znakapoznpodarou"/>
          <w:rFonts w:asciiTheme="minorHAnsi" w:eastAsiaTheme="minorEastAsia" w:hAnsiTheme="minorHAnsi" w:cstheme="minorBidi"/>
          <w:i w:val="0"/>
          <w:iCs w:val="0"/>
          <w:color w:val="auto"/>
          <w:sz w:val="20"/>
          <w:szCs w:val="20"/>
        </w:rPr>
        <w:footnoteReference w:id="33"/>
      </w:r>
      <w:r w:rsidRPr="6C54F3A7">
        <w:rPr>
          <w:rFonts w:asciiTheme="minorHAnsi" w:eastAsiaTheme="minorEastAsia" w:hAnsiTheme="minorHAnsi" w:cstheme="minorBidi"/>
          <w:i w:val="0"/>
          <w:iCs w:val="0"/>
          <w:color w:val="auto"/>
          <w:sz w:val="20"/>
          <w:szCs w:val="20"/>
        </w:rPr>
        <w:t xml:space="preserve">. </w:t>
      </w:r>
    </w:p>
    <w:p w14:paraId="3EB62746" w14:textId="77777777" w:rsidR="007B52A8" w:rsidRDefault="1072F9FF" w:rsidP="6C54F3A7">
      <w:pPr>
        <w:pStyle w:val="Textkomente"/>
        <w:jc w:val="both"/>
        <w:rPr>
          <w:rFonts w:eastAsiaTheme="minorEastAsia"/>
          <w:color w:val="auto"/>
        </w:rPr>
      </w:pPr>
      <w:r w:rsidRPr="6C54F3A7">
        <w:rPr>
          <w:rFonts w:eastAsiaTheme="minorEastAsia"/>
          <w:color w:val="auto"/>
        </w:rPr>
        <w:t xml:space="preserve">Tato komponenta </w:t>
      </w:r>
      <w:r w:rsidR="4CEC6F79" w:rsidRPr="6C54F3A7">
        <w:rPr>
          <w:rFonts w:eastAsiaTheme="minorEastAsia"/>
          <w:color w:val="auto"/>
        </w:rPr>
        <w:t xml:space="preserve">sleduje i </w:t>
      </w:r>
      <w:r w:rsidRPr="6C54F3A7">
        <w:rPr>
          <w:rFonts w:eastAsiaTheme="minorEastAsia"/>
          <w:color w:val="auto"/>
        </w:rPr>
        <w:t>částečn</w:t>
      </w:r>
      <w:r w:rsidR="4CEC6F79" w:rsidRPr="6C54F3A7">
        <w:rPr>
          <w:rFonts w:eastAsiaTheme="minorEastAsia"/>
          <w:color w:val="auto"/>
        </w:rPr>
        <w:t xml:space="preserve">é </w:t>
      </w:r>
      <w:r w:rsidRPr="6C54F3A7">
        <w:rPr>
          <w:rFonts w:eastAsiaTheme="minorEastAsia"/>
          <w:color w:val="auto"/>
        </w:rPr>
        <w:t>napl</w:t>
      </w:r>
      <w:r w:rsidR="4CEC6F79" w:rsidRPr="6C54F3A7">
        <w:rPr>
          <w:rFonts w:eastAsiaTheme="minorEastAsia"/>
          <w:color w:val="auto"/>
        </w:rPr>
        <w:t>ňování</w:t>
      </w:r>
      <w:r w:rsidRPr="6C54F3A7">
        <w:rPr>
          <w:rFonts w:eastAsiaTheme="minorEastAsia"/>
          <w:color w:val="auto"/>
        </w:rPr>
        <w:t xml:space="preserve"> Doporučení Rady k národnímu programu reforem České republiky na rok 2019 a stanovisko Rady ke konvergenčnímu programu České republiky z roku 2019 ze</w:t>
      </w:r>
      <w:r w:rsidR="7AA2D90B" w:rsidRPr="6C54F3A7">
        <w:rPr>
          <w:rFonts w:eastAsiaTheme="minorEastAsia"/>
          <w:color w:val="auto"/>
        </w:rPr>
        <w:t> </w:t>
      </w:r>
      <w:r w:rsidRPr="6C54F3A7">
        <w:rPr>
          <w:rFonts w:eastAsiaTheme="minorEastAsia"/>
          <w:color w:val="auto"/>
        </w:rPr>
        <w:t>dne 5. 6. 2019, kde je mimo jiné v bodě 16</w:t>
      </w:r>
      <w:r w:rsidR="4CEC6F79" w:rsidRPr="6C54F3A7">
        <w:rPr>
          <w:rFonts w:eastAsiaTheme="minorEastAsia"/>
          <w:color w:val="auto"/>
        </w:rPr>
        <w:t>)</w:t>
      </w:r>
      <w:r w:rsidRPr="6C54F3A7">
        <w:rPr>
          <w:rFonts w:eastAsiaTheme="minorEastAsia"/>
          <w:color w:val="auto"/>
        </w:rPr>
        <w:t xml:space="preserve"> říká</w:t>
      </w:r>
      <w:r w:rsidR="7AA2D90B" w:rsidRPr="6C54F3A7">
        <w:rPr>
          <w:rFonts w:eastAsiaTheme="minorEastAsia"/>
          <w:color w:val="auto"/>
        </w:rPr>
        <w:t>, že</w:t>
      </w:r>
      <w:r w:rsidRPr="6C54F3A7">
        <w:rPr>
          <w:rFonts w:eastAsiaTheme="minorEastAsia"/>
          <w:color w:val="auto"/>
        </w:rPr>
        <w:t xml:space="preserve"> „</w:t>
      </w:r>
      <w:r w:rsidR="7AA2D90B" w:rsidRPr="6C54F3A7">
        <w:rPr>
          <w:rFonts w:eastAsiaTheme="minorEastAsia"/>
          <w:color w:val="auto"/>
        </w:rPr>
        <w:t>…</w:t>
      </w:r>
      <w:r w:rsidRPr="6C54F3A7">
        <w:rPr>
          <w:rFonts w:eastAsiaTheme="minorEastAsia"/>
          <w:color w:val="auto"/>
        </w:rPr>
        <w:t xml:space="preserve"> veřejné investice postrádají plně soudržnou strategii, která by posílila slabší výkonnost výzkumu a zlepšila spolupráci mezi soukromým sektorem a akademickou sférou.“ </w:t>
      </w:r>
    </w:p>
    <w:p w14:paraId="08CD09BE" w14:textId="1D759E46" w:rsidR="00562EA5" w:rsidRPr="00992741" w:rsidRDefault="4CEC6F79" w:rsidP="6C54F3A7">
      <w:pPr>
        <w:pStyle w:val="Textkomente"/>
        <w:jc w:val="both"/>
        <w:rPr>
          <w:rFonts w:eastAsiaTheme="minorEastAsia"/>
          <w:color w:val="auto"/>
        </w:rPr>
      </w:pPr>
      <w:r w:rsidRPr="6C54F3A7">
        <w:rPr>
          <w:rFonts w:eastAsiaTheme="minorEastAsia"/>
          <w:color w:val="auto"/>
        </w:rPr>
        <w:t>Je zde</w:t>
      </w:r>
      <w:r w:rsidR="1072F9FF" w:rsidRPr="6C54F3A7">
        <w:rPr>
          <w:rFonts w:eastAsiaTheme="minorEastAsia"/>
          <w:color w:val="auto"/>
        </w:rPr>
        <w:t xml:space="preserve"> </w:t>
      </w:r>
      <w:r w:rsidR="7AA2D90B" w:rsidRPr="6C54F3A7">
        <w:rPr>
          <w:rFonts w:eastAsiaTheme="minorEastAsia"/>
          <w:color w:val="auto"/>
        </w:rPr>
        <w:t>také</w:t>
      </w:r>
      <w:r w:rsidR="1072F9FF" w:rsidRPr="6C54F3A7">
        <w:rPr>
          <w:rFonts w:eastAsiaTheme="minorEastAsia"/>
          <w:color w:val="auto"/>
        </w:rPr>
        <w:t xml:space="preserve"> třeba </w:t>
      </w:r>
      <w:r w:rsidRPr="6C54F3A7">
        <w:rPr>
          <w:rFonts w:eastAsiaTheme="minorEastAsia"/>
          <w:color w:val="auto"/>
        </w:rPr>
        <w:t>zmínit</w:t>
      </w:r>
      <w:r w:rsidR="1072F9FF" w:rsidRPr="6C54F3A7">
        <w:rPr>
          <w:rFonts w:eastAsiaTheme="minorEastAsia"/>
          <w:color w:val="auto"/>
        </w:rPr>
        <w:t xml:space="preserve"> i snahu </w:t>
      </w:r>
      <w:r w:rsidR="7AA2D90B" w:rsidRPr="6C54F3A7">
        <w:rPr>
          <w:rFonts w:eastAsiaTheme="minorEastAsia"/>
          <w:color w:val="auto"/>
        </w:rPr>
        <w:t>přispět touto komponentou k</w:t>
      </w:r>
      <w:r w:rsidR="1072F9FF" w:rsidRPr="6C54F3A7">
        <w:rPr>
          <w:rFonts w:eastAsiaTheme="minorEastAsia"/>
          <w:color w:val="auto"/>
        </w:rPr>
        <w:t xml:space="preserve"> naplnění </w:t>
      </w:r>
      <w:r w:rsidRPr="6C54F3A7">
        <w:rPr>
          <w:rFonts w:eastAsiaTheme="minorEastAsia"/>
          <w:color w:val="auto"/>
        </w:rPr>
        <w:t xml:space="preserve">dvou </w:t>
      </w:r>
      <w:r w:rsidR="1072F9FF" w:rsidRPr="6C54F3A7">
        <w:rPr>
          <w:rFonts w:eastAsiaTheme="minorEastAsia"/>
          <w:color w:val="auto"/>
        </w:rPr>
        <w:t>Doporučení Rady k</w:t>
      </w:r>
      <w:r w:rsidR="51F08B9C" w:rsidRPr="6C54F3A7">
        <w:rPr>
          <w:rFonts w:eastAsiaTheme="minorEastAsia"/>
          <w:color w:val="auto"/>
        </w:rPr>
        <w:t> </w:t>
      </w:r>
      <w:r w:rsidR="1072F9FF" w:rsidRPr="6C54F3A7">
        <w:rPr>
          <w:rFonts w:eastAsiaTheme="minorEastAsia"/>
          <w:color w:val="auto"/>
        </w:rPr>
        <w:t>národnímu programu reforem České republiky na rok 2020 a stanovisko Rady ke konvergenčnímu programu České republiky z roku 2020 ze dne 20. 5. 2020</w:t>
      </w:r>
      <w:r w:rsidRPr="6C54F3A7">
        <w:rPr>
          <w:rFonts w:eastAsiaTheme="minorEastAsia"/>
          <w:color w:val="auto"/>
        </w:rPr>
        <w:t>, které identifikují následující výzvy</w:t>
      </w:r>
      <w:r w:rsidR="7AA2D90B" w:rsidRPr="6C54F3A7">
        <w:rPr>
          <w:rFonts w:eastAsiaTheme="minorEastAsia"/>
          <w:color w:val="auto"/>
        </w:rPr>
        <w:t>:</w:t>
      </w:r>
      <w:r w:rsidR="1072F9FF" w:rsidRPr="6C54F3A7">
        <w:rPr>
          <w:rFonts w:eastAsiaTheme="minorEastAsia"/>
          <w:color w:val="auto"/>
        </w:rPr>
        <w:t xml:space="preserve"> </w:t>
      </w:r>
    </w:p>
    <w:p w14:paraId="4C7CFB2D" w14:textId="5AA9F38C" w:rsidR="00FE4664" w:rsidRPr="00992741" w:rsidRDefault="10BAB60C" w:rsidP="6C54F3A7">
      <w:pPr>
        <w:pStyle w:val="Textkomente"/>
        <w:ind w:left="426" w:hanging="426"/>
        <w:rPr>
          <w:rFonts w:eastAsiaTheme="minorEastAsia"/>
          <w:color w:val="auto"/>
        </w:rPr>
      </w:pPr>
      <w:r w:rsidRPr="6C54F3A7">
        <w:rPr>
          <w:rFonts w:eastAsiaTheme="minorEastAsia"/>
          <w:color w:val="auto"/>
        </w:rPr>
        <w:t>17)</w:t>
      </w:r>
      <w:r w:rsidR="00FE4664">
        <w:tab/>
      </w:r>
      <w:r w:rsidR="4CEC6F79" w:rsidRPr="6C54F3A7">
        <w:rPr>
          <w:rFonts w:eastAsiaTheme="minorEastAsia"/>
          <w:color w:val="auto"/>
        </w:rPr>
        <w:t>“</w:t>
      </w:r>
      <w:r w:rsidRPr="6C54F3A7">
        <w:rPr>
          <w:rFonts w:eastAsiaTheme="minorEastAsia"/>
          <w:color w:val="auto"/>
        </w:rPr>
        <w:t>Ke zmírnění dopadu pandemie COVID-19 bude zapotřebí zlepšit odolnost a krizovou připravenost zdravotnického systému</w:t>
      </w:r>
      <w:r w:rsidR="4CEC6F79" w:rsidRPr="6C54F3A7">
        <w:rPr>
          <w:rFonts w:eastAsiaTheme="minorEastAsia"/>
          <w:color w:val="auto"/>
        </w:rPr>
        <w:t xml:space="preserve">.“ </w:t>
      </w:r>
    </w:p>
    <w:p w14:paraId="3B000E76" w14:textId="3C19BAC3" w:rsidR="00FE4664" w:rsidRPr="00992741" w:rsidRDefault="4CEC6F79" w:rsidP="6C54F3A7">
      <w:pPr>
        <w:pStyle w:val="Textkomente"/>
        <w:numPr>
          <w:ilvl w:val="0"/>
          <w:numId w:val="41"/>
        </w:numPr>
        <w:ind w:left="426" w:hanging="426"/>
        <w:jc w:val="both"/>
        <w:rPr>
          <w:rFonts w:eastAsiaTheme="minorEastAsia"/>
          <w:color w:val="auto"/>
        </w:rPr>
      </w:pPr>
      <w:r w:rsidRPr="6C54F3A7">
        <w:rPr>
          <w:rFonts w:eastAsiaTheme="minorEastAsia"/>
          <w:color w:val="auto"/>
        </w:rPr>
        <w:t>„</w:t>
      </w:r>
      <w:r w:rsidR="10BAB60C" w:rsidRPr="6C54F3A7">
        <w:rPr>
          <w:rFonts w:eastAsiaTheme="minorEastAsia"/>
          <w:color w:val="auto"/>
        </w:rPr>
        <w:t>Výrazná roztříštěnost v odvětví výzkumu vede k tomu, že finanční prostředky na výzkum a vývoj jsou příliš rozptýleny. Spolupráci veřejného a soukromého sektoru ztěžuje stávající praxe posuzování profesní dráhy výzkumných pracovníků. Užší spolupráce mezi akademickou obcí a podnikatelskou sférou, zejména prostřednictvím tzv. spin-</w:t>
      </w:r>
      <w:proofErr w:type="spellStart"/>
      <w:r w:rsidR="10BAB60C" w:rsidRPr="6C54F3A7">
        <w:rPr>
          <w:rFonts w:eastAsiaTheme="minorEastAsia"/>
          <w:color w:val="auto"/>
        </w:rPr>
        <w:t>off</w:t>
      </w:r>
      <w:proofErr w:type="spellEnd"/>
      <w:r w:rsidR="10BAB60C" w:rsidRPr="6C54F3A7">
        <w:rPr>
          <w:rFonts w:eastAsiaTheme="minorEastAsia"/>
          <w:color w:val="auto"/>
        </w:rPr>
        <w:t xml:space="preserve"> firem, by mohla urychlit přenos technologií a šíření inovací.</w:t>
      </w:r>
      <w:r w:rsidRPr="6C54F3A7">
        <w:rPr>
          <w:rFonts w:eastAsiaTheme="minorEastAsia"/>
          <w:color w:val="auto"/>
        </w:rPr>
        <w:t>“</w:t>
      </w:r>
    </w:p>
    <w:p w14:paraId="0D8B1C60" w14:textId="393B0A23" w:rsidR="001E4962" w:rsidRPr="00992741" w:rsidRDefault="45E45651"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 xml:space="preserve">V neposlední řadě je </w:t>
      </w:r>
      <w:r w:rsidR="05E9043B" w:rsidRPr="6C54F3A7">
        <w:rPr>
          <w:rFonts w:asciiTheme="minorHAnsi" w:eastAsiaTheme="minorEastAsia" w:hAnsiTheme="minorHAnsi" w:cstheme="minorBidi"/>
          <w:i w:val="0"/>
          <w:iCs w:val="0"/>
          <w:color w:val="auto"/>
          <w:sz w:val="20"/>
          <w:szCs w:val="20"/>
        </w:rPr>
        <w:t xml:space="preserve">zde </w:t>
      </w:r>
      <w:r w:rsidRPr="6C54F3A7">
        <w:rPr>
          <w:rFonts w:asciiTheme="minorHAnsi" w:eastAsiaTheme="minorEastAsia" w:hAnsiTheme="minorHAnsi" w:cstheme="minorBidi"/>
          <w:i w:val="0"/>
          <w:iCs w:val="0"/>
          <w:color w:val="auto"/>
          <w:sz w:val="20"/>
          <w:szCs w:val="20"/>
        </w:rPr>
        <w:t xml:space="preserve">třeba </w:t>
      </w:r>
      <w:r w:rsidR="4CEC6F79" w:rsidRPr="6C54F3A7">
        <w:rPr>
          <w:rFonts w:asciiTheme="minorHAnsi" w:eastAsiaTheme="minorEastAsia" w:hAnsiTheme="minorHAnsi" w:cstheme="minorBidi"/>
          <w:i w:val="0"/>
          <w:iCs w:val="0"/>
          <w:color w:val="auto"/>
          <w:sz w:val="20"/>
          <w:szCs w:val="20"/>
        </w:rPr>
        <w:t>upozornit</w:t>
      </w:r>
      <w:r w:rsidRPr="6C54F3A7">
        <w:rPr>
          <w:rFonts w:asciiTheme="minorHAnsi" w:eastAsiaTheme="minorEastAsia" w:hAnsiTheme="minorHAnsi" w:cstheme="minorBidi"/>
          <w:i w:val="0"/>
          <w:iCs w:val="0"/>
          <w:color w:val="auto"/>
          <w:sz w:val="20"/>
          <w:szCs w:val="20"/>
        </w:rPr>
        <w:t xml:space="preserve">, že tato komponenta </w:t>
      </w:r>
      <w:r w:rsidR="23AD1024" w:rsidRPr="6C54F3A7">
        <w:rPr>
          <w:rFonts w:asciiTheme="minorHAnsi" w:eastAsiaTheme="minorEastAsia" w:hAnsiTheme="minorHAnsi" w:cstheme="minorBidi"/>
          <w:i w:val="0"/>
          <w:iCs w:val="0"/>
          <w:color w:val="auto"/>
          <w:sz w:val="20"/>
          <w:szCs w:val="20"/>
        </w:rPr>
        <w:t xml:space="preserve">5.1. </w:t>
      </w:r>
      <w:r w:rsidRPr="6C54F3A7">
        <w:rPr>
          <w:rFonts w:asciiTheme="minorHAnsi" w:eastAsiaTheme="minorEastAsia" w:hAnsiTheme="minorHAnsi" w:cstheme="minorBidi"/>
          <w:i w:val="0"/>
          <w:iCs w:val="0"/>
          <w:color w:val="auto"/>
          <w:sz w:val="20"/>
          <w:szCs w:val="20"/>
        </w:rPr>
        <w:t>je</w:t>
      </w:r>
      <w:r w:rsidR="11C4B70F" w:rsidRPr="6C54F3A7">
        <w:rPr>
          <w:rFonts w:asciiTheme="minorHAnsi" w:eastAsiaTheme="minorEastAsia" w:hAnsiTheme="minorHAnsi" w:cstheme="minorBidi"/>
          <w:i w:val="0"/>
          <w:iCs w:val="0"/>
          <w:color w:val="auto"/>
          <w:sz w:val="20"/>
          <w:szCs w:val="20"/>
        </w:rPr>
        <w:t> </w:t>
      </w:r>
      <w:r w:rsidR="365F5162" w:rsidRPr="6C54F3A7">
        <w:rPr>
          <w:rFonts w:asciiTheme="minorHAnsi" w:eastAsiaTheme="minorEastAsia" w:hAnsiTheme="minorHAnsi" w:cstheme="minorBidi"/>
          <w:i w:val="0"/>
          <w:iCs w:val="0"/>
          <w:color w:val="auto"/>
          <w:sz w:val="20"/>
          <w:szCs w:val="20"/>
        </w:rPr>
        <w:t>synergickým</w:t>
      </w:r>
      <w:r w:rsidRPr="6C54F3A7">
        <w:rPr>
          <w:rFonts w:asciiTheme="minorHAnsi" w:eastAsiaTheme="minorEastAsia" w:hAnsiTheme="minorHAnsi" w:cstheme="minorBidi"/>
          <w:i w:val="0"/>
          <w:iCs w:val="0"/>
          <w:color w:val="auto"/>
          <w:sz w:val="20"/>
          <w:szCs w:val="20"/>
        </w:rPr>
        <w:t xml:space="preserve"> můstkem pro komponent</w:t>
      </w:r>
      <w:r w:rsidR="1FE4A4FC" w:rsidRPr="6C54F3A7">
        <w:rPr>
          <w:rFonts w:asciiTheme="minorHAnsi" w:eastAsiaTheme="minorEastAsia" w:hAnsiTheme="minorHAnsi" w:cstheme="minorBidi"/>
          <w:i w:val="0"/>
          <w:iCs w:val="0"/>
          <w:color w:val="auto"/>
          <w:sz w:val="20"/>
          <w:szCs w:val="20"/>
        </w:rPr>
        <w:t>u</w:t>
      </w:r>
      <w:r w:rsidRPr="6C54F3A7">
        <w:rPr>
          <w:rFonts w:asciiTheme="minorHAnsi" w:eastAsiaTheme="minorEastAsia" w:hAnsiTheme="minorHAnsi" w:cstheme="minorBidi"/>
          <w:i w:val="0"/>
          <w:iCs w:val="0"/>
          <w:color w:val="auto"/>
          <w:sz w:val="20"/>
          <w:szCs w:val="20"/>
        </w:rPr>
        <w:t xml:space="preserve"> 5.2.“ Podpora výzkumu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 xml:space="preserve">vývoje </w:t>
      </w:r>
      <w:r w:rsidR="11C4B70F" w:rsidRPr="6C54F3A7">
        <w:rPr>
          <w:rFonts w:asciiTheme="minorHAnsi" w:eastAsiaTheme="minorEastAsia" w:hAnsiTheme="minorHAnsi" w:cstheme="minorBidi"/>
          <w:i w:val="0"/>
          <w:iCs w:val="0"/>
          <w:color w:val="auto"/>
          <w:sz w:val="20"/>
          <w:szCs w:val="20"/>
        </w:rPr>
        <w:t>v </w:t>
      </w:r>
      <w:r w:rsidRPr="6C54F3A7">
        <w:rPr>
          <w:rFonts w:asciiTheme="minorHAnsi" w:eastAsiaTheme="minorEastAsia" w:hAnsiTheme="minorHAnsi" w:cstheme="minorBidi"/>
          <w:i w:val="0"/>
          <w:iCs w:val="0"/>
          <w:color w:val="auto"/>
          <w:sz w:val="20"/>
          <w:szCs w:val="20"/>
        </w:rPr>
        <w:t xml:space="preserve">podnicích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zavádění inovací do podnikové praxe”</w:t>
      </w:r>
      <w:r w:rsidR="23AD1024" w:rsidRPr="6C54F3A7">
        <w:rPr>
          <w:rFonts w:asciiTheme="minorHAnsi" w:eastAsiaTheme="minorEastAsia" w:hAnsiTheme="minorHAnsi" w:cstheme="minorBidi"/>
          <w:i w:val="0"/>
          <w:iCs w:val="0"/>
          <w:color w:val="auto"/>
          <w:sz w:val="20"/>
          <w:szCs w:val="20"/>
        </w:rPr>
        <w:t>,</w:t>
      </w:r>
      <w:r w:rsidRPr="6C54F3A7">
        <w:rPr>
          <w:rFonts w:asciiTheme="minorHAnsi" w:eastAsiaTheme="minorEastAsia" w:hAnsiTheme="minorHAnsi" w:cstheme="minorBidi"/>
          <w:i w:val="0"/>
          <w:iCs w:val="0"/>
          <w:color w:val="auto"/>
          <w:sz w:val="20"/>
          <w:szCs w:val="20"/>
        </w:rPr>
        <w:t xml:space="preserve"> </w:t>
      </w:r>
      <w:r w:rsidR="23AD1024" w:rsidRPr="6C54F3A7">
        <w:rPr>
          <w:rFonts w:asciiTheme="minorHAnsi" w:eastAsiaTheme="minorEastAsia" w:hAnsiTheme="minorHAnsi" w:cstheme="minorBidi"/>
          <w:i w:val="0"/>
          <w:iCs w:val="0"/>
          <w:color w:val="auto"/>
          <w:sz w:val="20"/>
          <w:szCs w:val="20"/>
        </w:rPr>
        <w:t xml:space="preserve">jejíž ambicí je mimo jiné urychlení přenosu technologií </w:t>
      </w:r>
      <w:r w:rsidR="11C4B70F" w:rsidRPr="6C54F3A7">
        <w:rPr>
          <w:rFonts w:asciiTheme="minorHAnsi" w:eastAsiaTheme="minorEastAsia" w:hAnsiTheme="minorHAnsi" w:cstheme="minorBidi"/>
          <w:i w:val="0"/>
          <w:iCs w:val="0"/>
          <w:color w:val="auto"/>
          <w:sz w:val="20"/>
          <w:szCs w:val="20"/>
        </w:rPr>
        <w:t>a </w:t>
      </w:r>
      <w:r w:rsidR="23AD1024" w:rsidRPr="6C54F3A7">
        <w:rPr>
          <w:rFonts w:asciiTheme="minorHAnsi" w:eastAsiaTheme="minorEastAsia" w:hAnsiTheme="minorHAnsi" w:cstheme="minorBidi"/>
          <w:i w:val="0"/>
          <w:iCs w:val="0"/>
          <w:color w:val="auto"/>
          <w:sz w:val="20"/>
          <w:szCs w:val="20"/>
        </w:rPr>
        <w:t xml:space="preserve">šíření inovací </w:t>
      </w:r>
      <w:r w:rsidR="11C4B70F" w:rsidRPr="6C54F3A7">
        <w:rPr>
          <w:rFonts w:asciiTheme="minorHAnsi" w:eastAsiaTheme="minorEastAsia" w:hAnsiTheme="minorHAnsi" w:cstheme="minorBidi"/>
          <w:i w:val="0"/>
          <w:iCs w:val="0"/>
          <w:color w:val="auto"/>
          <w:sz w:val="20"/>
          <w:szCs w:val="20"/>
        </w:rPr>
        <w:t>a </w:t>
      </w:r>
      <w:r w:rsidR="23AD1024" w:rsidRPr="6C54F3A7">
        <w:rPr>
          <w:rFonts w:asciiTheme="minorHAnsi" w:eastAsiaTheme="minorEastAsia" w:hAnsiTheme="minorHAnsi" w:cstheme="minorBidi"/>
          <w:i w:val="0"/>
          <w:iCs w:val="0"/>
          <w:color w:val="auto"/>
          <w:sz w:val="20"/>
          <w:szCs w:val="20"/>
        </w:rPr>
        <w:t xml:space="preserve">cílená podpora užší spolupráce mezi akademickou obcí </w:t>
      </w:r>
      <w:r w:rsidR="11C4B70F" w:rsidRPr="6C54F3A7">
        <w:rPr>
          <w:rFonts w:asciiTheme="minorHAnsi" w:eastAsiaTheme="minorEastAsia" w:hAnsiTheme="minorHAnsi" w:cstheme="minorBidi"/>
          <w:i w:val="0"/>
          <w:iCs w:val="0"/>
          <w:color w:val="auto"/>
          <w:sz w:val="20"/>
          <w:szCs w:val="20"/>
        </w:rPr>
        <w:t>a </w:t>
      </w:r>
      <w:r w:rsidR="23AD1024" w:rsidRPr="6C54F3A7">
        <w:rPr>
          <w:rFonts w:asciiTheme="minorHAnsi" w:eastAsiaTheme="minorEastAsia" w:hAnsiTheme="minorHAnsi" w:cstheme="minorBidi"/>
          <w:i w:val="0"/>
          <w:iCs w:val="0"/>
          <w:color w:val="auto"/>
          <w:sz w:val="20"/>
          <w:szCs w:val="20"/>
        </w:rPr>
        <w:t xml:space="preserve">podnikatelskou sférou „z druhé strany“. Oboustranná podpora spolupráce soukromého </w:t>
      </w:r>
      <w:r w:rsidR="11C4B70F" w:rsidRPr="6C54F3A7">
        <w:rPr>
          <w:rFonts w:asciiTheme="minorHAnsi" w:eastAsiaTheme="minorEastAsia" w:hAnsiTheme="minorHAnsi" w:cstheme="minorBidi"/>
          <w:i w:val="0"/>
          <w:iCs w:val="0"/>
          <w:color w:val="auto"/>
          <w:sz w:val="20"/>
          <w:szCs w:val="20"/>
        </w:rPr>
        <w:t>a </w:t>
      </w:r>
      <w:r w:rsidR="23AD1024" w:rsidRPr="6C54F3A7">
        <w:rPr>
          <w:rFonts w:asciiTheme="minorHAnsi" w:eastAsiaTheme="minorEastAsia" w:hAnsiTheme="minorHAnsi" w:cstheme="minorBidi"/>
          <w:i w:val="0"/>
          <w:iCs w:val="0"/>
          <w:color w:val="auto"/>
          <w:sz w:val="20"/>
          <w:szCs w:val="20"/>
        </w:rPr>
        <w:t xml:space="preserve">veřejného sektoru komplementárními komponentami 5.1. </w:t>
      </w:r>
      <w:r w:rsidR="11C4B70F" w:rsidRPr="6C54F3A7">
        <w:rPr>
          <w:rFonts w:asciiTheme="minorHAnsi" w:eastAsiaTheme="minorEastAsia" w:hAnsiTheme="minorHAnsi" w:cstheme="minorBidi"/>
          <w:i w:val="0"/>
          <w:iCs w:val="0"/>
          <w:color w:val="auto"/>
          <w:sz w:val="20"/>
          <w:szCs w:val="20"/>
        </w:rPr>
        <w:t>a </w:t>
      </w:r>
      <w:r w:rsidR="23AD1024" w:rsidRPr="6C54F3A7">
        <w:rPr>
          <w:rFonts w:asciiTheme="minorHAnsi" w:eastAsiaTheme="minorEastAsia" w:hAnsiTheme="minorHAnsi" w:cstheme="minorBidi"/>
          <w:i w:val="0"/>
          <w:iCs w:val="0"/>
          <w:color w:val="auto"/>
          <w:sz w:val="20"/>
          <w:szCs w:val="20"/>
        </w:rPr>
        <w:t xml:space="preserve">5.2, přinese novou kvalitu </w:t>
      </w:r>
      <w:r w:rsidR="5F7DB517" w:rsidRPr="6C54F3A7">
        <w:rPr>
          <w:rFonts w:asciiTheme="minorHAnsi" w:eastAsiaTheme="minorEastAsia" w:hAnsiTheme="minorHAnsi" w:cstheme="minorBidi"/>
          <w:i w:val="0"/>
          <w:iCs w:val="0"/>
          <w:color w:val="auto"/>
          <w:sz w:val="20"/>
          <w:szCs w:val="20"/>
        </w:rPr>
        <w:t xml:space="preserve">v technologickém pokroku, </w:t>
      </w:r>
      <w:r w:rsidR="23AD1024" w:rsidRPr="6C54F3A7">
        <w:rPr>
          <w:rFonts w:asciiTheme="minorHAnsi" w:eastAsiaTheme="minorEastAsia" w:hAnsiTheme="minorHAnsi" w:cstheme="minorBidi"/>
          <w:i w:val="0"/>
          <w:iCs w:val="0"/>
          <w:color w:val="auto"/>
          <w:sz w:val="20"/>
          <w:szCs w:val="20"/>
        </w:rPr>
        <w:t xml:space="preserve">zvýší počet výsledků výzkumu </w:t>
      </w:r>
      <w:r w:rsidR="11C4B70F" w:rsidRPr="6C54F3A7">
        <w:rPr>
          <w:rFonts w:asciiTheme="minorHAnsi" w:eastAsiaTheme="minorEastAsia" w:hAnsiTheme="minorHAnsi" w:cstheme="minorBidi"/>
          <w:i w:val="0"/>
          <w:iCs w:val="0"/>
          <w:color w:val="auto"/>
          <w:sz w:val="20"/>
          <w:szCs w:val="20"/>
        </w:rPr>
        <w:t>a </w:t>
      </w:r>
      <w:r w:rsidR="23AD1024" w:rsidRPr="6C54F3A7">
        <w:rPr>
          <w:rFonts w:asciiTheme="minorHAnsi" w:eastAsiaTheme="minorEastAsia" w:hAnsiTheme="minorHAnsi" w:cstheme="minorBidi"/>
          <w:i w:val="0"/>
          <w:iCs w:val="0"/>
          <w:color w:val="auto"/>
          <w:sz w:val="20"/>
          <w:szCs w:val="20"/>
        </w:rPr>
        <w:t xml:space="preserve">vývoje určených </w:t>
      </w:r>
      <w:r w:rsidR="11C4B70F" w:rsidRPr="6C54F3A7">
        <w:rPr>
          <w:rFonts w:asciiTheme="minorHAnsi" w:eastAsiaTheme="minorEastAsia" w:hAnsiTheme="minorHAnsi" w:cstheme="minorBidi"/>
          <w:i w:val="0"/>
          <w:iCs w:val="0"/>
          <w:color w:val="auto"/>
          <w:sz w:val="20"/>
          <w:szCs w:val="20"/>
        </w:rPr>
        <w:t>k </w:t>
      </w:r>
      <w:r w:rsidR="23AD1024" w:rsidRPr="6C54F3A7">
        <w:rPr>
          <w:rFonts w:asciiTheme="minorHAnsi" w:eastAsiaTheme="minorEastAsia" w:hAnsiTheme="minorHAnsi" w:cstheme="minorBidi"/>
          <w:i w:val="0"/>
          <w:iCs w:val="0"/>
          <w:color w:val="auto"/>
          <w:sz w:val="20"/>
          <w:szCs w:val="20"/>
        </w:rPr>
        <w:t xml:space="preserve">přímému uplatnění na trhu, sníží roztříštěnost společných aktivit výzkumu </w:t>
      </w:r>
      <w:r w:rsidR="11C4B70F" w:rsidRPr="6C54F3A7">
        <w:rPr>
          <w:rFonts w:asciiTheme="minorHAnsi" w:eastAsiaTheme="minorEastAsia" w:hAnsiTheme="minorHAnsi" w:cstheme="minorBidi"/>
          <w:i w:val="0"/>
          <w:iCs w:val="0"/>
          <w:color w:val="auto"/>
          <w:sz w:val="20"/>
          <w:szCs w:val="20"/>
        </w:rPr>
        <w:t>a </w:t>
      </w:r>
      <w:r w:rsidR="23AD1024" w:rsidRPr="6C54F3A7">
        <w:rPr>
          <w:rFonts w:asciiTheme="minorHAnsi" w:eastAsiaTheme="minorEastAsia" w:hAnsiTheme="minorHAnsi" w:cstheme="minorBidi"/>
          <w:i w:val="0"/>
          <w:iCs w:val="0"/>
          <w:color w:val="auto"/>
          <w:sz w:val="20"/>
          <w:szCs w:val="20"/>
        </w:rPr>
        <w:t xml:space="preserve">vývoje akademické obce </w:t>
      </w:r>
      <w:r w:rsidR="11C4B70F" w:rsidRPr="6C54F3A7">
        <w:rPr>
          <w:rFonts w:asciiTheme="minorHAnsi" w:eastAsiaTheme="minorEastAsia" w:hAnsiTheme="minorHAnsi" w:cstheme="minorBidi"/>
          <w:i w:val="0"/>
          <w:iCs w:val="0"/>
          <w:color w:val="auto"/>
          <w:sz w:val="20"/>
          <w:szCs w:val="20"/>
        </w:rPr>
        <w:t>a </w:t>
      </w:r>
      <w:r w:rsidR="23AD1024" w:rsidRPr="6C54F3A7">
        <w:rPr>
          <w:rFonts w:asciiTheme="minorHAnsi" w:eastAsiaTheme="minorEastAsia" w:hAnsiTheme="minorHAnsi" w:cstheme="minorBidi"/>
          <w:i w:val="0"/>
          <w:iCs w:val="0"/>
          <w:color w:val="auto"/>
          <w:sz w:val="20"/>
          <w:szCs w:val="20"/>
        </w:rPr>
        <w:t xml:space="preserve">podnikatelské sféry </w:t>
      </w:r>
      <w:r w:rsidR="11C4B70F" w:rsidRPr="6C54F3A7">
        <w:rPr>
          <w:rFonts w:asciiTheme="minorHAnsi" w:eastAsiaTheme="minorEastAsia" w:hAnsiTheme="minorHAnsi" w:cstheme="minorBidi"/>
          <w:i w:val="0"/>
          <w:iCs w:val="0"/>
          <w:color w:val="auto"/>
          <w:sz w:val="20"/>
          <w:szCs w:val="20"/>
        </w:rPr>
        <w:t>v </w:t>
      </w:r>
      <w:r w:rsidR="23AD1024" w:rsidRPr="6C54F3A7">
        <w:rPr>
          <w:rFonts w:asciiTheme="minorHAnsi" w:eastAsiaTheme="minorEastAsia" w:hAnsiTheme="minorHAnsi" w:cstheme="minorBidi"/>
          <w:i w:val="0"/>
          <w:iCs w:val="0"/>
          <w:color w:val="auto"/>
          <w:sz w:val="20"/>
          <w:szCs w:val="20"/>
        </w:rPr>
        <w:t xml:space="preserve">identifikovaných oblastech </w:t>
      </w:r>
      <w:r w:rsidR="11C4B70F" w:rsidRPr="6C54F3A7">
        <w:rPr>
          <w:rFonts w:asciiTheme="minorHAnsi" w:eastAsiaTheme="minorEastAsia" w:hAnsiTheme="minorHAnsi" w:cstheme="minorBidi"/>
          <w:i w:val="0"/>
          <w:iCs w:val="0"/>
          <w:color w:val="auto"/>
          <w:sz w:val="20"/>
          <w:szCs w:val="20"/>
        </w:rPr>
        <w:t>s </w:t>
      </w:r>
      <w:r w:rsidR="23AD1024" w:rsidRPr="6C54F3A7">
        <w:rPr>
          <w:rFonts w:asciiTheme="minorHAnsi" w:eastAsiaTheme="minorEastAsia" w:hAnsiTheme="minorHAnsi" w:cstheme="minorBidi"/>
          <w:i w:val="0"/>
          <w:iCs w:val="0"/>
          <w:color w:val="auto"/>
          <w:sz w:val="20"/>
          <w:szCs w:val="20"/>
        </w:rPr>
        <w:t xml:space="preserve">cílem urychlení přenosu technologií </w:t>
      </w:r>
      <w:r w:rsidR="11C4B70F" w:rsidRPr="6C54F3A7">
        <w:rPr>
          <w:rFonts w:asciiTheme="minorHAnsi" w:eastAsiaTheme="minorEastAsia" w:hAnsiTheme="minorHAnsi" w:cstheme="minorBidi"/>
          <w:i w:val="0"/>
          <w:iCs w:val="0"/>
          <w:color w:val="auto"/>
          <w:sz w:val="20"/>
          <w:szCs w:val="20"/>
        </w:rPr>
        <w:t>a </w:t>
      </w:r>
      <w:r w:rsidR="23AD1024" w:rsidRPr="6C54F3A7">
        <w:rPr>
          <w:rFonts w:asciiTheme="minorHAnsi" w:eastAsiaTheme="minorEastAsia" w:hAnsiTheme="minorHAnsi" w:cstheme="minorBidi"/>
          <w:i w:val="0"/>
          <w:iCs w:val="0"/>
          <w:color w:val="auto"/>
          <w:sz w:val="20"/>
          <w:szCs w:val="20"/>
        </w:rPr>
        <w:t>zavádění inovací.</w:t>
      </w:r>
      <w:r w:rsidR="5F7DB517" w:rsidRPr="6C54F3A7">
        <w:rPr>
          <w:rFonts w:asciiTheme="minorHAnsi" w:eastAsiaTheme="minorEastAsia" w:hAnsiTheme="minorHAnsi" w:cstheme="minorBidi"/>
          <w:i w:val="0"/>
          <w:iCs w:val="0"/>
          <w:color w:val="auto"/>
          <w:sz w:val="20"/>
          <w:szCs w:val="20"/>
        </w:rPr>
        <w:t xml:space="preserve"> Tím dojde </w:t>
      </w:r>
      <w:r w:rsidR="11C4B70F" w:rsidRPr="6C54F3A7">
        <w:rPr>
          <w:rFonts w:asciiTheme="minorHAnsi" w:eastAsiaTheme="minorEastAsia" w:hAnsiTheme="minorHAnsi" w:cstheme="minorBidi"/>
          <w:i w:val="0"/>
          <w:iCs w:val="0"/>
          <w:color w:val="auto"/>
          <w:sz w:val="20"/>
          <w:szCs w:val="20"/>
        </w:rPr>
        <w:t>k </w:t>
      </w:r>
      <w:r w:rsidR="5F7DB517" w:rsidRPr="6C54F3A7">
        <w:rPr>
          <w:rFonts w:asciiTheme="minorHAnsi" w:eastAsiaTheme="minorEastAsia" w:hAnsiTheme="minorHAnsi" w:cstheme="minorBidi"/>
          <w:i w:val="0"/>
          <w:iCs w:val="0"/>
          <w:color w:val="auto"/>
          <w:sz w:val="20"/>
          <w:szCs w:val="20"/>
        </w:rPr>
        <w:t>odstranění</w:t>
      </w:r>
      <w:r w:rsidR="23AD1024" w:rsidRPr="6C54F3A7">
        <w:rPr>
          <w:rFonts w:asciiTheme="minorHAnsi" w:eastAsiaTheme="minorEastAsia" w:hAnsiTheme="minorHAnsi" w:cstheme="minorBidi"/>
          <w:i w:val="0"/>
          <w:iCs w:val="0"/>
          <w:color w:val="auto"/>
          <w:sz w:val="20"/>
          <w:szCs w:val="20"/>
        </w:rPr>
        <w:t xml:space="preserve"> </w:t>
      </w:r>
      <w:r w:rsidR="5F7DB517" w:rsidRPr="6C54F3A7">
        <w:rPr>
          <w:rFonts w:asciiTheme="minorHAnsi" w:eastAsiaTheme="minorEastAsia" w:hAnsiTheme="minorHAnsi" w:cstheme="minorBidi"/>
          <w:i w:val="0"/>
          <w:iCs w:val="0"/>
          <w:color w:val="auto"/>
          <w:sz w:val="20"/>
          <w:szCs w:val="20"/>
        </w:rPr>
        <w:t xml:space="preserve">podstatné </w:t>
      </w:r>
      <w:r w:rsidR="23AD1024" w:rsidRPr="6C54F3A7">
        <w:rPr>
          <w:rFonts w:asciiTheme="minorHAnsi" w:eastAsiaTheme="minorEastAsia" w:hAnsiTheme="minorHAnsi" w:cstheme="minorBidi"/>
          <w:i w:val="0"/>
          <w:iCs w:val="0"/>
          <w:color w:val="auto"/>
          <w:sz w:val="20"/>
          <w:szCs w:val="20"/>
        </w:rPr>
        <w:t xml:space="preserve">dílčí překážky bránící rozvoji plně funkčního inovačního ekosystému prostřednictvím nabídky komplexních nástrojů podpory řešících selhání trhu </w:t>
      </w:r>
      <w:r w:rsidR="11C4B70F" w:rsidRPr="6C54F3A7">
        <w:rPr>
          <w:rFonts w:asciiTheme="minorHAnsi" w:eastAsiaTheme="minorEastAsia" w:hAnsiTheme="minorHAnsi" w:cstheme="minorBidi"/>
          <w:i w:val="0"/>
          <w:iCs w:val="0"/>
          <w:color w:val="auto"/>
          <w:sz w:val="20"/>
          <w:szCs w:val="20"/>
        </w:rPr>
        <w:t>v </w:t>
      </w:r>
      <w:r w:rsidR="23AD1024" w:rsidRPr="6C54F3A7">
        <w:rPr>
          <w:rFonts w:asciiTheme="minorHAnsi" w:eastAsiaTheme="minorEastAsia" w:hAnsiTheme="minorHAnsi" w:cstheme="minorBidi"/>
          <w:i w:val="0"/>
          <w:iCs w:val="0"/>
          <w:color w:val="auto"/>
          <w:sz w:val="20"/>
          <w:szCs w:val="20"/>
        </w:rPr>
        <w:t xml:space="preserve">oblasti výzkumu, vývoje </w:t>
      </w:r>
      <w:r w:rsidR="11C4B70F" w:rsidRPr="6C54F3A7">
        <w:rPr>
          <w:rFonts w:asciiTheme="minorHAnsi" w:eastAsiaTheme="minorEastAsia" w:hAnsiTheme="minorHAnsi" w:cstheme="minorBidi"/>
          <w:i w:val="0"/>
          <w:iCs w:val="0"/>
          <w:color w:val="auto"/>
          <w:sz w:val="20"/>
          <w:szCs w:val="20"/>
        </w:rPr>
        <w:t>a </w:t>
      </w:r>
      <w:r w:rsidR="23AD1024" w:rsidRPr="6C54F3A7">
        <w:rPr>
          <w:rFonts w:asciiTheme="minorHAnsi" w:eastAsiaTheme="minorEastAsia" w:hAnsiTheme="minorHAnsi" w:cstheme="minorBidi"/>
          <w:i w:val="0"/>
          <w:iCs w:val="0"/>
          <w:color w:val="auto"/>
          <w:sz w:val="20"/>
          <w:szCs w:val="20"/>
        </w:rPr>
        <w:t xml:space="preserve">inovací, </w:t>
      </w:r>
      <w:r w:rsidR="5F7DB517" w:rsidRPr="6C54F3A7">
        <w:rPr>
          <w:rFonts w:asciiTheme="minorHAnsi" w:eastAsiaTheme="minorEastAsia" w:hAnsiTheme="minorHAnsi" w:cstheme="minorBidi"/>
          <w:i w:val="0"/>
          <w:iCs w:val="0"/>
          <w:color w:val="auto"/>
          <w:sz w:val="20"/>
          <w:szCs w:val="20"/>
        </w:rPr>
        <w:t xml:space="preserve">jak iniciací nových příležitostí pro nabídku </w:t>
      </w:r>
      <w:r w:rsidR="11C4B70F" w:rsidRPr="6C54F3A7">
        <w:rPr>
          <w:rFonts w:asciiTheme="minorHAnsi" w:eastAsiaTheme="minorEastAsia" w:hAnsiTheme="minorHAnsi" w:cstheme="minorBidi"/>
          <w:i w:val="0"/>
          <w:iCs w:val="0"/>
          <w:color w:val="auto"/>
          <w:sz w:val="20"/>
          <w:szCs w:val="20"/>
        </w:rPr>
        <w:t>a </w:t>
      </w:r>
      <w:r w:rsidR="5F7DB517" w:rsidRPr="6C54F3A7">
        <w:rPr>
          <w:rFonts w:asciiTheme="minorHAnsi" w:eastAsiaTheme="minorEastAsia" w:hAnsiTheme="minorHAnsi" w:cstheme="minorBidi"/>
          <w:i w:val="0"/>
          <w:iCs w:val="0"/>
          <w:color w:val="auto"/>
          <w:sz w:val="20"/>
          <w:szCs w:val="20"/>
        </w:rPr>
        <w:t xml:space="preserve">poptávku ve </w:t>
      </w:r>
      <w:proofErr w:type="spellStart"/>
      <w:r w:rsidR="5F7DB517" w:rsidRPr="6C54F3A7">
        <w:rPr>
          <w:rFonts w:asciiTheme="minorHAnsi" w:eastAsiaTheme="minorEastAsia" w:hAnsiTheme="minorHAnsi" w:cstheme="minorBidi"/>
          <w:i w:val="0"/>
          <w:iCs w:val="0"/>
          <w:color w:val="auto"/>
          <w:sz w:val="20"/>
          <w:szCs w:val="20"/>
        </w:rPr>
        <w:t>VaVaI</w:t>
      </w:r>
      <w:proofErr w:type="spellEnd"/>
      <w:r w:rsidR="5F7DB517" w:rsidRPr="6C54F3A7">
        <w:rPr>
          <w:rFonts w:asciiTheme="minorHAnsi" w:eastAsiaTheme="minorEastAsia" w:hAnsiTheme="minorHAnsi" w:cstheme="minorBidi"/>
          <w:i w:val="0"/>
          <w:iCs w:val="0"/>
          <w:color w:val="auto"/>
          <w:sz w:val="20"/>
          <w:szCs w:val="20"/>
        </w:rPr>
        <w:t xml:space="preserve">, tak </w:t>
      </w:r>
      <w:r w:rsidR="23AD1024" w:rsidRPr="6C54F3A7">
        <w:rPr>
          <w:rFonts w:asciiTheme="minorHAnsi" w:eastAsiaTheme="minorEastAsia" w:hAnsiTheme="minorHAnsi" w:cstheme="minorBidi"/>
          <w:i w:val="0"/>
          <w:iCs w:val="0"/>
          <w:color w:val="auto"/>
          <w:sz w:val="20"/>
          <w:szCs w:val="20"/>
        </w:rPr>
        <w:t>pomoci transferu znalostí z akademické sféry do soukromé.</w:t>
      </w:r>
      <w:r w:rsidR="753AE0EF" w:rsidRPr="6C54F3A7">
        <w:rPr>
          <w:rFonts w:asciiTheme="minorHAnsi" w:eastAsiaTheme="minorEastAsia" w:hAnsiTheme="minorHAnsi" w:cstheme="minorBidi"/>
          <w:i w:val="0"/>
          <w:iCs w:val="0"/>
          <w:color w:val="auto"/>
          <w:sz w:val="20"/>
          <w:szCs w:val="20"/>
        </w:rPr>
        <w:t xml:space="preserve"> </w:t>
      </w:r>
      <w:r w:rsidR="23AD1024" w:rsidRPr="6C54F3A7">
        <w:rPr>
          <w:rFonts w:asciiTheme="minorHAnsi" w:eastAsiaTheme="minorEastAsia" w:hAnsiTheme="minorHAnsi" w:cstheme="minorBidi"/>
          <w:i w:val="0"/>
          <w:iCs w:val="0"/>
          <w:color w:val="auto"/>
          <w:sz w:val="20"/>
          <w:szCs w:val="20"/>
        </w:rPr>
        <w:t xml:space="preserve">Zřejmá je </w:t>
      </w:r>
      <w:r w:rsidR="11C4B70F" w:rsidRPr="6C54F3A7">
        <w:rPr>
          <w:rFonts w:asciiTheme="minorHAnsi" w:eastAsiaTheme="minorEastAsia" w:hAnsiTheme="minorHAnsi" w:cstheme="minorBidi"/>
          <w:i w:val="0"/>
          <w:iCs w:val="0"/>
          <w:color w:val="auto"/>
          <w:sz w:val="20"/>
          <w:szCs w:val="20"/>
        </w:rPr>
        <w:t>i </w:t>
      </w:r>
      <w:r w:rsidR="23AD1024" w:rsidRPr="6C54F3A7">
        <w:rPr>
          <w:rFonts w:asciiTheme="minorHAnsi" w:eastAsiaTheme="minorEastAsia" w:hAnsiTheme="minorHAnsi" w:cstheme="minorBidi"/>
          <w:i w:val="0"/>
          <w:iCs w:val="0"/>
          <w:color w:val="auto"/>
          <w:sz w:val="20"/>
          <w:szCs w:val="20"/>
        </w:rPr>
        <w:t xml:space="preserve">přímá provázanost </w:t>
      </w:r>
      <w:r w:rsidR="11C4B70F" w:rsidRPr="6C54F3A7">
        <w:rPr>
          <w:rFonts w:asciiTheme="minorHAnsi" w:eastAsiaTheme="minorEastAsia" w:hAnsiTheme="minorHAnsi" w:cstheme="minorBidi"/>
          <w:i w:val="0"/>
          <w:iCs w:val="0"/>
          <w:color w:val="auto"/>
          <w:sz w:val="20"/>
          <w:szCs w:val="20"/>
        </w:rPr>
        <w:t>s </w:t>
      </w:r>
      <w:r w:rsidR="23AD1024" w:rsidRPr="6C54F3A7">
        <w:rPr>
          <w:rFonts w:asciiTheme="minorHAnsi" w:eastAsiaTheme="minorEastAsia" w:hAnsiTheme="minorHAnsi" w:cstheme="minorBidi"/>
          <w:i w:val="0"/>
          <w:iCs w:val="0"/>
          <w:color w:val="auto"/>
          <w:sz w:val="20"/>
          <w:szCs w:val="20"/>
        </w:rPr>
        <w:t>dal</w:t>
      </w:r>
      <w:r w:rsidR="671E4327" w:rsidRPr="6C54F3A7">
        <w:rPr>
          <w:rFonts w:asciiTheme="minorHAnsi" w:eastAsiaTheme="minorEastAsia" w:hAnsiTheme="minorHAnsi" w:cstheme="minorBidi"/>
          <w:i w:val="0"/>
          <w:iCs w:val="0"/>
          <w:color w:val="auto"/>
          <w:sz w:val="20"/>
          <w:szCs w:val="20"/>
        </w:rPr>
        <w:t>ší</w:t>
      </w:r>
      <w:r w:rsidR="23AD1024" w:rsidRPr="6C54F3A7">
        <w:rPr>
          <w:rFonts w:asciiTheme="minorHAnsi" w:eastAsiaTheme="minorEastAsia" w:hAnsiTheme="minorHAnsi" w:cstheme="minorBidi"/>
          <w:i w:val="0"/>
          <w:iCs w:val="0"/>
          <w:color w:val="auto"/>
          <w:sz w:val="20"/>
          <w:szCs w:val="20"/>
        </w:rPr>
        <w:t xml:space="preserve"> komponen</w:t>
      </w:r>
      <w:r w:rsidR="671E4327" w:rsidRPr="6C54F3A7">
        <w:rPr>
          <w:rFonts w:asciiTheme="minorHAnsi" w:eastAsiaTheme="minorEastAsia" w:hAnsiTheme="minorHAnsi" w:cstheme="minorBidi"/>
          <w:i w:val="0"/>
          <w:iCs w:val="0"/>
          <w:color w:val="auto"/>
          <w:sz w:val="20"/>
          <w:szCs w:val="20"/>
        </w:rPr>
        <w:t>t</w:t>
      </w:r>
      <w:r w:rsidR="23AD1024" w:rsidRPr="6C54F3A7">
        <w:rPr>
          <w:rFonts w:asciiTheme="minorHAnsi" w:eastAsiaTheme="minorEastAsia" w:hAnsiTheme="minorHAnsi" w:cstheme="minorBidi"/>
          <w:i w:val="0"/>
          <w:iCs w:val="0"/>
          <w:color w:val="auto"/>
          <w:sz w:val="20"/>
          <w:szCs w:val="20"/>
        </w:rPr>
        <w:t xml:space="preserve">ou Národního plánu obnovy, </w:t>
      </w:r>
      <w:r w:rsidR="11C4B70F" w:rsidRPr="6C54F3A7">
        <w:rPr>
          <w:rFonts w:asciiTheme="minorHAnsi" w:eastAsiaTheme="minorEastAsia" w:hAnsiTheme="minorHAnsi" w:cstheme="minorBidi"/>
          <w:i w:val="0"/>
          <w:iCs w:val="0"/>
          <w:color w:val="auto"/>
          <w:sz w:val="20"/>
          <w:szCs w:val="20"/>
        </w:rPr>
        <w:t>a </w:t>
      </w:r>
      <w:r w:rsidR="23AD1024" w:rsidRPr="6C54F3A7">
        <w:rPr>
          <w:rFonts w:asciiTheme="minorHAnsi" w:eastAsiaTheme="minorEastAsia" w:hAnsiTheme="minorHAnsi" w:cstheme="minorBidi"/>
          <w:i w:val="0"/>
          <w:iCs w:val="0"/>
          <w:color w:val="auto"/>
          <w:sz w:val="20"/>
          <w:szCs w:val="20"/>
        </w:rPr>
        <w:t xml:space="preserve">to vytvářením primární vědecké </w:t>
      </w:r>
      <w:r w:rsidR="11C4B70F" w:rsidRPr="6C54F3A7">
        <w:rPr>
          <w:rFonts w:asciiTheme="minorHAnsi" w:eastAsiaTheme="minorEastAsia" w:hAnsiTheme="minorHAnsi" w:cstheme="minorBidi"/>
          <w:i w:val="0"/>
          <w:iCs w:val="0"/>
          <w:color w:val="auto"/>
          <w:sz w:val="20"/>
          <w:szCs w:val="20"/>
        </w:rPr>
        <w:t>a </w:t>
      </w:r>
      <w:r w:rsidR="5F7DB517" w:rsidRPr="6C54F3A7">
        <w:rPr>
          <w:rFonts w:asciiTheme="minorHAnsi" w:eastAsiaTheme="minorEastAsia" w:hAnsiTheme="minorHAnsi" w:cstheme="minorBidi"/>
          <w:i w:val="0"/>
          <w:iCs w:val="0"/>
          <w:color w:val="auto"/>
          <w:sz w:val="20"/>
          <w:szCs w:val="20"/>
        </w:rPr>
        <w:t xml:space="preserve">obecně odborně znalostní </w:t>
      </w:r>
      <w:r w:rsidR="23AD1024" w:rsidRPr="6C54F3A7">
        <w:rPr>
          <w:rFonts w:asciiTheme="minorHAnsi" w:eastAsiaTheme="minorEastAsia" w:hAnsiTheme="minorHAnsi" w:cstheme="minorBidi"/>
          <w:i w:val="0"/>
          <w:iCs w:val="0"/>
          <w:color w:val="auto"/>
          <w:sz w:val="20"/>
          <w:szCs w:val="20"/>
        </w:rPr>
        <w:t xml:space="preserve">základny pro komponentu </w:t>
      </w:r>
      <w:r w:rsidR="49A6D6E9" w:rsidRPr="6C54F3A7">
        <w:rPr>
          <w:rFonts w:asciiTheme="minorHAnsi" w:eastAsiaTheme="minorEastAsia" w:hAnsiTheme="minorHAnsi" w:cstheme="minorBidi"/>
          <w:i w:val="0"/>
          <w:iCs w:val="0"/>
          <w:color w:val="auto"/>
          <w:sz w:val="20"/>
          <w:szCs w:val="20"/>
        </w:rPr>
        <w:t xml:space="preserve">6.1 a </w:t>
      </w:r>
      <w:r w:rsidR="23AD1024" w:rsidRPr="6C54F3A7">
        <w:rPr>
          <w:rFonts w:asciiTheme="minorHAnsi" w:eastAsiaTheme="minorEastAsia" w:hAnsiTheme="minorHAnsi" w:cstheme="minorBidi"/>
          <w:i w:val="0"/>
          <w:iCs w:val="0"/>
          <w:color w:val="auto"/>
          <w:sz w:val="20"/>
          <w:szCs w:val="20"/>
        </w:rPr>
        <w:t>6.2 “ Prevence onkologických onemocnění”, která směř</w:t>
      </w:r>
      <w:r w:rsidR="5F7DB517" w:rsidRPr="6C54F3A7">
        <w:rPr>
          <w:rFonts w:asciiTheme="minorHAnsi" w:eastAsiaTheme="minorEastAsia" w:hAnsiTheme="minorHAnsi" w:cstheme="minorBidi"/>
          <w:i w:val="0"/>
          <w:iCs w:val="0"/>
          <w:color w:val="auto"/>
          <w:sz w:val="20"/>
          <w:szCs w:val="20"/>
        </w:rPr>
        <w:t>uj</w:t>
      </w:r>
      <w:r w:rsidR="49A6D6E9" w:rsidRPr="6C54F3A7">
        <w:rPr>
          <w:rFonts w:asciiTheme="minorHAnsi" w:eastAsiaTheme="minorEastAsia" w:hAnsiTheme="minorHAnsi" w:cstheme="minorBidi"/>
          <w:i w:val="0"/>
          <w:iCs w:val="0"/>
          <w:color w:val="auto"/>
          <w:sz w:val="20"/>
          <w:szCs w:val="20"/>
        </w:rPr>
        <w:t>í</w:t>
      </w:r>
      <w:r w:rsidR="23AD1024" w:rsidRPr="6C54F3A7">
        <w:rPr>
          <w:rFonts w:asciiTheme="minorHAnsi" w:eastAsiaTheme="minorEastAsia" w:hAnsiTheme="minorHAnsi" w:cstheme="minorBidi"/>
          <w:i w:val="0"/>
          <w:iCs w:val="0"/>
          <w:color w:val="auto"/>
          <w:sz w:val="20"/>
          <w:szCs w:val="20"/>
        </w:rPr>
        <w:t xml:space="preserve"> pouze do </w:t>
      </w:r>
      <w:r w:rsidR="49A6D6E9" w:rsidRPr="6C54F3A7">
        <w:rPr>
          <w:rFonts w:asciiTheme="minorHAnsi" w:eastAsiaTheme="minorEastAsia" w:hAnsiTheme="minorHAnsi" w:cstheme="minorBidi"/>
          <w:i w:val="0"/>
          <w:iCs w:val="0"/>
          <w:color w:val="auto"/>
          <w:sz w:val="20"/>
          <w:szCs w:val="20"/>
        </w:rPr>
        <w:t xml:space="preserve">léčebné </w:t>
      </w:r>
      <w:r w:rsidR="23AD1024" w:rsidRPr="6C54F3A7">
        <w:rPr>
          <w:rFonts w:asciiTheme="minorHAnsi" w:eastAsiaTheme="minorEastAsia" w:hAnsiTheme="minorHAnsi" w:cstheme="minorBidi"/>
          <w:i w:val="0"/>
          <w:iCs w:val="0"/>
          <w:color w:val="auto"/>
          <w:sz w:val="20"/>
          <w:szCs w:val="20"/>
        </w:rPr>
        <w:t xml:space="preserve">praxe specifické aplikační sféry </w:t>
      </w:r>
      <w:r w:rsidR="11C4B70F" w:rsidRPr="6C54F3A7">
        <w:rPr>
          <w:rFonts w:asciiTheme="minorHAnsi" w:eastAsiaTheme="minorEastAsia" w:hAnsiTheme="minorHAnsi" w:cstheme="minorBidi"/>
          <w:i w:val="0"/>
          <w:iCs w:val="0"/>
          <w:color w:val="auto"/>
          <w:sz w:val="20"/>
          <w:szCs w:val="20"/>
        </w:rPr>
        <w:t>v </w:t>
      </w:r>
      <w:r w:rsidR="23AD1024" w:rsidRPr="6C54F3A7">
        <w:rPr>
          <w:rFonts w:asciiTheme="minorHAnsi" w:eastAsiaTheme="minorEastAsia" w:hAnsiTheme="minorHAnsi" w:cstheme="minorBidi"/>
          <w:i w:val="0"/>
          <w:iCs w:val="0"/>
          <w:color w:val="auto"/>
          <w:sz w:val="20"/>
          <w:szCs w:val="20"/>
        </w:rPr>
        <w:t xml:space="preserve">jedné ze 4 </w:t>
      </w:r>
      <w:r w:rsidR="4CEC6F79" w:rsidRPr="6C54F3A7">
        <w:rPr>
          <w:rFonts w:asciiTheme="minorHAnsi" w:eastAsiaTheme="minorEastAsia" w:hAnsiTheme="minorHAnsi" w:cstheme="minorBidi"/>
          <w:i w:val="0"/>
          <w:iCs w:val="0"/>
          <w:color w:val="auto"/>
          <w:sz w:val="20"/>
          <w:szCs w:val="20"/>
        </w:rPr>
        <w:t xml:space="preserve">identifikovaných </w:t>
      </w:r>
      <w:r w:rsidR="23AD1024" w:rsidRPr="6C54F3A7">
        <w:rPr>
          <w:rFonts w:asciiTheme="minorHAnsi" w:eastAsiaTheme="minorEastAsia" w:hAnsiTheme="minorHAnsi" w:cstheme="minorBidi"/>
          <w:i w:val="0"/>
          <w:iCs w:val="0"/>
          <w:color w:val="auto"/>
          <w:sz w:val="20"/>
          <w:szCs w:val="20"/>
        </w:rPr>
        <w:t xml:space="preserve">prioritních oblastí podporovaných </w:t>
      </w:r>
      <w:r w:rsidR="5F7DB517" w:rsidRPr="6C54F3A7">
        <w:rPr>
          <w:rFonts w:asciiTheme="minorHAnsi" w:eastAsiaTheme="minorEastAsia" w:hAnsiTheme="minorHAnsi" w:cstheme="minorBidi"/>
          <w:i w:val="0"/>
          <w:iCs w:val="0"/>
          <w:color w:val="auto"/>
          <w:sz w:val="20"/>
          <w:szCs w:val="20"/>
        </w:rPr>
        <w:t xml:space="preserve">právě </w:t>
      </w:r>
      <w:r w:rsidR="23AD1024" w:rsidRPr="6C54F3A7">
        <w:rPr>
          <w:rFonts w:asciiTheme="minorHAnsi" w:eastAsiaTheme="minorEastAsia" w:hAnsiTheme="minorHAnsi" w:cstheme="minorBidi"/>
          <w:i w:val="0"/>
          <w:iCs w:val="0"/>
          <w:color w:val="auto"/>
          <w:sz w:val="20"/>
          <w:szCs w:val="20"/>
        </w:rPr>
        <w:t>komponentou 5.1</w:t>
      </w:r>
      <w:r w:rsidR="5F7DB517" w:rsidRPr="6C54F3A7">
        <w:rPr>
          <w:rFonts w:asciiTheme="minorHAnsi" w:eastAsiaTheme="minorEastAsia" w:hAnsiTheme="minorHAnsi" w:cstheme="minorBidi"/>
          <w:i w:val="0"/>
          <w:iCs w:val="0"/>
          <w:color w:val="auto"/>
          <w:sz w:val="20"/>
          <w:szCs w:val="20"/>
        </w:rPr>
        <w:t xml:space="preserve"> </w:t>
      </w:r>
      <w:r w:rsidR="11C4B70F" w:rsidRPr="6C54F3A7">
        <w:rPr>
          <w:rFonts w:asciiTheme="minorHAnsi" w:eastAsiaTheme="minorEastAsia" w:hAnsiTheme="minorHAnsi" w:cstheme="minorBidi"/>
          <w:i w:val="0"/>
          <w:iCs w:val="0"/>
          <w:color w:val="auto"/>
          <w:sz w:val="20"/>
          <w:szCs w:val="20"/>
        </w:rPr>
        <w:t>a </w:t>
      </w:r>
      <w:r w:rsidR="5F7DB517" w:rsidRPr="6C54F3A7">
        <w:rPr>
          <w:rFonts w:asciiTheme="minorHAnsi" w:eastAsiaTheme="minorEastAsia" w:hAnsiTheme="minorHAnsi" w:cstheme="minorBidi"/>
          <w:i w:val="0"/>
          <w:iCs w:val="0"/>
          <w:color w:val="auto"/>
          <w:sz w:val="20"/>
          <w:szCs w:val="20"/>
        </w:rPr>
        <w:t>která se bez této synergické komponenty neobejde.</w:t>
      </w:r>
      <w:r w:rsidR="39F55338" w:rsidRPr="6C54F3A7">
        <w:rPr>
          <w:rFonts w:asciiTheme="minorHAnsi" w:eastAsiaTheme="minorEastAsia" w:hAnsiTheme="minorHAnsi" w:cstheme="minorBidi"/>
          <w:i w:val="0"/>
          <w:iCs w:val="0"/>
          <w:color w:val="auto"/>
          <w:sz w:val="20"/>
          <w:szCs w:val="20"/>
        </w:rPr>
        <w:t xml:space="preserve"> V tomto kontextu bude zajištěna i koordinace v implementaci komponent a </w:t>
      </w:r>
      <w:r w:rsidR="676DCC98" w:rsidRPr="6C54F3A7">
        <w:rPr>
          <w:rFonts w:asciiTheme="minorHAnsi" w:eastAsiaTheme="minorEastAsia" w:hAnsiTheme="minorHAnsi" w:cstheme="minorBidi"/>
          <w:i w:val="0"/>
          <w:iCs w:val="0"/>
          <w:color w:val="auto"/>
          <w:sz w:val="20"/>
          <w:szCs w:val="20"/>
        </w:rPr>
        <w:t xml:space="preserve">zajištěn </w:t>
      </w:r>
      <w:r w:rsidR="39F55338" w:rsidRPr="6C54F3A7">
        <w:rPr>
          <w:rFonts w:asciiTheme="minorHAnsi" w:eastAsiaTheme="minorEastAsia" w:hAnsiTheme="minorHAnsi" w:cstheme="minorBidi"/>
          <w:i w:val="0"/>
          <w:iCs w:val="0"/>
          <w:color w:val="auto"/>
          <w:sz w:val="20"/>
          <w:szCs w:val="20"/>
        </w:rPr>
        <w:t>soulad se strategickým rámcem Zdraví 2030</w:t>
      </w:r>
      <w:r w:rsidR="00C2090C" w:rsidRPr="6C54F3A7">
        <w:rPr>
          <w:rStyle w:val="Znakapoznpodarou"/>
          <w:rFonts w:asciiTheme="minorHAnsi" w:eastAsiaTheme="minorEastAsia" w:hAnsiTheme="minorHAnsi" w:cstheme="minorBidi"/>
          <w:i w:val="0"/>
          <w:iCs w:val="0"/>
          <w:color w:val="auto"/>
          <w:sz w:val="20"/>
          <w:szCs w:val="20"/>
        </w:rPr>
        <w:footnoteReference w:id="34"/>
      </w:r>
      <w:r w:rsidR="676DCC98" w:rsidRPr="6C54F3A7">
        <w:rPr>
          <w:rFonts w:asciiTheme="minorHAnsi" w:eastAsiaTheme="minorEastAsia" w:hAnsiTheme="minorHAnsi" w:cstheme="minorBidi"/>
          <w:i w:val="0"/>
          <w:iCs w:val="0"/>
          <w:color w:val="auto"/>
          <w:sz w:val="20"/>
          <w:szCs w:val="20"/>
        </w:rPr>
        <w:t>, konkrétně s jeho strategickým cílem 3 a specifickým cíle 3</w:t>
      </w:r>
      <w:r w:rsidR="39F55338" w:rsidRPr="6C54F3A7">
        <w:rPr>
          <w:rFonts w:asciiTheme="minorHAnsi" w:eastAsiaTheme="minorEastAsia" w:hAnsiTheme="minorHAnsi" w:cstheme="minorBidi"/>
          <w:i w:val="0"/>
          <w:iCs w:val="0"/>
          <w:color w:val="auto"/>
          <w:sz w:val="20"/>
          <w:szCs w:val="20"/>
        </w:rPr>
        <w:t>.</w:t>
      </w:r>
      <w:r w:rsidR="676DCC98" w:rsidRPr="6C54F3A7">
        <w:rPr>
          <w:rFonts w:asciiTheme="minorHAnsi" w:eastAsiaTheme="minorEastAsia" w:hAnsiTheme="minorHAnsi" w:cstheme="minorBidi"/>
          <w:i w:val="0"/>
          <w:iCs w:val="0"/>
          <w:color w:val="auto"/>
          <w:sz w:val="20"/>
          <w:szCs w:val="20"/>
        </w:rPr>
        <w:t>1 „Zapojení vědy a výzkumu dořešení prioritních úkolů zdravotnictví“.</w:t>
      </w:r>
    </w:p>
    <w:p w14:paraId="0CD5C1A5" w14:textId="77777777" w:rsidR="00FE4664" w:rsidRPr="00992741" w:rsidRDefault="00FE4664" w:rsidP="6C54F3A7">
      <w:pPr>
        <w:pStyle w:val="K-TextInfo"/>
        <w:rPr>
          <w:rFonts w:asciiTheme="minorHAnsi" w:eastAsiaTheme="minorEastAsia" w:hAnsiTheme="minorHAnsi" w:cstheme="minorBidi"/>
          <w:i w:val="0"/>
          <w:iCs w:val="0"/>
          <w:color w:val="auto"/>
          <w:sz w:val="20"/>
          <w:szCs w:val="20"/>
        </w:rPr>
      </w:pPr>
    </w:p>
    <w:p w14:paraId="1C015FB3" w14:textId="77777777" w:rsidR="007A2737" w:rsidRPr="00992741" w:rsidRDefault="3AEB50F1" w:rsidP="6C54F3A7">
      <w:pPr>
        <w:pStyle w:val="K-Nadpis3"/>
        <w:rPr>
          <w:rFonts w:asciiTheme="minorHAnsi" w:eastAsiaTheme="minorEastAsia" w:hAnsiTheme="minorHAnsi" w:cstheme="minorBidi"/>
          <w:color w:val="auto"/>
          <w:sz w:val="20"/>
          <w:szCs w:val="20"/>
        </w:rPr>
      </w:pPr>
      <w:r w:rsidRPr="6C54F3A7">
        <w:rPr>
          <w:rFonts w:asciiTheme="minorHAnsi" w:eastAsiaTheme="minorEastAsia" w:hAnsiTheme="minorHAnsi" w:cstheme="minorBidi"/>
          <w:color w:val="auto"/>
          <w:sz w:val="20"/>
          <w:szCs w:val="20"/>
        </w:rPr>
        <w:t>d) Předchozí snahy</w:t>
      </w:r>
    </w:p>
    <w:p w14:paraId="7317DCCA" w14:textId="1AB6FA53" w:rsidR="002D6385" w:rsidRPr="00992741" w:rsidRDefault="461E783F"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 xml:space="preserve">ČR vybudovala za </w:t>
      </w:r>
      <w:r w:rsidR="529E7E4D" w:rsidRPr="6C54F3A7">
        <w:rPr>
          <w:rFonts w:asciiTheme="minorHAnsi" w:eastAsiaTheme="minorEastAsia" w:hAnsiTheme="minorHAnsi" w:cstheme="minorBidi"/>
          <w:i w:val="0"/>
          <w:iCs w:val="0"/>
          <w:color w:val="auto"/>
          <w:sz w:val="20"/>
          <w:szCs w:val="20"/>
        </w:rPr>
        <w:t xml:space="preserve">investiční </w:t>
      </w:r>
      <w:r w:rsidRPr="6C54F3A7">
        <w:rPr>
          <w:rFonts w:asciiTheme="minorHAnsi" w:eastAsiaTheme="minorEastAsia" w:hAnsiTheme="minorHAnsi" w:cstheme="minorBidi"/>
          <w:i w:val="0"/>
          <w:iCs w:val="0"/>
          <w:color w:val="auto"/>
          <w:sz w:val="20"/>
          <w:szCs w:val="20"/>
        </w:rPr>
        <w:t xml:space="preserve">podpory </w:t>
      </w:r>
      <w:r w:rsidR="529E7E4D" w:rsidRPr="6C54F3A7">
        <w:rPr>
          <w:rFonts w:asciiTheme="minorHAnsi" w:eastAsiaTheme="minorEastAsia" w:hAnsiTheme="minorHAnsi" w:cstheme="minorBidi"/>
          <w:i w:val="0"/>
          <w:iCs w:val="0"/>
          <w:color w:val="auto"/>
          <w:sz w:val="20"/>
          <w:szCs w:val="20"/>
        </w:rPr>
        <w:t>ESIF(ERDF) v letech 2007-1</w:t>
      </w:r>
      <w:r w:rsidR="3CBD0DE3" w:rsidRPr="6C54F3A7">
        <w:rPr>
          <w:rFonts w:asciiTheme="minorHAnsi" w:eastAsiaTheme="minorEastAsia" w:hAnsiTheme="minorHAnsi" w:cstheme="minorBidi"/>
          <w:i w:val="0"/>
          <w:iCs w:val="0"/>
          <w:color w:val="auto"/>
          <w:sz w:val="20"/>
          <w:szCs w:val="20"/>
        </w:rPr>
        <w:t>3/15</w:t>
      </w:r>
      <w:r w:rsidR="529E7E4D" w:rsidRPr="6C54F3A7">
        <w:rPr>
          <w:rFonts w:asciiTheme="minorHAnsi" w:eastAsiaTheme="minorEastAsia" w:hAnsiTheme="minorHAnsi" w:cstheme="minorBidi"/>
          <w:i w:val="0"/>
          <w:iCs w:val="0"/>
          <w:color w:val="auto"/>
          <w:sz w:val="20"/>
          <w:szCs w:val="20"/>
        </w:rPr>
        <w:t xml:space="preserve"> </w:t>
      </w:r>
      <w:r w:rsidR="11C4B70F" w:rsidRPr="6C54F3A7">
        <w:rPr>
          <w:rFonts w:asciiTheme="minorHAnsi" w:eastAsiaTheme="minorEastAsia" w:hAnsiTheme="minorHAnsi" w:cstheme="minorBidi"/>
          <w:i w:val="0"/>
          <w:iCs w:val="0"/>
          <w:color w:val="auto"/>
          <w:sz w:val="20"/>
          <w:szCs w:val="20"/>
        </w:rPr>
        <w:t>v </w:t>
      </w:r>
      <w:r w:rsidR="529E7E4D" w:rsidRPr="6C54F3A7">
        <w:rPr>
          <w:rFonts w:asciiTheme="minorHAnsi" w:eastAsiaTheme="minorEastAsia" w:hAnsiTheme="minorHAnsi" w:cstheme="minorBidi"/>
          <w:i w:val="0"/>
          <w:iCs w:val="0"/>
          <w:color w:val="auto"/>
          <w:sz w:val="20"/>
          <w:szCs w:val="20"/>
        </w:rPr>
        <w:t xml:space="preserve">operačním programu „Výzkum </w:t>
      </w:r>
      <w:r w:rsidR="11C4B70F" w:rsidRPr="6C54F3A7">
        <w:rPr>
          <w:rFonts w:asciiTheme="minorHAnsi" w:eastAsiaTheme="minorEastAsia" w:hAnsiTheme="minorHAnsi" w:cstheme="minorBidi"/>
          <w:i w:val="0"/>
          <w:iCs w:val="0"/>
          <w:color w:val="auto"/>
          <w:sz w:val="20"/>
          <w:szCs w:val="20"/>
        </w:rPr>
        <w:t>a </w:t>
      </w:r>
      <w:r w:rsidR="529E7E4D" w:rsidRPr="6C54F3A7">
        <w:rPr>
          <w:rFonts w:asciiTheme="minorHAnsi" w:eastAsiaTheme="minorEastAsia" w:hAnsiTheme="minorHAnsi" w:cstheme="minorBidi"/>
          <w:i w:val="0"/>
          <w:iCs w:val="0"/>
          <w:color w:val="auto"/>
          <w:sz w:val="20"/>
          <w:szCs w:val="20"/>
        </w:rPr>
        <w:t xml:space="preserve">vývoj pro inovace“ (OP </w:t>
      </w:r>
      <w:proofErr w:type="spellStart"/>
      <w:r w:rsidR="529E7E4D" w:rsidRPr="6C54F3A7">
        <w:rPr>
          <w:rFonts w:asciiTheme="minorHAnsi" w:eastAsiaTheme="minorEastAsia" w:hAnsiTheme="minorHAnsi" w:cstheme="minorBidi"/>
          <w:i w:val="0"/>
          <w:iCs w:val="0"/>
          <w:color w:val="auto"/>
          <w:sz w:val="20"/>
          <w:szCs w:val="20"/>
        </w:rPr>
        <w:t>VaVpI</w:t>
      </w:r>
      <w:proofErr w:type="spellEnd"/>
      <w:r w:rsidR="529E7E4D" w:rsidRPr="6C54F3A7">
        <w:rPr>
          <w:rFonts w:asciiTheme="minorHAnsi" w:eastAsiaTheme="minorEastAsia" w:hAnsiTheme="minorHAnsi" w:cstheme="minorBidi"/>
          <w:i w:val="0"/>
          <w:iCs w:val="0"/>
          <w:color w:val="auto"/>
          <w:sz w:val="20"/>
          <w:szCs w:val="20"/>
        </w:rPr>
        <w:t xml:space="preserve">) celkem 48 </w:t>
      </w:r>
      <w:r w:rsidR="5546BB68" w:rsidRPr="6C54F3A7">
        <w:rPr>
          <w:rFonts w:asciiTheme="minorHAnsi" w:eastAsiaTheme="minorEastAsia" w:hAnsiTheme="minorHAnsi" w:cstheme="minorBidi"/>
          <w:i w:val="0"/>
          <w:iCs w:val="0"/>
          <w:color w:val="auto"/>
          <w:sz w:val="20"/>
          <w:szCs w:val="20"/>
        </w:rPr>
        <w:t xml:space="preserve">výzkumných </w:t>
      </w:r>
      <w:r w:rsidR="529E7E4D" w:rsidRPr="6C54F3A7">
        <w:rPr>
          <w:rFonts w:asciiTheme="minorHAnsi" w:eastAsiaTheme="minorEastAsia" w:hAnsiTheme="minorHAnsi" w:cstheme="minorBidi"/>
          <w:i w:val="0"/>
          <w:iCs w:val="0"/>
          <w:color w:val="auto"/>
          <w:sz w:val="20"/>
          <w:szCs w:val="20"/>
        </w:rPr>
        <w:t>center</w:t>
      </w:r>
      <w:r w:rsidR="3D835E38" w:rsidRPr="6C54F3A7">
        <w:rPr>
          <w:rFonts w:asciiTheme="minorHAnsi" w:eastAsiaTheme="minorEastAsia" w:hAnsiTheme="minorHAnsi" w:cstheme="minorBidi"/>
          <w:i w:val="0"/>
          <w:iCs w:val="0"/>
          <w:color w:val="auto"/>
          <w:sz w:val="20"/>
          <w:szCs w:val="20"/>
        </w:rPr>
        <w:t xml:space="preserve">. Z toho bylo 8 evropských center excelence </w:t>
      </w:r>
      <w:r w:rsidR="6C3623FB" w:rsidRPr="6C54F3A7">
        <w:rPr>
          <w:rFonts w:asciiTheme="minorHAnsi" w:eastAsiaTheme="minorEastAsia" w:hAnsiTheme="minorHAnsi" w:cstheme="minorBidi"/>
          <w:i w:val="0"/>
          <w:iCs w:val="0"/>
          <w:color w:val="auto"/>
          <w:sz w:val="20"/>
          <w:szCs w:val="20"/>
        </w:rPr>
        <w:t xml:space="preserve">v prioritní ose I </w:t>
      </w:r>
      <w:r w:rsidR="3D835E38" w:rsidRPr="6C54F3A7">
        <w:rPr>
          <w:rFonts w:asciiTheme="minorHAnsi" w:eastAsiaTheme="minorEastAsia" w:hAnsiTheme="minorHAnsi" w:cstheme="minorBidi"/>
          <w:i w:val="0"/>
          <w:iCs w:val="0"/>
          <w:color w:val="auto"/>
          <w:sz w:val="20"/>
          <w:szCs w:val="20"/>
        </w:rPr>
        <w:t xml:space="preserve">a 40 </w:t>
      </w:r>
      <w:r w:rsidR="3D835E38" w:rsidRPr="6C54F3A7">
        <w:rPr>
          <w:rFonts w:asciiTheme="minorHAnsi" w:eastAsiaTheme="minorEastAsia" w:hAnsiTheme="minorHAnsi" w:cstheme="minorBidi"/>
          <w:i w:val="0"/>
          <w:iCs w:val="0"/>
          <w:color w:val="auto"/>
          <w:sz w:val="20"/>
          <w:szCs w:val="20"/>
        </w:rPr>
        <w:lastRenderedPageBreak/>
        <w:t xml:space="preserve">regionálních </w:t>
      </w:r>
      <w:proofErr w:type="spellStart"/>
      <w:r w:rsidR="3D835E38" w:rsidRPr="6C54F3A7">
        <w:rPr>
          <w:rFonts w:asciiTheme="minorHAnsi" w:eastAsiaTheme="minorEastAsia" w:hAnsiTheme="minorHAnsi" w:cstheme="minorBidi"/>
          <w:i w:val="0"/>
          <w:iCs w:val="0"/>
          <w:color w:val="auto"/>
          <w:sz w:val="20"/>
          <w:szCs w:val="20"/>
        </w:rPr>
        <w:t>VaV</w:t>
      </w:r>
      <w:proofErr w:type="spellEnd"/>
      <w:r w:rsidR="3D835E38" w:rsidRPr="6C54F3A7">
        <w:rPr>
          <w:rFonts w:asciiTheme="minorHAnsi" w:eastAsiaTheme="minorEastAsia" w:hAnsiTheme="minorHAnsi" w:cstheme="minorBidi"/>
          <w:i w:val="0"/>
          <w:iCs w:val="0"/>
          <w:color w:val="auto"/>
          <w:sz w:val="20"/>
          <w:szCs w:val="20"/>
        </w:rPr>
        <w:t xml:space="preserve"> center</w:t>
      </w:r>
      <w:r w:rsidR="6C3623FB" w:rsidRPr="6C54F3A7">
        <w:rPr>
          <w:rFonts w:asciiTheme="minorHAnsi" w:eastAsiaTheme="minorEastAsia" w:hAnsiTheme="minorHAnsi" w:cstheme="minorBidi"/>
          <w:i w:val="0"/>
          <w:iCs w:val="0"/>
          <w:color w:val="auto"/>
          <w:sz w:val="20"/>
          <w:szCs w:val="20"/>
        </w:rPr>
        <w:t xml:space="preserve"> v prioritní ose II</w:t>
      </w:r>
      <w:r w:rsidR="3D835E38" w:rsidRPr="6C54F3A7">
        <w:rPr>
          <w:rFonts w:asciiTheme="minorHAnsi" w:eastAsiaTheme="minorEastAsia" w:hAnsiTheme="minorHAnsi" w:cstheme="minorBidi"/>
          <w:i w:val="0"/>
          <w:iCs w:val="0"/>
          <w:color w:val="auto"/>
          <w:sz w:val="20"/>
          <w:szCs w:val="20"/>
        </w:rPr>
        <w:t xml:space="preserve">. </w:t>
      </w:r>
      <w:r w:rsidR="529E7E4D" w:rsidRPr="6C54F3A7">
        <w:rPr>
          <w:rFonts w:asciiTheme="minorHAnsi" w:eastAsiaTheme="minorEastAsia" w:hAnsiTheme="minorHAnsi" w:cstheme="minorBidi"/>
          <w:i w:val="0"/>
          <w:iCs w:val="0"/>
          <w:color w:val="auto"/>
          <w:sz w:val="20"/>
          <w:szCs w:val="20"/>
        </w:rPr>
        <w:t xml:space="preserve">Z tohoto 9 regionálních center </w:t>
      </w:r>
      <w:proofErr w:type="spellStart"/>
      <w:r w:rsidR="3D835E38" w:rsidRPr="6C54F3A7">
        <w:rPr>
          <w:rFonts w:asciiTheme="minorHAnsi" w:eastAsiaTheme="minorEastAsia" w:hAnsiTheme="minorHAnsi" w:cstheme="minorBidi"/>
          <w:i w:val="0"/>
          <w:iCs w:val="0"/>
          <w:color w:val="auto"/>
          <w:sz w:val="20"/>
          <w:szCs w:val="20"/>
        </w:rPr>
        <w:t>VaV</w:t>
      </w:r>
      <w:proofErr w:type="spellEnd"/>
      <w:r w:rsidR="3D835E38" w:rsidRPr="6C54F3A7">
        <w:rPr>
          <w:rFonts w:asciiTheme="minorHAnsi" w:eastAsiaTheme="minorEastAsia" w:hAnsiTheme="minorHAnsi" w:cstheme="minorBidi"/>
          <w:i w:val="0"/>
          <w:iCs w:val="0"/>
          <w:color w:val="auto"/>
          <w:sz w:val="20"/>
          <w:szCs w:val="20"/>
        </w:rPr>
        <w:t xml:space="preserve"> </w:t>
      </w:r>
      <w:r w:rsidR="529E7E4D" w:rsidRPr="6C54F3A7">
        <w:rPr>
          <w:rFonts w:asciiTheme="minorHAnsi" w:eastAsiaTheme="minorEastAsia" w:hAnsiTheme="minorHAnsi" w:cstheme="minorBidi"/>
          <w:i w:val="0"/>
          <w:iCs w:val="0"/>
          <w:color w:val="auto"/>
          <w:sz w:val="20"/>
          <w:szCs w:val="20"/>
        </w:rPr>
        <w:t xml:space="preserve">bylo zaměřeno na aplikovaný zdravotnických výzkum nebo na obory s ním úzce související. </w:t>
      </w:r>
      <w:r w:rsidR="3CBD0DE3" w:rsidRPr="6C54F3A7">
        <w:rPr>
          <w:rFonts w:asciiTheme="minorHAnsi" w:eastAsiaTheme="minorEastAsia" w:hAnsiTheme="minorHAnsi" w:cstheme="minorBidi"/>
          <w:i w:val="0"/>
          <w:iCs w:val="0"/>
          <w:color w:val="auto"/>
          <w:sz w:val="20"/>
          <w:szCs w:val="20"/>
        </w:rPr>
        <w:t xml:space="preserve">Prvotní investice se skutečně zúročily </w:t>
      </w:r>
      <w:r w:rsidR="11C4B70F" w:rsidRPr="6C54F3A7">
        <w:rPr>
          <w:rFonts w:asciiTheme="minorHAnsi" w:eastAsiaTheme="minorEastAsia" w:hAnsiTheme="minorHAnsi" w:cstheme="minorBidi"/>
          <w:i w:val="0"/>
          <w:iCs w:val="0"/>
          <w:color w:val="auto"/>
          <w:sz w:val="20"/>
          <w:szCs w:val="20"/>
        </w:rPr>
        <w:t>v </w:t>
      </w:r>
      <w:r w:rsidR="3CBD0DE3" w:rsidRPr="6C54F3A7">
        <w:rPr>
          <w:rFonts w:asciiTheme="minorHAnsi" w:eastAsiaTheme="minorEastAsia" w:hAnsiTheme="minorHAnsi" w:cstheme="minorBidi"/>
          <w:i w:val="0"/>
          <w:iCs w:val="0"/>
          <w:color w:val="auto"/>
          <w:sz w:val="20"/>
          <w:szCs w:val="20"/>
        </w:rPr>
        <w:t xml:space="preserve">úspěšných aplikacích </w:t>
      </w:r>
      <w:r w:rsidR="11C4B70F" w:rsidRPr="6C54F3A7">
        <w:rPr>
          <w:rFonts w:asciiTheme="minorHAnsi" w:eastAsiaTheme="minorEastAsia" w:hAnsiTheme="minorHAnsi" w:cstheme="minorBidi"/>
          <w:i w:val="0"/>
          <w:iCs w:val="0"/>
          <w:color w:val="auto"/>
          <w:sz w:val="20"/>
          <w:szCs w:val="20"/>
        </w:rPr>
        <w:t>a </w:t>
      </w:r>
      <w:r w:rsidR="3CBD0DE3" w:rsidRPr="6C54F3A7">
        <w:rPr>
          <w:rFonts w:asciiTheme="minorHAnsi" w:eastAsiaTheme="minorEastAsia" w:hAnsiTheme="minorHAnsi" w:cstheme="minorBidi"/>
          <w:i w:val="0"/>
          <w:iCs w:val="0"/>
          <w:color w:val="auto"/>
          <w:sz w:val="20"/>
          <w:szCs w:val="20"/>
        </w:rPr>
        <w:t xml:space="preserve">ve významnějším, plně konkurenceschopném technologického pokroku s přímým dopadem do praxe až v navazujícím Národním programu udržitelnosti </w:t>
      </w:r>
      <w:r w:rsidR="11C4B70F" w:rsidRPr="6C54F3A7">
        <w:rPr>
          <w:rFonts w:asciiTheme="minorHAnsi" w:eastAsiaTheme="minorEastAsia" w:hAnsiTheme="minorHAnsi" w:cstheme="minorBidi"/>
          <w:i w:val="0"/>
          <w:iCs w:val="0"/>
          <w:color w:val="auto"/>
          <w:sz w:val="20"/>
          <w:szCs w:val="20"/>
        </w:rPr>
        <w:t>I </w:t>
      </w:r>
      <w:r w:rsidR="3CBD0DE3" w:rsidRPr="6C54F3A7">
        <w:rPr>
          <w:rFonts w:asciiTheme="minorHAnsi" w:eastAsiaTheme="minorEastAsia" w:hAnsiTheme="minorHAnsi" w:cstheme="minorBidi"/>
          <w:i w:val="0"/>
          <w:iCs w:val="0"/>
          <w:color w:val="auto"/>
          <w:sz w:val="20"/>
          <w:szCs w:val="20"/>
        </w:rPr>
        <w:t>(NPU I, 2013-2020)</w:t>
      </w:r>
      <w:r w:rsidR="53FBAB55" w:rsidRPr="6C54F3A7">
        <w:rPr>
          <w:rFonts w:asciiTheme="minorHAnsi" w:eastAsiaTheme="minorEastAsia" w:hAnsiTheme="minorHAnsi" w:cstheme="minorBidi"/>
          <w:i w:val="0"/>
          <w:iCs w:val="0"/>
          <w:color w:val="auto"/>
          <w:sz w:val="20"/>
          <w:szCs w:val="20"/>
        </w:rPr>
        <w:t>, který těchto 9</w:t>
      </w:r>
      <w:r w:rsidR="637FD20B" w:rsidRPr="6C54F3A7">
        <w:rPr>
          <w:rFonts w:asciiTheme="minorHAnsi" w:eastAsiaTheme="minorEastAsia" w:hAnsiTheme="minorHAnsi" w:cstheme="minorBidi"/>
          <w:i w:val="0"/>
          <w:iCs w:val="0"/>
          <w:color w:val="auto"/>
          <w:sz w:val="20"/>
          <w:szCs w:val="20"/>
        </w:rPr>
        <w:t xml:space="preserve"> projektů podpořil téměř 931 mi</w:t>
      </w:r>
      <w:r w:rsidR="7E2AE601" w:rsidRPr="6C54F3A7">
        <w:rPr>
          <w:rFonts w:asciiTheme="minorHAnsi" w:eastAsiaTheme="minorEastAsia" w:hAnsiTheme="minorHAnsi" w:cstheme="minorBidi"/>
          <w:i w:val="0"/>
          <w:iCs w:val="0"/>
          <w:color w:val="auto"/>
          <w:sz w:val="20"/>
          <w:szCs w:val="20"/>
        </w:rPr>
        <w:t>l</w:t>
      </w:r>
      <w:r w:rsidR="637FD20B" w:rsidRPr="6C54F3A7">
        <w:rPr>
          <w:rFonts w:asciiTheme="minorHAnsi" w:eastAsiaTheme="minorEastAsia" w:hAnsiTheme="minorHAnsi" w:cstheme="minorBidi"/>
          <w:i w:val="0"/>
          <w:iCs w:val="0"/>
          <w:color w:val="auto"/>
          <w:sz w:val="20"/>
          <w:szCs w:val="20"/>
        </w:rPr>
        <w:t xml:space="preserve"> Kč</w:t>
      </w:r>
      <w:r w:rsidR="3CBD0DE3" w:rsidRPr="6C54F3A7">
        <w:rPr>
          <w:rFonts w:asciiTheme="minorHAnsi" w:eastAsiaTheme="minorEastAsia" w:hAnsiTheme="minorHAnsi" w:cstheme="minorBidi"/>
          <w:i w:val="0"/>
          <w:iCs w:val="0"/>
          <w:color w:val="auto"/>
          <w:sz w:val="20"/>
          <w:szCs w:val="20"/>
        </w:rPr>
        <w:t xml:space="preserve">. </w:t>
      </w:r>
    </w:p>
    <w:p w14:paraId="2E82E4CA" w14:textId="48F12796" w:rsidR="00245A82" w:rsidRPr="00992741" w:rsidRDefault="6C3623FB"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 xml:space="preserve">Z celkového počtu 6 </w:t>
      </w:r>
      <w:r w:rsidR="529E7E4D" w:rsidRPr="6C54F3A7">
        <w:rPr>
          <w:rFonts w:asciiTheme="minorHAnsi" w:eastAsiaTheme="minorEastAsia" w:hAnsiTheme="minorHAnsi" w:cstheme="minorBidi"/>
          <w:i w:val="0"/>
          <w:iCs w:val="0"/>
          <w:color w:val="auto"/>
          <w:sz w:val="20"/>
          <w:szCs w:val="20"/>
        </w:rPr>
        <w:t>velký</w:t>
      </w:r>
      <w:r w:rsidRPr="6C54F3A7">
        <w:rPr>
          <w:rFonts w:asciiTheme="minorHAnsi" w:eastAsiaTheme="minorEastAsia" w:hAnsiTheme="minorHAnsi" w:cstheme="minorBidi"/>
          <w:i w:val="0"/>
          <w:iCs w:val="0"/>
          <w:color w:val="auto"/>
          <w:sz w:val="20"/>
          <w:szCs w:val="20"/>
        </w:rPr>
        <w:t>ch</w:t>
      </w:r>
      <w:r w:rsidR="529E7E4D" w:rsidRPr="6C54F3A7">
        <w:rPr>
          <w:rFonts w:asciiTheme="minorHAnsi" w:eastAsiaTheme="minorEastAsia" w:hAnsiTheme="minorHAnsi" w:cstheme="minorBidi"/>
          <w:i w:val="0"/>
          <w:iCs w:val="0"/>
          <w:color w:val="auto"/>
          <w:sz w:val="20"/>
          <w:szCs w:val="20"/>
        </w:rPr>
        <w:t xml:space="preserve"> projekt</w:t>
      </w:r>
      <w:r w:rsidRPr="6C54F3A7">
        <w:rPr>
          <w:rFonts w:asciiTheme="minorHAnsi" w:eastAsiaTheme="minorEastAsia" w:hAnsiTheme="minorHAnsi" w:cstheme="minorBidi"/>
          <w:i w:val="0"/>
          <w:iCs w:val="0"/>
          <w:color w:val="auto"/>
          <w:sz w:val="20"/>
          <w:szCs w:val="20"/>
        </w:rPr>
        <w:t>ů</w:t>
      </w:r>
      <w:r w:rsidR="529E7E4D" w:rsidRPr="6C54F3A7">
        <w:rPr>
          <w:rFonts w:asciiTheme="minorHAnsi" w:eastAsiaTheme="minorEastAsia" w:hAnsiTheme="minorHAnsi" w:cstheme="minorBidi"/>
          <w:i w:val="0"/>
          <w:iCs w:val="0"/>
          <w:color w:val="auto"/>
          <w:sz w:val="20"/>
          <w:szCs w:val="20"/>
        </w:rPr>
        <w:t xml:space="preserve"> (</w:t>
      </w:r>
      <w:r w:rsidR="11C4B70F" w:rsidRPr="6C54F3A7">
        <w:rPr>
          <w:rFonts w:asciiTheme="minorHAnsi" w:eastAsiaTheme="minorEastAsia" w:hAnsiTheme="minorHAnsi" w:cstheme="minorBidi"/>
          <w:i w:val="0"/>
          <w:iCs w:val="0"/>
          <w:color w:val="auto"/>
          <w:sz w:val="20"/>
          <w:szCs w:val="20"/>
        </w:rPr>
        <w:t>s </w:t>
      </w:r>
      <w:r w:rsidR="529E7E4D" w:rsidRPr="6C54F3A7">
        <w:rPr>
          <w:rFonts w:asciiTheme="minorHAnsi" w:eastAsiaTheme="minorEastAsia" w:hAnsiTheme="minorHAnsi" w:cstheme="minorBidi"/>
          <w:i w:val="0"/>
          <w:iCs w:val="0"/>
          <w:color w:val="auto"/>
          <w:sz w:val="20"/>
          <w:szCs w:val="20"/>
        </w:rPr>
        <w:t xml:space="preserve">investicí nad 50 </w:t>
      </w:r>
      <w:r w:rsidR="5D04B30C" w:rsidRPr="6C54F3A7">
        <w:rPr>
          <w:rFonts w:asciiTheme="minorHAnsi" w:eastAsiaTheme="minorEastAsia" w:hAnsiTheme="minorHAnsi" w:cstheme="minorBidi"/>
          <w:i w:val="0"/>
          <w:iCs w:val="0"/>
          <w:color w:val="auto"/>
          <w:sz w:val="20"/>
          <w:szCs w:val="20"/>
        </w:rPr>
        <w:t>mil</w:t>
      </w:r>
      <w:r w:rsidR="529E7E4D" w:rsidRPr="6C54F3A7">
        <w:rPr>
          <w:rFonts w:asciiTheme="minorHAnsi" w:eastAsiaTheme="minorEastAsia" w:hAnsiTheme="minorHAnsi" w:cstheme="minorBidi"/>
          <w:i w:val="0"/>
          <w:iCs w:val="0"/>
          <w:color w:val="auto"/>
          <w:sz w:val="20"/>
          <w:szCs w:val="20"/>
        </w:rPr>
        <w:t xml:space="preserve"> €) </w:t>
      </w:r>
      <w:r w:rsidRPr="6C54F3A7">
        <w:rPr>
          <w:rFonts w:asciiTheme="minorHAnsi" w:eastAsiaTheme="minorEastAsia" w:hAnsiTheme="minorHAnsi" w:cstheme="minorBidi"/>
          <w:i w:val="0"/>
          <w:iCs w:val="0"/>
          <w:color w:val="auto"/>
          <w:sz w:val="20"/>
          <w:szCs w:val="20"/>
        </w:rPr>
        <w:t>směřovaly 3 z nich do prioritních zdravotnických oborů jednalo se o evropská centra excelence z prioritní osy I</w:t>
      </w:r>
      <w:r w:rsidR="529E7E4D" w:rsidRPr="6C54F3A7">
        <w:rPr>
          <w:rFonts w:asciiTheme="minorHAnsi" w:eastAsiaTheme="minorEastAsia" w:hAnsiTheme="minorHAnsi" w:cstheme="minorBidi"/>
          <w:i w:val="0"/>
          <w:iCs w:val="0"/>
          <w:color w:val="auto"/>
          <w:sz w:val="20"/>
          <w:szCs w:val="20"/>
        </w:rPr>
        <w:t xml:space="preserve">, BIOCEV, CEITEC </w:t>
      </w:r>
      <w:r w:rsidR="11C4B70F" w:rsidRPr="6C54F3A7">
        <w:rPr>
          <w:rFonts w:asciiTheme="minorHAnsi" w:eastAsiaTheme="minorEastAsia" w:hAnsiTheme="minorHAnsi" w:cstheme="minorBidi"/>
          <w:i w:val="0"/>
          <w:iCs w:val="0"/>
          <w:color w:val="auto"/>
          <w:sz w:val="20"/>
          <w:szCs w:val="20"/>
        </w:rPr>
        <w:t>a</w:t>
      </w:r>
      <w:r w:rsidR="7AA2D90B" w:rsidRPr="6C54F3A7">
        <w:rPr>
          <w:rFonts w:asciiTheme="minorHAnsi" w:eastAsiaTheme="minorEastAsia" w:hAnsiTheme="minorHAnsi" w:cstheme="minorBidi"/>
          <w:i w:val="0"/>
          <w:iCs w:val="0"/>
          <w:color w:val="auto"/>
          <w:sz w:val="20"/>
          <w:szCs w:val="20"/>
        </w:rPr>
        <w:t xml:space="preserve"> </w:t>
      </w:r>
      <w:r w:rsidR="529E7E4D" w:rsidRPr="6C54F3A7">
        <w:rPr>
          <w:rFonts w:asciiTheme="minorHAnsi" w:eastAsiaTheme="minorEastAsia" w:hAnsiTheme="minorHAnsi" w:cstheme="minorBidi"/>
          <w:i w:val="0"/>
          <w:iCs w:val="0"/>
          <w:color w:val="auto"/>
          <w:sz w:val="20"/>
          <w:szCs w:val="20"/>
        </w:rPr>
        <w:t>ICRC</w:t>
      </w:r>
      <w:r w:rsidR="000B4D24" w:rsidRPr="6C54F3A7">
        <w:rPr>
          <w:rStyle w:val="Znakapoznpodarou"/>
          <w:rFonts w:asciiTheme="minorHAnsi" w:eastAsiaTheme="minorEastAsia" w:hAnsiTheme="minorHAnsi" w:cstheme="minorBidi"/>
          <w:i w:val="0"/>
          <w:iCs w:val="0"/>
          <w:color w:val="auto"/>
          <w:sz w:val="20"/>
          <w:szCs w:val="20"/>
        </w:rPr>
        <w:footnoteReference w:id="35"/>
      </w:r>
      <w:r w:rsidR="529E7E4D" w:rsidRPr="6C54F3A7">
        <w:rPr>
          <w:rFonts w:asciiTheme="minorHAnsi" w:eastAsiaTheme="minorEastAsia" w:hAnsiTheme="minorHAnsi" w:cstheme="minorBidi"/>
          <w:i w:val="0"/>
          <w:iCs w:val="0"/>
          <w:color w:val="auto"/>
          <w:sz w:val="20"/>
          <w:szCs w:val="20"/>
        </w:rPr>
        <w:t>. Na mezinárod</w:t>
      </w:r>
      <w:r w:rsidR="2BC8D200" w:rsidRPr="6C54F3A7">
        <w:rPr>
          <w:rFonts w:asciiTheme="minorHAnsi" w:eastAsiaTheme="minorEastAsia" w:hAnsiTheme="minorHAnsi" w:cstheme="minorBidi"/>
          <w:i w:val="0"/>
          <w:iCs w:val="0"/>
          <w:color w:val="auto"/>
          <w:sz w:val="20"/>
          <w:szCs w:val="20"/>
        </w:rPr>
        <w:t>n</w:t>
      </w:r>
      <w:r w:rsidR="529E7E4D" w:rsidRPr="6C54F3A7">
        <w:rPr>
          <w:rFonts w:asciiTheme="minorHAnsi" w:eastAsiaTheme="minorEastAsia" w:hAnsiTheme="minorHAnsi" w:cstheme="minorBidi"/>
          <w:i w:val="0"/>
          <w:iCs w:val="0"/>
          <w:color w:val="auto"/>
          <w:sz w:val="20"/>
          <w:szCs w:val="20"/>
        </w:rPr>
        <w:t>í</w:t>
      </w:r>
      <w:r w:rsidR="2BC8D200" w:rsidRPr="6C54F3A7">
        <w:rPr>
          <w:rFonts w:asciiTheme="minorHAnsi" w:eastAsiaTheme="minorEastAsia" w:hAnsiTheme="minorHAnsi" w:cstheme="minorBidi"/>
          <w:i w:val="0"/>
          <w:iCs w:val="0"/>
          <w:color w:val="auto"/>
          <w:sz w:val="20"/>
          <w:szCs w:val="20"/>
        </w:rPr>
        <w:t>m</w:t>
      </w:r>
      <w:r w:rsidR="529E7E4D" w:rsidRPr="6C54F3A7">
        <w:rPr>
          <w:rFonts w:asciiTheme="minorHAnsi" w:eastAsiaTheme="minorEastAsia" w:hAnsiTheme="minorHAnsi" w:cstheme="minorBidi"/>
          <w:i w:val="0"/>
          <w:iCs w:val="0"/>
          <w:color w:val="auto"/>
          <w:sz w:val="20"/>
          <w:szCs w:val="20"/>
        </w:rPr>
        <w:t xml:space="preserve"> poli se</w:t>
      </w:r>
      <w:r w:rsidR="2BC8D200" w:rsidRPr="6C54F3A7">
        <w:rPr>
          <w:rFonts w:asciiTheme="minorHAnsi" w:eastAsiaTheme="minorEastAsia" w:hAnsiTheme="minorHAnsi" w:cstheme="minorBidi"/>
          <w:i w:val="0"/>
          <w:iCs w:val="0"/>
          <w:color w:val="auto"/>
          <w:sz w:val="20"/>
          <w:szCs w:val="20"/>
        </w:rPr>
        <w:t xml:space="preserve"> tato </w:t>
      </w:r>
      <w:r w:rsidR="53FBAB55" w:rsidRPr="6C54F3A7">
        <w:rPr>
          <w:rFonts w:asciiTheme="minorHAnsi" w:eastAsiaTheme="minorEastAsia" w:hAnsiTheme="minorHAnsi" w:cstheme="minorBidi"/>
          <w:i w:val="0"/>
          <w:iCs w:val="0"/>
          <w:color w:val="auto"/>
          <w:sz w:val="20"/>
          <w:szCs w:val="20"/>
        </w:rPr>
        <w:t xml:space="preserve">3 </w:t>
      </w:r>
      <w:r w:rsidR="2BC8D200" w:rsidRPr="6C54F3A7">
        <w:rPr>
          <w:rFonts w:asciiTheme="minorHAnsi" w:eastAsiaTheme="minorEastAsia" w:hAnsiTheme="minorHAnsi" w:cstheme="minorBidi"/>
          <w:i w:val="0"/>
          <w:iCs w:val="0"/>
          <w:color w:val="auto"/>
          <w:sz w:val="20"/>
          <w:szCs w:val="20"/>
        </w:rPr>
        <w:t>centra</w:t>
      </w:r>
      <w:r w:rsidR="51F08B9C" w:rsidRPr="6C54F3A7">
        <w:rPr>
          <w:rFonts w:asciiTheme="minorHAnsi" w:eastAsiaTheme="minorEastAsia" w:hAnsiTheme="minorHAnsi" w:cstheme="minorBidi"/>
          <w:i w:val="0"/>
          <w:iCs w:val="0"/>
          <w:color w:val="auto"/>
          <w:sz w:val="20"/>
          <w:szCs w:val="20"/>
        </w:rPr>
        <w:t xml:space="preserve"> dobře</w:t>
      </w:r>
      <w:r w:rsidR="2BC8D200" w:rsidRPr="6C54F3A7">
        <w:rPr>
          <w:rFonts w:asciiTheme="minorHAnsi" w:eastAsiaTheme="minorEastAsia" w:hAnsiTheme="minorHAnsi" w:cstheme="minorBidi"/>
          <w:i w:val="0"/>
          <w:iCs w:val="0"/>
          <w:color w:val="auto"/>
          <w:sz w:val="20"/>
          <w:szCs w:val="20"/>
        </w:rPr>
        <w:t xml:space="preserve"> etablovala v následujících v letech 2016</w:t>
      </w:r>
      <w:r w:rsidR="51F08B9C" w:rsidRPr="6C54F3A7">
        <w:rPr>
          <w:rFonts w:asciiTheme="minorHAnsi" w:eastAsiaTheme="minorEastAsia" w:hAnsiTheme="minorHAnsi" w:cstheme="minorBidi"/>
          <w:i w:val="0"/>
          <w:iCs w:val="0"/>
          <w:color w:val="auto"/>
          <w:sz w:val="20"/>
          <w:szCs w:val="20"/>
        </w:rPr>
        <w:t xml:space="preserve"> až 20</w:t>
      </w:r>
      <w:r w:rsidR="2BC8D200" w:rsidRPr="6C54F3A7">
        <w:rPr>
          <w:rFonts w:asciiTheme="minorHAnsi" w:eastAsiaTheme="minorEastAsia" w:hAnsiTheme="minorHAnsi" w:cstheme="minorBidi"/>
          <w:i w:val="0"/>
          <w:iCs w:val="0"/>
          <w:color w:val="auto"/>
          <w:sz w:val="20"/>
          <w:szCs w:val="20"/>
        </w:rPr>
        <w:t xml:space="preserve">20 za významného </w:t>
      </w:r>
      <w:r w:rsidR="328D3C17" w:rsidRPr="6C54F3A7">
        <w:rPr>
          <w:rFonts w:asciiTheme="minorHAnsi" w:eastAsiaTheme="minorEastAsia" w:hAnsiTheme="minorHAnsi" w:cstheme="minorBidi"/>
          <w:i w:val="0"/>
          <w:iCs w:val="0"/>
          <w:color w:val="auto"/>
          <w:sz w:val="20"/>
          <w:szCs w:val="20"/>
        </w:rPr>
        <w:t xml:space="preserve">finančního </w:t>
      </w:r>
      <w:r w:rsidR="2BC8D200" w:rsidRPr="6C54F3A7">
        <w:rPr>
          <w:rFonts w:asciiTheme="minorHAnsi" w:eastAsiaTheme="minorEastAsia" w:hAnsiTheme="minorHAnsi" w:cstheme="minorBidi"/>
          <w:i w:val="0"/>
          <w:iCs w:val="0"/>
          <w:color w:val="auto"/>
          <w:sz w:val="20"/>
          <w:szCs w:val="20"/>
        </w:rPr>
        <w:t xml:space="preserve">přispění </w:t>
      </w:r>
      <w:r w:rsidR="328D3C17" w:rsidRPr="6C54F3A7">
        <w:rPr>
          <w:rFonts w:asciiTheme="minorHAnsi" w:eastAsiaTheme="minorEastAsia" w:hAnsiTheme="minorHAnsi" w:cstheme="minorBidi"/>
          <w:i w:val="0"/>
          <w:iCs w:val="0"/>
          <w:color w:val="auto"/>
          <w:sz w:val="20"/>
          <w:szCs w:val="20"/>
        </w:rPr>
        <w:t>částkou téměř 2 </w:t>
      </w:r>
      <w:proofErr w:type="gramStart"/>
      <w:r w:rsidR="328D3C17" w:rsidRPr="6C54F3A7">
        <w:rPr>
          <w:rFonts w:asciiTheme="minorHAnsi" w:eastAsiaTheme="minorEastAsia" w:hAnsiTheme="minorHAnsi" w:cstheme="minorBidi"/>
          <w:i w:val="0"/>
          <w:iCs w:val="0"/>
          <w:color w:val="auto"/>
          <w:sz w:val="20"/>
          <w:szCs w:val="20"/>
        </w:rPr>
        <w:t>214  mil.</w:t>
      </w:r>
      <w:proofErr w:type="gramEnd"/>
      <w:r w:rsidR="328D3C17" w:rsidRPr="6C54F3A7">
        <w:rPr>
          <w:rFonts w:asciiTheme="minorHAnsi" w:eastAsiaTheme="minorEastAsia" w:hAnsiTheme="minorHAnsi" w:cstheme="minorBidi"/>
          <w:i w:val="0"/>
          <w:iCs w:val="0"/>
          <w:color w:val="auto"/>
          <w:sz w:val="20"/>
          <w:szCs w:val="20"/>
        </w:rPr>
        <w:t xml:space="preserve">  Kč z prostředků </w:t>
      </w:r>
      <w:r w:rsidR="57F422A3" w:rsidRPr="6C54F3A7">
        <w:rPr>
          <w:rFonts w:asciiTheme="minorHAnsi" w:eastAsiaTheme="minorEastAsia" w:hAnsiTheme="minorHAnsi" w:cstheme="minorBidi"/>
          <w:i w:val="0"/>
          <w:iCs w:val="0"/>
          <w:color w:val="auto"/>
          <w:sz w:val="20"/>
          <w:szCs w:val="20"/>
        </w:rPr>
        <w:t>Národní pro</w:t>
      </w:r>
      <w:r w:rsidR="2BC8D200" w:rsidRPr="6C54F3A7">
        <w:rPr>
          <w:rFonts w:asciiTheme="minorHAnsi" w:eastAsiaTheme="minorEastAsia" w:hAnsiTheme="minorHAnsi" w:cstheme="minorBidi"/>
          <w:i w:val="0"/>
          <w:iCs w:val="0"/>
          <w:color w:val="auto"/>
          <w:sz w:val="20"/>
          <w:szCs w:val="20"/>
        </w:rPr>
        <w:t>g</w:t>
      </w:r>
      <w:r w:rsidR="57F422A3" w:rsidRPr="6C54F3A7">
        <w:rPr>
          <w:rFonts w:asciiTheme="minorHAnsi" w:eastAsiaTheme="minorEastAsia" w:hAnsiTheme="minorHAnsi" w:cstheme="minorBidi"/>
          <w:i w:val="0"/>
          <w:iCs w:val="0"/>
          <w:color w:val="auto"/>
          <w:sz w:val="20"/>
          <w:szCs w:val="20"/>
        </w:rPr>
        <w:t>ramu</w:t>
      </w:r>
      <w:r w:rsidR="7AA4364F" w:rsidRPr="6C54F3A7">
        <w:rPr>
          <w:rFonts w:asciiTheme="minorHAnsi" w:eastAsiaTheme="minorEastAsia" w:hAnsiTheme="minorHAnsi" w:cstheme="minorBidi"/>
          <w:i w:val="0"/>
          <w:iCs w:val="0"/>
          <w:color w:val="auto"/>
          <w:sz w:val="20"/>
          <w:szCs w:val="20"/>
        </w:rPr>
        <w:t xml:space="preserve"> </w:t>
      </w:r>
      <w:r w:rsidR="2BC8D200" w:rsidRPr="6C54F3A7">
        <w:rPr>
          <w:rFonts w:asciiTheme="minorHAnsi" w:eastAsiaTheme="minorEastAsia" w:hAnsiTheme="minorHAnsi" w:cstheme="minorBidi"/>
          <w:i w:val="0"/>
          <w:iCs w:val="0"/>
          <w:color w:val="auto"/>
          <w:sz w:val="20"/>
          <w:szCs w:val="20"/>
        </w:rPr>
        <w:t>u</w:t>
      </w:r>
      <w:r w:rsidR="57F422A3" w:rsidRPr="6C54F3A7">
        <w:rPr>
          <w:rFonts w:asciiTheme="minorHAnsi" w:eastAsiaTheme="minorEastAsia" w:hAnsiTheme="minorHAnsi" w:cstheme="minorBidi"/>
          <w:i w:val="0"/>
          <w:iCs w:val="0"/>
          <w:color w:val="auto"/>
          <w:sz w:val="20"/>
          <w:szCs w:val="20"/>
        </w:rPr>
        <w:t>držitelno</w:t>
      </w:r>
      <w:r w:rsidR="2BC8D200" w:rsidRPr="6C54F3A7">
        <w:rPr>
          <w:rFonts w:asciiTheme="minorHAnsi" w:eastAsiaTheme="minorEastAsia" w:hAnsiTheme="minorHAnsi" w:cstheme="minorBidi"/>
          <w:i w:val="0"/>
          <w:iCs w:val="0"/>
          <w:color w:val="auto"/>
          <w:sz w:val="20"/>
          <w:szCs w:val="20"/>
        </w:rPr>
        <w:t>s</w:t>
      </w:r>
      <w:r w:rsidR="57F422A3" w:rsidRPr="6C54F3A7">
        <w:rPr>
          <w:rFonts w:asciiTheme="minorHAnsi" w:eastAsiaTheme="minorEastAsia" w:hAnsiTheme="minorHAnsi" w:cstheme="minorBidi"/>
          <w:i w:val="0"/>
          <w:iCs w:val="0"/>
          <w:color w:val="auto"/>
          <w:sz w:val="20"/>
          <w:szCs w:val="20"/>
        </w:rPr>
        <w:t>ti II</w:t>
      </w:r>
      <w:r w:rsidR="0ABDB92C" w:rsidRPr="6C54F3A7">
        <w:rPr>
          <w:rFonts w:asciiTheme="minorHAnsi" w:eastAsiaTheme="minorEastAsia" w:hAnsiTheme="minorHAnsi" w:cstheme="minorBidi"/>
          <w:i w:val="0"/>
          <w:iCs w:val="0"/>
          <w:color w:val="auto"/>
          <w:sz w:val="20"/>
          <w:szCs w:val="20"/>
        </w:rPr>
        <w:t>.</w:t>
      </w:r>
      <w:r w:rsidR="57F422A3" w:rsidRPr="6C54F3A7">
        <w:rPr>
          <w:rFonts w:asciiTheme="minorHAnsi" w:eastAsiaTheme="minorEastAsia" w:hAnsiTheme="minorHAnsi" w:cstheme="minorBidi"/>
          <w:i w:val="0"/>
          <w:iCs w:val="0"/>
          <w:color w:val="auto"/>
          <w:sz w:val="20"/>
          <w:szCs w:val="20"/>
        </w:rPr>
        <w:t xml:space="preserve"> </w:t>
      </w:r>
    </w:p>
    <w:p w14:paraId="6064DCFB" w14:textId="1E7394CB" w:rsidR="00245A82" w:rsidRPr="00992741" w:rsidRDefault="2BC8D200"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 xml:space="preserve">Dokladem jejich úspěšnosti je množství aplikovaných </w:t>
      </w:r>
      <w:r w:rsidR="11C4B70F" w:rsidRPr="6C54F3A7">
        <w:rPr>
          <w:rFonts w:asciiTheme="minorHAnsi" w:eastAsiaTheme="minorEastAsia" w:hAnsiTheme="minorHAnsi" w:cstheme="minorBidi"/>
          <w:i w:val="0"/>
          <w:iCs w:val="0"/>
          <w:color w:val="auto"/>
          <w:sz w:val="20"/>
          <w:szCs w:val="20"/>
        </w:rPr>
        <w:t>i </w:t>
      </w:r>
      <w:r w:rsidRPr="6C54F3A7">
        <w:rPr>
          <w:rFonts w:asciiTheme="minorHAnsi" w:eastAsiaTheme="minorEastAsia" w:hAnsiTheme="minorHAnsi" w:cstheme="minorBidi"/>
          <w:i w:val="0"/>
          <w:iCs w:val="0"/>
          <w:color w:val="auto"/>
          <w:sz w:val="20"/>
          <w:szCs w:val="20"/>
        </w:rPr>
        <w:t xml:space="preserve">publikačních výsledků v Informačním systému výzkumu, vývoje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 xml:space="preserve">inovací (IS </w:t>
      </w:r>
      <w:proofErr w:type="spellStart"/>
      <w:r w:rsidRPr="6C54F3A7">
        <w:rPr>
          <w:rFonts w:asciiTheme="minorHAnsi" w:eastAsiaTheme="minorEastAsia" w:hAnsiTheme="minorHAnsi" w:cstheme="minorBidi"/>
          <w:i w:val="0"/>
          <w:iCs w:val="0"/>
          <w:color w:val="auto"/>
          <w:sz w:val="20"/>
          <w:szCs w:val="20"/>
        </w:rPr>
        <w:t>VaVaI</w:t>
      </w:r>
      <w:proofErr w:type="spellEnd"/>
      <w:r w:rsidRPr="6C54F3A7">
        <w:rPr>
          <w:rFonts w:asciiTheme="minorHAnsi" w:eastAsiaTheme="minorEastAsia" w:hAnsiTheme="minorHAnsi" w:cstheme="minorBidi"/>
          <w:i w:val="0"/>
          <w:iCs w:val="0"/>
          <w:color w:val="auto"/>
          <w:sz w:val="20"/>
          <w:szCs w:val="20"/>
        </w:rPr>
        <w:t>) centrálně spravovaného</w:t>
      </w:r>
      <w:r w:rsidR="7AA2D90B" w:rsidRPr="6C54F3A7">
        <w:rPr>
          <w:rFonts w:asciiTheme="minorHAnsi" w:eastAsiaTheme="minorEastAsia" w:hAnsiTheme="minorHAnsi" w:cstheme="minorBidi"/>
          <w:i w:val="0"/>
          <w:iCs w:val="0"/>
          <w:color w:val="auto"/>
          <w:sz w:val="20"/>
          <w:szCs w:val="20"/>
        </w:rPr>
        <w:t xml:space="preserve"> </w:t>
      </w:r>
      <w:r w:rsidRPr="6C54F3A7">
        <w:rPr>
          <w:rFonts w:asciiTheme="minorHAnsi" w:eastAsiaTheme="minorEastAsia" w:hAnsiTheme="minorHAnsi" w:cstheme="minorBidi"/>
          <w:i w:val="0"/>
          <w:iCs w:val="0"/>
          <w:color w:val="auto"/>
          <w:sz w:val="20"/>
          <w:szCs w:val="20"/>
        </w:rPr>
        <w:t xml:space="preserve">na národní úrovni Radou pro výzkum, vývoj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 xml:space="preserve">inovace ČR, které k projektům NPU </w:t>
      </w:r>
      <w:r w:rsidR="11C4B70F" w:rsidRPr="6C54F3A7">
        <w:rPr>
          <w:rFonts w:asciiTheme="minorHAnsi" w:eastAsiaTheme="minorEastAsia" w:hAnsiTheme="minorHAnsi" w:cstheme="minorBidi"/>
          <w:i w:val="0"/>
          <w:iCs w:val="0"/>
          <w:color w:val="auto"/>
          <w:sz w:val="20"/>
          <w:szCs w:val="20"/>
        </w:rPr>
        <w:t>I a </w:t>
      </w:r>
      <w:r w:rsidRPr="6C54F3A7">
        <w:rPr>
          <w:rFonts w:asciiTheme="minorHAnsi" w:eastAsiaTheme="minorEastAsia" w:hAnsiTheme="minorHAnsi" w:cstheme="minorBidi"/>
          <w:i w:val="0"/>
          <w:iCs w:val="0"/>
          <w:color w:val="auto"/>
          <w:sz w:val="20"/>
          <w:szCs w:val="20"/>
        </w:rPr>
        <w:t>NPU II náleží, nebo výsledky uváděné v citačních databázích W</w:t>
      </w:r>
      <w:r w:rsidR="7AA2D90B" w:rsidRPr="6C54F3A7">
        <w:rPr>
          <w:rFonts w:asciiTheme="minorHAnsi" w:eastAsiaTheme="minorEastAsia" w:hAnsiTheme="minorHAnsi" w:cstheme="minorBidi"/>
          <w:i w:val="0"/>
          <w:iCs w:val="0"/>
          <w:color w:val="auto"/>
          <w:sz w:val="20"/>
          <w:szCs w:val="20"/>
        </w:rPr>
        <w:t xml:space="preserve">eb </w:t>
      </w:r>
      <w:proofErr w:type="spellStart"/>
      <w:r w:rsidR="7AA2D90B" w:rsidRPr="6C54F3A7">
        <w:rPr>
          <w:rFonts w:asciiTheme="minorHAnsi" w:eastAsiaTheme="minorEastAsia" w:hAnsiTheme="minorHAnsi" w:cstheme="minorBidi"/>
          <w:i w:val="0"/>
          <w:iCs w:val="0"/>
          <w:color w:val="auto"/>
          <w:sz w:val="20"/>
          <w:szCs w:val="20"/>
        </w:rPr>
        <w:t>of</w:t>
      </w:r>
      <w:proofErr w:type="spellEnd"/>
      <w:r w:rsidR="7AA2D90B" w:rsidRPr="6C54F3A7">
        <w:rPr>
          <w:rFonts w:asciiTheme="minorHAnsi" w:eastAsiaTheme="minorEastAsia" w:hAnsiTheme="minorHAnsi" w:cstheme="minorBidi"/>
          <w:i w:val="0"/>
          <w:iCs w:val="0"/>
          <w:color w:val="auto"/>
          <w:sz w:val="20"/>
          <w:szCs w:val="20"/>
        </w:rPr>
        <w:t xml:space="preserve"> Science nebo</w:t>
      </w:r>
      <w:r w:rsidRPr="6C54F3A7">
        <w:rPr>
          <w:rFonts w:asciiTheme="minorHAnsi" w:eastAsiaTheme="minorEastAsia" w:hAnsiTheme="minorHAnsi" w:cstheme="minorBidi"/>
          <w:i w:val="0"/>
          <w:iCs w:val="0"/>
          <w:color w:val="auto"/>
          <w:sz w:val="20"/>
          <w:szCs w:val="20"/>
        </w:rPr>
        <w:t xml:space="preserve"> </w:t>
      </w:r>
      <w:proofErr w:type="spellStart"/>
      <w:r w:rsidRPr="6C54F3A7">
        <w:rPr>
          <w:rFonts w:asciiTheme="minorHAnsi" w:eastAsiaTheme="minorEastAsia" w:hAnsiTheme="minorHAnsi" w:cstheme="minorBidi"/>
          <w:i w:val="0"/>
          <w:iCs w:val="0"/>
          <w:color w:val="auto"/>
          <w:sz w:val="20"/>
          <w:szCs w:val="20"/>
        </w:rPr>
        <w:t>Scopus</w:t>
      </w:r>
      <w:proofErr w:type="spellEnd"/>
      <w:r w:rsidRPr="6C54F3A7">
        <w:rPr>
          <w:rFonts w:asciiTheme="minorHAnsi" w:eastAsiaTheme="minorEastAsia" w:hAnsiTheme="minorHAnsi" w:cstheme="minorBidi"/>
          <w:i w:val="0"/>
          <w:iCs w:val="0"/>
          <w:color w:val="auto"/>
          <w:sz w:val="20"/>
          <w:szCs w:val="20"/>
        </w:rPr>
        <w:t xml:space="preserve">, jejichž autory jsou členové řešitelských týmů těchto projektů. Nezanedbatelné jsou </w:t>
      </w:r>
      <w:r w:rsidR="11C4B70F" w:rsidRPr="6C54F3A7">
        <w:rPr>
          <w:rFonts w:asciiTheme="minorHAnsi" w:eastAsiaTheme="minorEastAsia" w:hAnsiTheme="minorHAnsi" w:cstheme="minorBidi"/>
          <w:i w:val="0"/>
          <w:iCs w:val="0"/>
          <w:color w:val="auto"/>
          <w:sz w:val="20"/>
          <w:szCs w:val="20"/>
        </w:rPr>
        <w:t>i </w:t>
      </w:r>
      <w:r w:rsidRPr="6C54F3A7">
        <w:rPr>
          <w:rFonts w:asciiTheme="minorHAnsi" w:eastAsiaTheme="minorEastAsia" w:hAnsiTheme="minorHAnsi" w:cstheme="minorBidi"/>
          <w:i w:val="0"/>
          <w:iCs w:val="0"/>
          <w:color w:val="auto"/>
          <w:sz w:val="20"/>
          <w:szCs w:val="20"/>
        </w:rPr>
        <w:t xml:space="preserve">výsledky hodnocení Metodikou 17+, schválné vládou ČR v roce 2017, která potvrzuje vysokou produkci </w:t>
      </w:r>
      <w:r w:rsidR="11C4B70F" w:rsidRPr="6C54F3A7">
        <w:rPr>
          <w:rFonts w:asciiTheme="minorHAnsi" w:eastAsiaTheme="minorEastAsia" w:hAnsiTheme="minorHAnsi" w:cstheme="minorBidi"/>
          <w:i w:val="0"/>
          <w:iCs w:val="0"/>
          <w:color w:val="auto"/>
          <w:sz w:val="20"/>
          <w:szCs w:val="20"/>
        </w:rPr>
        <w:t>i </w:t>
      </w:r>
      <w:r w:rsidRPr="6C54F3A7">
        <w:rPr>
          <w:rFonts w:asciiTheme="minorHAnsi" w:eastAsiaTheme="minorEastAsia" w:hAnsiTheme="minorHAnsi" w:cstheme="minorBidi"/>
          <w:i w:val="0"/>
          <w:iCs w:val="0"/>
          <w:color w:val="auto"/>
          <w:sz w:val="20"/>
          <w:szCs w:val="20"/>
        </w:rPr>
        <w:t xml:space="preserve">kvalitu výsledků těchto center. Řada těchto center </w:t>
      </w:r>
      <w:r w:rsidR="53FBAB55" w:rsidRPr="6C54F3A7">
        <w:rPr>
          <w:rFonts w:asciiTheme="minorHAnsi" w:eastAsiaTheme="minorEastAsia" w:hAnsiTheme="minorHAnsi" w:cstheme="minorBidi"/>
          <w:i w:val="0"/>
          <w:iCs w:val="0"/>
          <w:color w:val="auto"/>
          <w:sz w:val="20"/>
          <w:szCs w:val="20"/>
        </w:rPr>
        <w:t>úspěšně spolupracuje s velkými výzkumnými infrastrukturami zařazenými na cestovní mapu ČR nebo je, jako např. BIOCEV nebo CEITEC přímo provozuje.</w:t>
      </w:r>
      <w:r w:rsidRPr="6C54F3A7">
        <w:rPr>
          <w:rFonts w:asciiTheme="minorHAnsi" w:eastAsiaTheme="minorEastAsia" w:hAnsiTheme="minorHAnsi" w:cstheme="minorBidi"/>
          <w:i w:val="0"/>
          <w:iCs w:val="0"/>
          <w:color w:val="auto"/>
          <w:sz w:val="20"/>
          <w:szCs w:val="20"/>
        </w:rPr>
        <w:t xml:space="preserve"> </w:t>
      </w:r>
      <w:r w:rsidR="53FBAB55" w:rsidRPr="6C54F3A7">
        <w:rPr>
          <w:rFonts w:asciiTheme="minorHAnsi" w:eastAsiaTheme="minorEastAsia" w:hAnsiTheme="minorHAnsi" w:cstheme="minorBidi"/>
          <w:i w:val="0"/>
          <w:iCs w:val="0"/>
          <w:color w:val="auto"/>
          <w:sz w:val="20"/>
          <w:szCs w:val="20"/>
        </w:rPr>
        <w:t xml:space="preserve">Projektové týmy se aktivně účastní aktivit H2020 </w:t>
      </w:r>
      <w:r w:rsidR="11C4B70F" w:rsidRPr="6C54F3A7">
        <w:rPr>
          <w:rFonts w:asciiTheme="minorHAnsi" w:eastAsiaTheme="minorEastAsia" w:hAnsiTheme="minorHAnsi" w:cstheme="minorBidi"/>
          <w:i w:val="0"/>
          <w:iCs w:val="0"/>
          <w:color w:val="auto"/>
          <w:sz w:val="20"/>
          <w:szCs w:val="20"/>
        </w:rPr>
        <w:t>a </w:t>
      </w:r>
      <w:r w:rsidR="53FBAB55" w:rsidRPr="6C54F3A7">
        <w:rPr>
          <w:rFonts w:asciiTheme="minorHAnsi" w:eastAsiaTheme="minorEastAsia" w:hAnsiTheme="minorHAnsi" w:cstheme="minorBidi"/>
          <w:i w:val="0"/>
          <w:iCs w:val="0"/>
          <w:color w:val="auto"/>
          <w:sz w:val="20"/>
          <w:szCs w:val="20"/>
        </w:rPr>
        <w:t>klastrová analýza ukázala</w:t>
      </w:r>
      <w:r w:rsidR="637FD20B" w:rsidRPr="6C54F3A7">
        <w:rPr>
          <w:rFonts w:asciiTheme="minorHAnsi" w:eastAsiaTheme="minorEastAsia" w:hAnsiTheme="minorHAnsi" w:cstheme="minorBidi"/>
          <w:i w:val="0"/>
          <w:iCs w:val="0"/>
          <w:color w:val="auto"/>
          <w:sz w:val="20"/>
          <w:szCs w:val="20"/>
        </w:rPr>
        <w:t xml:space="preserve"> generování dalších projektů </w:t>
      </w:r>
      <w:proofErr w:type="spellStart"/>
      <w:r w:rsidR="637FD20B" w:rsidRPr="6C54F3A7">
        <w:rPr>
          <w:rFonts w:asciiTheme="minorHAnsi" w:eastAsiaTheme="minorEastAsia" w:hAnsiTheme="minorHAnsi" w:cstheme="minorBidi"/>
          <w:i w:val="0"/>
          <w:iCs w:val="0"/>
          <w:color w:val="auto"/>
          <w:sz w:val="20"/>
          <w:szCs w:val="20"/>
        </w:rPr>
        <w:t>VaVaI</w:t>
      </w:r>
      <w:proofErr w:type="spellEnd"/>
      <w:r w:rsidR="637FD20B" w:rsidRPr="6C54F3A7">
        <w:rPr>
          <w:rFonts w:asciiTheme="minorHAnsi" w:eastAsiaTheme="minorEastAsia" w:hAnsiTheme="minorHAnsi" w:cstheme="minorBidi"/>
          <w:i w:val="0"/>
          <w:iCs w:val="0"/>
          <w:color w:val="auto"/>
          <w:sz w:val="20"/>
          <w:szCs w:val="20"/>
        </w:rPr>
        <w:t xml:space="preserve"> </w:t>
      </w:r>
      <w:r w:rsidR="11C4B70F" w:rsidRPr="6C54F3A7">
        <w:rPr>
          <w:rFonts w:asciiTheme="minorHAnsi" w:eastAsiaTheme="minorEastAsia" w:hAnsiTheme="minorHAnsi" w:cstheme="minorBidi"/>
          <w:i w:val="0"/>
          <w:iCs w:val="0"/>
          <w:color w:val="auto"/>
          <w:sz w:val="20"/>
          <w:szCs w:val="20"/>
        </w:rPr>
        <w:t>a </w:t>
      </w:r>
      <w:r w:rsidR="637FD20B" w:rsidRPr="6C54F3A7">
        <w:rPr>
          <w:rFonts w:asciiTheme="minorHAnsi" w:eastAsiaTheme="minorEastAsia" w:hAnsiTheme="minorHAnsi" w:cstheme="minorBidi"/>
          <w:i w:val="0"/>
          <w:iCs w:val="0"/>
          <w:color w:val="auto"/>
          <w:sz w:val="20"/>
          <w:szCs w:val="20"/>
        </w:rPr>
        <w:t xml:space="preserve">značnou </w:t>
      </w:r>
      <w:r w:rsidR="53FBAB55" w:rsidRPr="6C54F3A7">
        <w:rPr>
          <w:rFonts w:asciiTheme="minorHAnsi" w:eastAsiaTheme="minorEastAsia" w:hAnsiTheme="minorHAnsi" w:cstheme="minorBidi"/>
          <w:i w:val="0"/>
          <w:iCs w:val="0"/>
          <w:color w:val="auto"/>
          <w:sz w:val="20"/>
          <w:szCs w:val="20"/>
        </w:rPr>
        <w:t xml:space="preserve">četnost spolupráce v dalších </w:t>
      </w:r>
      <w:r w:rsidR="637FD20B" w:rsidRPr="6C54F3A7">
        <w:rPr>
          <w:rFonts w:asciiTheme="minorHAnsi" w:eastAsiaTheme="minorEastAsia" w:hAnsiTheme="minorHAnsi" w:cstheme="minorBidi"/>
          <w:i w:val="0"/>
          <w:iCs w:val="0"/>
          <w:color w:val="auto"/>
          <w:sz w:val="20"/>
          <w:szCs w:val="20"/>
        </w:rPr>
        <w:t xml:space="preserve">programech </w:t>
      </w:r>
      <w:r w:rsidR="11C4B70F" w:rsidRPr="6C54F3A7">
        <w:rPr>
          <w:rFonts w:asciiTheme="minorHAnsi" w:eastAsiaTheme="minorEastAsia" w:hAnsiTheme="minorHAnsi" w:cstheme="minorBidi"/>
          <w:i w:val="0"/>
          <w:iCs w:val="0"/>
          <w:color w:val="auto"/>
          <w:sz w:val="20"/>
          <w:szCs w:val="20"/>
        </w:rPr>
        <w:t>a </w:t>
      </w:r>
      <w:r w:rsidR="53FBAB55" w:rsidRPr="6C54F3A7">
        <w:rPr>
          <w:rFonts w:asciiTheme="minorHAnsi" w:eastAsiaTheme="minorEastAsia" w:hAnsiTheme="minorHAnsi" w:cstheme="minorBidi"/>
          <w:i w:val="0"/>
          <w:iCs w:val="0"/>
          <w:color w:val="auto"/>
          <w:sz w:val="20"/>
          <w:szCs w:val="20"/>
        </w:rPr>
        <w:t xml:space="preserve">projektech </w:t>
      </w:r>
      <w:r w:rsidR="637FD20B" w:rsidRPr="6C54F3A7">
        <w:rPr>
          <w:rFonts w:asciiTheme="minorHAnsi" w:eastAsiaTheme="minorEastAsia" w:hAnsiTheme="minorHAnsi" w:cstheme="minorBidi"/>
          <w:i w:val="0"/>
          <w:iCs w:val="0"/>
          <w:color w:val="auto"/>
          <w:sz w:val="20"/>
          <w:szCs w:val="20"/>
        </w:rPr>
        <w:t>aplikovaného výzkumu</w:t>
      </w:r>
      <w:r w:rsidR="53FBAB55" w:rsidRPr="6C54F3A7">
        <w:rPr>
          <w:rFonts w:asciiTheme="minorHAnsi" w:eastAsiaTheme="minorEastAsia" w:hAnsiTheme="minorHAnsi" w:cstheme="minorBidi"/>
          <w:i w:val="0"/>
          <w:iCs w:val="0"/>
          <w:color w:val="auto"/>
          <w:sz w:val="20"/>
          <w:szCs w:val="20"/>
        </w:rPr>
        <w:t>.</w:t>
      </w:r>
    </w:p>
    <w:p w14:paraId="5B79BDAD" w14:textId="3E43D640" w:rsidR="00AF4815" w:rsidRPr="00992741" w:rsidRDefault="11C4B70F"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I </w:t>
      </w:r>
      <w:r w:rsidR="637FD20B" w:rsidRPr="6C54F3A7">
        <w:rPr>
          <w:rFonts w:asciiTheme="minorHAnsi" w:eastAsiaTheme="minorEastAsia" w:hAnsiTheme="minorHAnsi" w:cstheme="minorBidi"/>
          <w:i w:val="0"/>
          <w:iCs w:val="0"/>
          <w:color w:val="auto"/>
          <w:sz w:val="20"/>
          <w:szCs w:val="20"/>
        </w:rPr>
        <w:t xml:space="preserve">mimo tato centra existují v ČR individualizovaná špičková pracoviště </w:t>
      </w:r>
      <w:r w:rsidR="671E4327" w:rsidRPr="6C54F3A7">
        <w:rPr>
          <w:rFonts w:asciiTheme="minorHAnsi" w:eastAsiaTheme="minorEastAsia" w:hAnsiTheme="minorHAnsi" w:cstheme="minorBidi"/>
          <w:i w:val="0"/>
          <w:iCs w:val="0"/>
          <w:color w:val="auto"/>
          <w:sz w:val="20"/>
          <w:szCs w:val="20"/>
        </w:rPr>
        <w:t xml:space="preserve">s mezinárodním věhlasem </w:t>
      </w:r>
      <w:r w:rsidR="637FD20B" w:rsidRPr="6C54F3A7">
        <w:rPr>
          <w:rFonts w:asciiTheme="minorHAnsi" w:eastAsiaTheme="minorEastAsia" w:hAnsiTheme="minorHAnsi" w:cstheme="minorBidi"/>
          <w:i w:val="0"/>
          <w:iCs w:val="0"/>
          <w:color w:val="auto"/>
          <w:sz w:val="20"/>
          <w:szCs w:val="20"/>
        </w:rPr>
        <w:t>(např. I</w:t>
      </w:r>
      <w:r w:rsidR="671E4327" w:rsidRPr="6C54F3A7">
        <w:rPr>
          <w:rFonts w:asciiTheme="minorHAnsi" w:eastAsiaTheme="minorEastAsia" w:hAnsiTheme="minorHAnsi" w:cstheme="minorBidi"/>
          <w:i w:val="0"/>
          <w:iCs w:val="0"/>
          <w:color w:val="auto"/>
          <w:sz w:val="20"/>
          <w:szCs w:val="20"/>
        </w:rPr>
        <w:t xml:space="preserve">nstitut klinické </w:t>
      </w:r>
      <w:r w:rsidRPr="6C54F3A7">
        <w:rPr>
          <w:rFonts w:asciiTheme="minorHAnsi" w:eastAsiaTheme="minorEastAsia" w:hAnsiTheme="minorHAnsi" w:cstheme="minorBidi"/>
          <w:i w:val="0"/>
          <w:iCs w:val="0"/>
          <w:color w:val="auto"/>
          <w:sz w:val="20"/>
          <w:szCs w:val="20"/>
        </w:rPr>
        <w:t>a </w:t>
      </w:r>
      <w:r w:rsidR="671E4327" w:rsidRPr="6C54F3A7">
        <w:rPr>
          <w:rFonts w:asciiTheme="minorHAnsi" w:eastAsiaTheme="minorEastAsia" w:hAnsiTheme="minorHAnsi" w:cstheme="minorBidi"/>
          <w:i w:val="0"/>
          <w:iCs w:val="0"/>
          <w:color w:val="auto"/>
          <w:sz w:val="20"/>
          <w:szCs w:val="20"/>
        </w:rPr>
        <w:t>experimentální medicíny</w:t>
      </w:r>
      <w:r w:rsidR="637FD20B" w:rsidRPr="6C54F3A7">
        <w:rPr>
          <w:rFonts w:asciiTheme="minorHAnsi" w:eastAsiaTheme="minorEastAsia" w:hAnsiTheme="minorHAnsi" w:cstheme="minorBidi"/>
          <w:i w:val="0"/>
          <w:iCs w:val="0"/>
          <w:color w:val="auto"/>
          <w:sz w:val="20"/>
          <w:szCs w:val="20"/>
        </w:rPr>
        <w:t xml:space="preserve">), kde existuje významný potenciál pro kvalitativní změnu </w:t>
      </w:r>
      <w:r w:rsidR="0ABDB92C" w:rsidRPr="6C54F3A7">
        <w:rPr>
          <w:rFonts w:asciiTheme="minorHAnsi" w:eastAsiaTheme="minorEastAsia" w:hAnsiTheme="minorHAnsi" w:cstheme="minorBidi"/>
          <w:i w:val="0"/>
          <w:iCs w:val="0"/>
          <w:color w:val="auto"/>
          <w:sz w:val="20"/>
          <w:szCs w:val="20"/>
        </w:rPr>
        <w:t xml:space="preserve">prioritních oblastech lékařských věd </w:t>
      </w:r>
      <w:r w:rsidRPr="6C54F3A7">
        <w:rPr>
          <w:rFonts w:asciiTheme="minorHAnsi" w:eastAsiaTheme="minorEastAsia" w:hAnsiTheme="minorHAnsi" w:cstheme="minorBidi"/>
          <w:i w:val="0"/>
          <w:iCs w:val="0"/>
          <w:color w:val="auto"/>
          <w:sz w:val="20"/>
          <w:szCs w:val="20"/>
        </w:rPr>
        <w:t>a </w:t>
      </w:r>
      <w:r w:rsidR="0ABDB92C" w:rsidRPr="6C54F3A7">
        <w:rPr>
          <w:rFonts w:asciiTheme="minorHAnsi" w:eastAsiaTheme="minorEastAsia" w:hAnsiTheme="minorHAnsi" w:cstheme="minorBidi"/>
          <w:i w:val="0"/>
          <w:iCs w:val="0"/>
          <w:color w:val="auto"/>
          <w:sz w:val="20"/>
          <w:szCs w:val="20"/>
        </w:rPr>
        <w:t>souvisejících společenskovědních disciplínách</w:t>
      </w:r>
      <w:r w:rsidR="280262AC" w:rsidRPr="6C54F3A7">
        <w:rPr>
          <w:rFonts w:asciiTheme="minorHAnsi" w:eastAsiaTheme="minorEastAsia" w:hAnsiTheme="minorHAnsi" w:cstheme="minorBidi"/>
          <w:i w:val="0"/>
          <w:iCs w:val="0"/>
          <w:color w:val="auto"/>
          <w:sz w:val="20"/>
          <w:szCs w:val="20"/>
        </w:rPr>
        <w:t xml:space="preserve">. Jejich úspěšnost </w:t>
      </w:r>
      <w:r w:rsidR="0ABDB92C" w:rsidRPr="6C54F3A7">
        <w:rPr>
          <w:rFonts w:asciiTheme="minorHAnsi" w:eastAsiaTheme="minorEastAsia" w:hAnsiTheme="minorHAnsi" w:cstheme="minorBidi"/>
          <w:i w:val="0"/>
          <w:iCs w:val="0"/>
          <w:color w:val="auto"/>
          <w:sz w:val="20"/>
          <w:szCs w:val="20"/>
        </w:rPr>
        <w:t>vyplývá z </w:t>
      </w:r>
      <w:proofErr w:type="spellStart"/>
      <w:r w:rsidR="0ABDB92C" w:rsidRPr="6C54F3A7">
        <w:rPr>
          <w:rFonts w:asciiTheme="minorHAnsi" w:eastAsiaTheme="minorEastAsia" w:hAnsiTheme="minorHAnsi" w:cstheme="minorBidi"/>
          <w:i w:val="0"/>
          <w:iCs w:val="0"/>
          <w:color w:val="auto"/>
          <w:sz w:val="20"/>
          <w:szCs w:val="20"/>
        </w:rPr>
        <w:t>bibliometrických</w:t>
      </w:r>
      <w:proofErr w:type="spellEnd"/>
      <w:r w:rsidR="0ABDB92C" w:rsidRPr="6C54F3A7">
        <w:rPr>
          <w:rFonts w:asciiTheme="minorHAnsi" w:eastAsiaTheme="minorEastAsia" w:hAnsiTheme="minorHAnsi" w:cstheme="minorBidi"/>
          <w:i w:val="0"/>
          <w:iCs w:val="0"/>
          <w:color w:val="auto"/>
          <w:sz w:val="20"/>
          <w:szCs w:val="20"/>
        </w:rPr>
        <w:t xml:space="preserve"> dat nebo </w:t>
      </w:r>
      <w:r w:rsidR="4CEC6F79" w:rsidRPr="6C54F3A7">
        <w:rPr>
          <w:rFonts w:asciiTheme="minorHAnsi" w:eastAsiaTheme="minorEastAsia" w:hAnsiTheme="minorHAnsi" w:cstheme="minorBidi"/>
          <w:i w:val="0"/>
          <w:iCs w:val="0"/>
          <w:color w:val="auto"/>
          <w:sz w:val="20"/>
          <w:szCs w:val="20"/>
        </w:rPr>
        <w:t xml:space="preserve">analyticky zpracovaných </w:t>
      </w:r>
      <w:r w:rsidR="0ABDB92C" w:rsidRPr="6C54F3A7">
        <w:rPr>
          <w:rFonts w:asciiTheme="minorHAnsi" w:eastAsiaTheme="minorEastAsia" w:hAnsiTheme="minorHAnsi" w:cstheme="minorBidi"/>
          <w:i w:val="0"/>
          <w:iCs w:val="0"/>
          <w:color w:val="auto"/>
          <w:sz w:val="20"/>
          <w:szCs w:val="20"/>
        </w:rPr>
        <w:t>map spolupráce</w:t>
      </w:r>
      <w:r w:rsidR="4CEC6F79" w:rsidRPr="6C54F3A7">
        <w:rPr>
          <w:rFonts w:asciiTheme="minorHAnsi" w:eastAsiaTheme="minorEastAsia" w:hAnsiTheme="minorHAnsi" w:cstheme="minorBidi"/>
          <w:i w:val="0"/>
          <w:iCs w:val="0"/>
          <w:color w:val="auto"/>
          <w:sz w:val="20"/>
          <w:szCs w:val="20"/>
        </w:rPr>
        <w:t xml:space="preserve"> výzkumné a aplikační sféry</w:t>
      </w:r>
      <w:r w:rsidR="65189169" w:rsidRPr="6C54F3A7">
        <w:rPr>
          <w:rFonts w:asciiTheme="minorHAnsi" w:eastAsiaTheme="minorEastAsia" w:hAnsiTheme="minorHAnsi" w:cstheme="minorBidi"/>
          <w:i w:val="0"/>
          <w:iCs w:val="0"/>
          <w:color w:val="auto"/>
          <w:sz w:val="20"/>
          <w:szCs w:val="20"/>
        </w:rPr>
        <w:t>, které</w:t>
      </w:r>
      <w:r w:rsidR="7AA2D90B" w:rsidRPr="6C54F3A7">
        <w:rPr>
          <w:rFonts w:asciiTheme="minorHAnsi" w:eastAsiaTheme="minorEastAsia" w:hAnsiTheme="minorHAnsi" w:cstheme="minorBidi"/>
          <w:i w:val="0"/>
          <w:iCs w:val="0"/>
          <w:color w:val="auto"/>
          <w:sz w:val="20"/>
          <w:szCs w:val="20"/>
        </w:rPr>
        <w:t xml:space="preserve"> </w:t>
      </w:r>
      <w:r w:rsidR="4CEC6F79" w:rsidRPr="6C54F3A7">
        <w:rPr>
          <w:rFonts w:asciiTheme="minorHAnsi" w:eastAsiaTheme="minorEastAsia" w:hAnsiTheme="minorHAnsi" w:cstheme="minorBidi"/>
          <w:i w:val="0"/>
          <w:iCs w:val="0"/>
          <w:color w:val="auto"/>
          <w:sz w:val="20"/>
          <w:szCs w:val="20"/>
        </w:rPr>
        <w:t>vycházejí</w:t>
      </w:r>
      <w:r w:rsidR="0ABDB92C" w:rsidRPr="6C54F3A7">
        <w:rPr>
          <w:rFonts w:asciiTheme="minorHAnsi" w:eastAsiaTheme="minorEastAsia" w:hAnsiTheme="minorHAnsi" w:cstheme="minorBidi"/>
          <w:i w:val="0"/>
          <w:iCs w:val="0"/>
          <w:color w:val="auto"/>
          <w:sz w:val="20"/>
          <w:szCs w:val="20"/>
        </w:rPr>
        <w:t xml:space="preserve"> </w:t>
      </w:r>
      <w:r w:rsidR="4CEC6F79" w:rsidRPr="6C54F3A7">
        <w:rPr>
          <w:rFonts w:asciiTheme="minorHAnsi" w:eastAsiaTheme="minorEastAsia" w:hAnsiTheme="minorHAnsi" w:cstheme="minorBidi"/>
          <w:i w:val="0"/>
          <w:iCs w:val="0"/>
          <w:color w:val="auto"/>
          <w:sz w:val="20"/>
          <w:szCs w:val="20"/>
        </w:rPr>
        <w:t xml:space="preserve">z </w:t>
      </w:r>
      <w:r w:rsidR="0ABDB92C" w:rsidRPr="6C54F3A7">
        <w:rPr>
          <w:rFonts w:asciiTheme="minorHAnsi" w:eastAsiaTheme="minorEastAsia" w:hAnsiTheme="minorHAnsi" w:cstheme="minorBidi"/>
          <w:i w:val="0"/>
          <w:iCs w:val="0"/>
          <w:color w:val="auto"/>
          <w:sz w:val="20"/>
          <w:szCs w:val="20"/>
        </w:rPr>
        <w:t xml:space="preserve">dat IS </w:t>
      </w:r>
      <w:proofErr w:type="spellStart"/>
      <w:r w:rsidR="0ABDB92C" w:rsidRPr="6C54F3A7">
        <w:rPr>
          <w:rFonts w:asciiTheme="minorHAnsi" w:eastAsiaTheme="minorEastAsia" w:hAnsiTheme="minorHAnsi" w:cstheme="minorBidi"/>
          <w:i w:val="0"/>
          <w:iCs w:val="0"/>
          <w:color w:val="auto"/>
          <w:sz w:val="20"/>
          <w:szCs w:val="20"/>
        </w:rPr>
        <w:t>VaVaI</w:t>
      </w:r>
      <w:proofErr w:type="spellEnd"/>
      <w:r w:rsidR="0ABDB92C" w:rsidRPr="6C54F3A7">
        <w:rPr>
          <w:rFonts w:asciiTheme="minorHAnsi" w:eastAsiaTheme="minorEastAsia" w:hAnsiTheme="minorHAnsi" w:cstheme="minorBidi"/>
          <w:i w:val="0"/>
          <w:iCs w:val="0"/>
          <w:color w:val="auto"/>
          <w:sz w:val="20"/>
          <w:szCs w:val="20"/>
        </w:rPr>
        <w:t xml:space="preserve">. Kartogramy Českého statistického úřadu zase prokazují, že v lokalitách, kde tato centra působí jsou v lékařských oborech k dispozici </w:t>
      </w:r>
      <w:r w:rsidRPr="6C54F3A7">
        <w:rPr>
          <w:rFonts w:asciiTheme="minorHAnsi" w:eastAsiaTheme="minorEastAsia" w:hAnsiTheme="minorHAnsi" w:cstheme="minorBidi"/>
          <w:i w:val="0"/>
          <w:iCs w:val="0"/>
          <w:color w:val="auto"/>
          <w:sz w:val="20"/>
          <w:szCs w:val="20"/>
        </w:rPr>
        <w:t>i </w:t>
      </w:r>
      <w:r w:rsidR="0ABDB92C" w:rsidRPr="6C54F3A7">
        <w:rPr>
          <w:rFonts w:asciiTheme="minorHAnsi" w:eastAsiaTheme="minorEastAsia" w:hAnsiTheme="minorHAnsi" w:cstheme="minorBidi"/>
          <w:i w:val="0"/>
          <w:iCs w:val="0"/>
          <w:color w:val="auto"/>
          <w:sz w:val="20"/>
          <w:szCs w:val="20"/>
        </w:rPr>
        <w:t xml:space="preserve">zahraniční výzkumníci </w:t>
      </w:r>
      <w:r w:rsidRPr="6C54F3A7">
        <w:rPr>
          <w:rFonts w:asciiTheme="minorHAnsi" w:eastAsiaTheme="minorEastAsia" w:hAnsiTheme="minorHAnsi" w:cstheme="minorBidi"/>
          <w:i w:val="0"/>
          <w:iCs w:val="0"/>
          <w:color w:val="auto"/>
          <w:sz w:val="20"/>
          <w:szCs w:val="20"/>
        </w:rPr>
        <w:t>a </w:t>
      </w:r>
      <w:r w:rsidR="0ABDB92C" w:rsidRPr="6C54F3A7">
        <w:rPr>
          <w:rFonts w:asciiTheme="minorHAnsi" w:eastAsiaTheme="minorEastAsia" w:hAnsiTheme="minorHAnsi" w:cstheme="minorBidi"/>
          <w:i w:val="0"/>
          <w:iCs w:val="0"/>
          <w:color w:val="auto"/>
          <w:sz w:val="20"/>
          <w:szCs w:val="20"/>
        </w:rPr>
        <w:t xml:space="preserve">daří se do těchto oborů získávat </w:t>
      </w:r>
      <w:r w:rsidR="280262AC" w:rsidRPr="6C54F3A7">
        <w:rPr>
          <w:rFonts w:asciiTheme="minorHAnsi" w:eastAsiaTheme="minorEastAsia" w:hAnsiTheme="minorHAnsi" w:cstheme="minorBidi"/>
          <w:i w:val="0"/>
          <w:iCs w:val="0"/>
          <w:color w:val="auto"/>
          <w:sz w:val="20"/>
          <w:szCs w:val="20"/>
        </w:rPr>
        <w:t xml:space="preserve">další potřebné </w:t>
      </w:r>
      <w:r w:rsidR="0ABDB92C" w:rsidRPr="6C54F3A7">
        <w:rPr>
          <w:rFonts w:asciiTheme="minorHAnsi" w:eastAsiaTheme="minorEastAsia" w:hAnsiTheme="minorHAnsi" w:cstheme="minorBidi"/>
          <w:i w:val="0"/>
          <w:iCs w:val="0"/>
          <w:color w:val="auto"/>
          <w:sz w:val="20"/>
          <w:szCs w:val="20"/>
        </w:rPr>
        <w:t xml:space="preserve">finanční prostředky. </w:t>
      </w:r>
    </w:p>
    <w:p w14:paraId="677BE5DD" w14:textId="30BD5054" w:rsidR="000C5199" w:rsidRPr="00992741" w:rsidRDefault="0ABDB92C"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 xml:space="preserve">Z obojího je ale také zřejmá </w:t>
      </w:r>
      <w:r w:rsidR="4CEC6F79" w:rsidRPr="6C54F3A7">
        <w:rPr>
          <w:rFonts w:asciiTheme="minorHAnsi" w:eastAsiaTheme="minorEastAsia" w:hAnsiTheme="minorHAnsi" w:cstheme="minorBidi"/>
          <w:i w:val="0"/>
          <w:iCs w:val="0"/>
          <w:color w:val="auto"/>
          <w:sz w:val="20"/>
          <w:szCs w:val="20"/>
        </w:rPr>
        <w:t>již zmi</w:t>
      </w:r>
      <w:r w:rsidR="686A8869" w:rsidRPr="6C54F3A7">
        <w:rPr>
          <w:rFonts w:asciiTheme="minorHAnsi" w:eastAsiaTheme="minorEastAsia" w:hAnsiTheme="minorHAnsi" w:cstheme="minorBidi"/>
          <w:i w:val="0"/>
          <w:iCs w:val="0"/>
          <w:color w:val="auto"/>
          <w:sz w:val="20"/>
          <w:szCs w:val="20"/>
        </w:rPr>
        <w:t xml:space="preserve">ňovaná a </w:t>
      </w:r>
      <w:r w:rsidRPr="6C54F3A7">
        <w:rPr>
          <w:rFonts w:asciiTheme="minorHAnsi" w:eastAsiaTheme="minorEastAsia" w:hAnsiTheme="minorHAnsi" w:cstheme="minorBidi"/>
          <w:i w:val="0"/>
          <w:iCs w:val="0"/>
          <w:color w:val="auto"/>
          <w:sz w:val="20"/>
          <w:szCs w:val="20"/>
        </w:rPr>
        <w:t>stále přetrvávající regionální roztříštěnost</w:t>
      </w:r>
      <w:r w:rsidR="65189169" w:rsidRPr="6C54F3A7">
        <w:rPr>
          <w:rFonts w:asciiTheme="minorHAnsi" w:eastAsiaTheme="minorEastAsia" w:hAnsiTheme="minorHAnsi" w:cstheme="minorBidi"/>
          <w:i w:val="0"/>
          <w:iCs w:val="0"/>
          <w:color w:val="auto"/>
          <w:sz w:val="20"/>
          <w:szCs w:val="20"/>
        </w:rPr>
        <w:t>, izolovanost v rámci ČR</w:t>
      </w:r>
      <w:r w:rsidRPr="6C54F3A7">
        <w:rPr>
          <w:rFonts w:asciiTheme="minorHAnsi" w:eastAsiaTheme="minorEastAsia" w:hAnsiTheme="minorHAnsi" w:cstheme="minorBidi"/>
          <w:i w:val="0"/>
          <w:iCs w:val="0"/>
          <w:color w:val="auto"/>
          <w:sz w:val="20"/>
          <w:szCs w:val="20"/>
        </w:rPr>
        <w:t xml:space="preserve">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stále nedostatečná míra spolupráce v identifikovaných prioritních oborech.</w:t>
      </w:r>
      <w:r w:rsidR="45EF0C6B" w:rsidRPr="6C54F3A7">
        <w:rPr>
          <w:rFonts w:asciiTheme="minorHAnsi" w:eastAsiaTheme="minorEastAsia" w:hAnsiTheme="minorHAnsi" w:cstheme="minorBidi"/>
          <w:i w:val="0"/>
          <w:iCs w:val="0"/>
          <w:color w:val="auto"/>
          <w:sz w:val="20"/>
          <w:szCs w:val="20"/>
        </w:rPr>
        <w:t xml:space="preserve"> Jednou z mála již poměrně komplexně fungujících interdisciplinárních </w:t>
      </w:r>
      <w:r w:rsidR="11C4B70F" w:rsidRPr="6C54F3A7">
        <w:rPr>
          <w:rFonts w:asciiTheme="minorHAnsi" w:eastAsiaTheme="minorEastAsia" w:hAnsiTheme="minorHAnsi" w:cstheme="minorBidi"/>
          <w:i w:val="0"/>
          <w:iCs w:val="0"/>
          <w:color w:val="auto"/>
          <w:sz w:val="20"/>
          <w:szCs w:val="20"/>
        </w:rPr>
        <w:t>a </w:t>
      </w:r>
      <w:r w:rsidR="0B5BFD06" w:rsidRPr="6C54F3A7">
        <w:rPr>
          <w:rFonts w:asciiTheme="minorHAnsi" w:eastAsiaTheme="minorEastAsia" w:hAnsiTheme="minorHAnsi" w:cstheme="minorBidi"/>
          <w:i w:val="0"/>
          <w:iCs w:val="0"/>
          <w:color w:val="auto"/>
          <w:sz w:val="20"/>
          <w:szCs w:val="20"/>
        </w:rPr>
        <w:t xml:space="preserve">poměrně dobře internacionalizovaných </w:t>
      </w:r>
      <w:r w:rsidR="45EF0C6B" w:rsidRPr="6C54F3A7">
        <w:rPr>
          <w:rFonts w:asciiTheme="minorHAnsi" w:eastAsiaTheme="minorEastAsia" w:hAnsiTheme="minorHAnsi" w:cstheme="minorBidi"/>
          <w:i w:val="0"/>
          <w:iCs w:val="0"/>
          <w:color w:val="auto"/>
          <w:sz w:val="20"/>
          <w:szCs w:val="20"/>
        </w:rPr>
        <w:t xml:space="preserve">„vlajkových lodí“ v navazujících oborech, které se staly v jistém slova smyslu „modelem“ </w:t>
      </w:r>
      <w:r w:rsidR="686A8869" w:rsidRPr="6C54F3A7">
        <w:rPr>
          <w:rFonts w:asciiTheme="minorHAnsi" w:eastAsiaTheme="minorEastAsia" w:hAnsiTheme="minorHAnsi" w:cstheme="minorBidi"/>
          <w:i w:val="0"/>
          <w:iCs w:val="0"/>
          <w:color w:val="auto"/>
          <w:sz w:val="20"/>
          <w:szCs w:val="20"/>
        </w:rPr>
        <w:t xml:space="preserve">a „dobrou praxí“ pro </w:t>
      </w:r>
      <w:r w:rsidR="45EF0C6B" w:rsidRPr="6C54F3A7">
        <w:rPr>
          <w:rFonts w:asciiTheme="minorHAnsi" w:eastAsiaTheme="minorEastAsia" w:hAnsiTheme="minorHAnsi" w:cstheme="minorBidi"/>
          <w:i w:val="0"/>
          <w:iCs w:val="0"/>
          <w:color w:val="auto"/>
          <w:sz w:val="20"/>
          <w:szCs w:val="20"/>
        </w:rPr>
        <w:t>cílov</w:t>
      </w:r>
      <w:r w:rsidR="686A8869" w:rsidRPr="6C54F3A7">
        <w:rPr>
          <w:rFonts w:asciiTheme="minorHAnsi" w:eastAsiaTheme="minorEastAsia" w:hAnsiTheme="minorHAnsi" w:cstheme="minorBidi"/>
          <w:i w:val="0"/>
          <w:iCs w:val="0"/>
          <w:color w:val="auto"/>
          <w:sz w:val="20"/>
          <w:szCs w:val="20"/>
        </w:rPr>
        <w:t>ý</w:t>
      </w:r>
      <w:r w:rsidR="45EF0C6B" w:rsidRPr="6C54F3A7">
        <w:rPr>
          <w:rFonts w:asciiTheme="minorHAnsi" w:eastAsiaTheme="minorEastAsia" w:hAnsiTheme="minorHAnsi" w:cstheme="minorBidi"/>
          <w:i w:val="0"/>
          <w:iCs w:val="0"/>
          <w:color w:val="auto"/>
          <w:sz w:val="20"/>
          <w:szCs w:val="20"/>
        </w:rPr>
        <w:t xml:space="preserve"> stav </w:t>
      </w:r>
      <w:r w:rsidR="686A8869" w:rsidRPr="6C54F3A7">
        <w:rPr>
          <w:rFonts w:asciiTheme="minorHAnsi" w:eastAsiaTheme="minorEastAsia" w:hAnsiTheme="minorHAnsi" w:cstheme="minorBidi"/>
          <w:i w:val="0"/>
          <w:iCs w:val="0"/>
          <w:color w:val="auto"/>
          <w:sz w:val="20"/>
          <w:szCs w:val="20"/>
        </w:rPr>
        <w:t xml:space="preserve">integrace a fungování vzorové národní výzkumné autority a očekávaného výsledku </w:t>
      </w:r>
      <w:r w:rsidR="65189169" w:rsidRPr="6C54F3A7">
        <w:rPr>
          <w:rFonts w:asciiTheme="minorHAnsi" w:eastAsiaTheme="minorEastAsia" w:hAnsiTheme="minorHAnsi" w:cstheme="minorBidi"/>
          <w:i w:val="0"/>
          <w:iCs w:val="0"/>
          <w:color w:val="auto"/>
          <w:sz w:val="20"/>
          <w:szCs w:val="20"/>
        </w:rPr>
        <w:t xml:space="preserve">jediné </w:t>
      </w:r>
      <w:r w:rsidR="686A8869" w:rsidRPr="6C54F3A7">
        <w:rPr>
          <w:rFonts w:asciiTheme="minorHAnsi" w:eastAsiaTheme="minorEastAsia" w:hAnsiTheme="minorHAnsi" w:cstheme="minorBidi"/>
          <w:i w:val="0"/>
          <w:iCs w:val="0"/>
          <w:color w:val="auto"/>
          <w:sz w:val="20"/>
          <w:szCs w:val="20"/>
        </w:rPr>
        <w:t>investice</w:t>
      </w:r>
      <w:r w:rsidR="45EF0C6B" w:rsidRPr="6C54F3A7">
        <w:rPr>
          <w:rFonts w:asciiTheme="minorHAnsi" w:eastAsiaTheme="minorEastAsia" w:hAnsiTheme="minorHAnsi" w:cstheme="minorBidi"/>
          <w:i w:val="0"/>
          <w:iCs w:val="0"/>
          <w:color w:val="auto"/>
          <w:sz w:val="20"/>
          <w:szCs w:val="20"/>
        </w:rPr>
        <w:t xml:space="preserve"> v</w:t>
      </w:r>
      <w:r w:rsidR="65189169" w:rsidRPr="6C54F3A7">
        <w:rPr>
          <w:rFonts w:asciiTheme="minorHAnsi" w:eastAsiaTheme="minorEastAsia" w:hAnsiTheme="minorHAnsi" w:cstheme="minorBidi"/>
          <w:i w:val="0"/>
          <w:iCs w:val="0"/>
          <w:color w:val="auto"/>
          <w:sz w:val="20"/>
          <w:szCs w:val="20"/>
        </w:rPr>
        <w:t xml:space="preserve"> této </w:t>
      </w:r>
      <w:r w:rsidR="45EF0C6B" w:rsidRPr="6C54F3A7">
        <w:rPr>
          <w:rFonts w:asciiTheme="minorHAnsi" w:eastAsiaTheme="minorEastAsia" w:hAnsiTheme="minorHAnsi" w:cstheme="minorBidi"/>
          <w:i w:val="0"/>
          <w:iCs w:val="0"/>
          <w:color w:val="auto"/>
          <w:sz w:val="20"/>
          <w:szCs w:val="20"/>
        </w:rPr>
        <w:t>komponentě je Středoevropský technologický institut – CEITEC, působící na</w:t>
      </w:r>
      <w:r w:rsidR="51F08B9C" w:rsidRPr="6C54F3A7">
        <w:rPr>
          <w:rFonts w:asciiTheme="minorHAnsi" w:eastAsiaTheme="minorEastAsia" w:hAnsiTheme="minorHAnsi" w:cstheme="minorBidi"/>
          <w:i w:val="0"/>
          <w:iCs w:val="0"/>
          <w:color w:val="auto"/>
          <w:sz w:val="20"/>
          <w:szCs w:val="20"/>
        </w:rPr>
        <w:t> </w:t>
      </w:r>
      <w:r w:rsidR="45EF0C6B" w:rsidRPr="6C54F3A7">
        <w:rPr>
          <w:rFonts w:asciiTheme="minorHAnsi" w:eastAsiaTheme="minorEastAsia" w:hAnsiTheme="minorHAnsi" w:cstheme="minorBidi"/>
          <w:i w:val="0"/>
          <w:iCs w:val="0"/>
          <w:color w:val="auto"/>
          <w:sz w:val="20"/>
          <w:szCs w:val="20"/>
        </w:rPr>
        <w:t>Masarykově univerzitě v Jihomoravském kraji</w:t>
      </w:r>
      <w:r w:rsidR="00216B98" w:rsidRPr="6C54F3A7">
        <w:rPr>
          <w:rStyle w:val="Znakapoznpodarou"/>
          <w:rFonts w:asciiTheme="minorHAnsi" w:eastAsiaTheme="minorEastAsia" w:hAnsiTheme="minorHAnsi" w:cstheme="minorBidi"/>
          <w:i w:val="0"/>
          <w:iCs w:val="0"/>
          <w:color w:val="auto"/>
          <w:sz w:val="20"/>
          <w:szCs w:val="20"/>
        </w:rPr>
        <w:footnoteReference w:id="36"/>
      </w:r>
      <w:r w:rsidR="0B5BFD06" w:rsidRPr="6C54F3A7">
        <w:rPr>
          <w:rFonts w:asciiTheme="minorHAnsi" w:eastAsiaTheme="minorEastAsia" w:hAnsiTheme="minorHAnsi" w:cstheme="minorBidi"/>
          <w:i w:val="0"/>
          <w:iCs w:val="0"/>
          <w:color w:val="auto"/>
          <w:sz w:val="20"/>
          <w:szCs w:val="20"/>
        </w:rPr>
        <w:t xml:space="preserve">. </w:t>
      </w:r>
    </w:p>
    <w:p w14:paraId="637DBC57" w14:textId="40A9546D" w:rsidR="00BA251E" w:rsidRPr="00992741" w:rsidRDefault="00BA251E" w:rsidP="6C54F3A7">
      <w:pPr>
        <w:pStyle w:val="K-TextInfo"/>
        <w:rPr>
          <w:rFonts w:asciiTheme="minorHAnsi" w:eastAsiaTheme="minorEastAsia" w:hAnsiTheme="minorHAnsi" w:cstheme="minorBidi"/>
          <w:color w:val="auto"/>
          <w:sz w:val="20"/>
          <w:szCs w:val="20"/>
        </w:rPr>
      </w:pPr>
    </w:p>
    <w:p w14:paraId="5BA8CBEF" w14:textId="60AD100F" w:rsidR="002C20CF" w:rsidRPr="00992741" w:rsidRDefault="2DB997A7" w:rsidP="6C54F3A7">
      <w:pPr>
        <w:pStyle w:val="K-Nadpis2"/>
        <w:spacing w:line="240" w:lineRule="auto"/>
        <w:rPr>
          <w:rFonts w:asciiTheme="minorHAnsi" w:eastAsiaTheme="minorEastAsia" w:hAnsiTheme="minorHAnsi" w:cstheme="minorBidi"/>
          <w:color w:val="auto"/>
          <w:sz w:val="20"/>
          <w:szCs w:val="20"/>
        </w:rPr>
      </w:pPr>
      <w:r w:rsidRPr="6C54F3A7">
        <w:rPr>
          <w:rFonts w:asciiTheme="minorHAnsi" w:eastAsiaTheme="minorEastAsia" w:hAnsiTheme="minorHAnsi" w:cstheme="minorBidi"/>
          <w:color w:val="auto"/>
          <w:sz w:val="20"/>
          <w:szCs w:val="20"/>
        </w:rPr>
        <w:t xml:space="preserve">3. </w:t>
      </w:r>
      <w:r w:rsidR="60B7A3E0" w:rsidRPr="6C54F3A7">
        <w:rPr>
          <w:rFonts w:asciiTheme="minorHAnsi" w:eastAsiaTheme="minorEastAsia" w:hAnsiTheme="minorHAnsi" w:cstheme="minorBidi"/>
          <w:color w:val="auto"/>
          <w:sz w:val="20"/>
          <w:szCs w:val="20"/>
        </w:rPr>
        <w:t xml:space="preserve">Popis </w:t>
      </w:r>
      <w:r w:rsidR="1B4DE28B" w:rsidRPr="6C54F3A7">
        <w:rPr>
          <w:rFonts w:asciiTheme="minorHAnsi" w:eastAsiaTheme="minorEastAsia" w:hAnsiTheme="minorHAnsi" w:cstheme="minorBidi"/>
          <w:color w:val="auto"/>
          <w:sz w:val="20"/>
          <w:szCs w:val="20"/>
        </w:rPr>
        <w:t>investice</w:t>
      </w:r>
      <w:r w:rsidR="7669B158" w:rsidRPr="6C54F3A7">
        <w:rPr>
          <w:rFonts w:asciiTheme="minorHAnsi" w:eastAsiaTheme="minorEastAsia" w:hAnsiTheme="minorHAnsi" w:cstheme="minorBidi"/>
          <w:color w:val="auto"/>
          <w:sz w:val="20"/>
          <w:szCs w:val="20"/>
        </w:rPr>
        <w:t xml:space="preserve"> </w:t>
      </w:r>
      <w:r w:rsidR="60B7A3E0" w:rsidRPr="6C54F3A7">
        <w:rPr>
          <w:rFonts w:asciiTheme="minorHAnsi" w:eastAsiaTheme="minorEastAsia" w:hAnsiTheme="minorHAnsi" w:cstheme="minorBidi"/>
          <w:color w:val="auto"/>
          <w:sz w:val="20"/>
          <w:szCs w:val="20"/>
        </w:rPr>
        <w:t>k</w:t>
      </w:r>
      <w:r w:rsidRPr="6C54F3A7">
        <w:rPr>
          <w:rFonts w:asciiTheme="minorHAnsi" w:eastAsiaTheme="minorEastAsia" w:hAnsiTheme="minorHAnsi" w:cstheme="minorBidi"/>
          <w:color w:val="auto"/>
          <w:sz w:val="20"/>
          <w:szCs w:val="20"/>
        </w:rPr>
        <w:t>omponent</w:t>
      </w:r>
      <w:r w:rsidR="60B7A3E0" w:rsidRPr="6C54F3A7">
        <w:rPr>
          <w:rFonts w:asciiTheme="minorHAnsi" w:eastAsiaTheme="minorEastAsia" w:hAnsiTheme="minorHAnsi" w:cstheme="minorBidi"/>
          <w:color w:val="auto"/>
          <w:sz w:val="20"/>
          <w:szCs w:val="20"/>
        </w:rPr>
        <w:t>y</w:t>
      </w:r>
      <w:r w:rsidRPr="6C54F3A7">
        <w:rPr>
          <w:rFonts w:asciiTheme="minorHAnsi" w:eastAsiaTheme="minorEastAsia" w:hAnsiTheme="minorHAnsi" w:cstheme="minorBidi"/>
          <w:color w:val="auto"/>
          <w:sz w:val="20"/>
          <w:szCs w:val="20"/>
        </w:rPr>
        <w:t xml:space="preserve"> </w:t>
      </w:r>
    </w:p>
    <w:p w14:paraId="35BAB89E" w14:textId="7CA200F4" w:rsidR="000C0598" w:rsidRPr="00992741" w:rsidRDefault="2726F1CA" w:rsidP="6C54F3A7">
      <w:pPr>
        <w:pStyle w:val="K-Nadpis3"/>
        <w:rPr>
          <w:rFonts w:asciiTheme="minorHAnsi" w:eastAsiaTheme="minorEastAsia" w:hAnsiTheme="minorHAnsi" w:cstheme="minorBidi"/>
          <w:color w:val="auto"/>
          <w:sz w:val="20"/>
          <w:szCs w:val="20"/>
        </w:rPr>
      </w:pPr>
      <w:r w:rsidRPr="6C54F3A7">
        <w:rPr>
          <w:rFonts w:asciiTheme="minorHAnsi" w:eastAsiaTheme="minorEastAsia" w:hAnsiTheme="minorHAnsi" w:cstheme="minorBidi"/>
          <w:color w:val="auto"/>
          <w:sz w:val="20"/>
          <w:szCs w:val="20"/>
        </w:rPr>
        <w:t>a</w:t>
      </w:r>
      <w:r w:rsidR="4F7D30C0" w:rsidRPr="6C54F3A7">
        <w:rPr>
          <w:rFonts w:asciiTheme="minorHAnsi" w:eastAsiaTheme="minorEastAsia" w:hAnsiTheme="minorHAnsi" w:cstheme="minorBidi"/>
          <w:color w:val="auto"/>
          <w:sz w:val="20"/>
          <w:szCs w:val="20"/>
        </w:rPr>
        <w:t xml:space="preserve">) Popis </w:t>
      </w:r>
      <w:r w:rsidR="1B4DE28B" w:rsidRPr="6C54F3A7">
        <w:rPr>
          <w:rFonts w:asciiTheme="minorHAnsi" w:eastAsiaTheme="minorEastAsia" w:hAnsiTheme="minorHAnsi" w:cstheme="minorBidi"/>
          <w:color w:val="auto"/>
          <w:sz w:val="20"/>
          <w:szCs w:val="20"/>
        </w:rPr>
        <w:t xml:space="preserve">investice </w:t>
      </w:r>
    </w:p>
    <w:p w14:paraId="2B11F1EF" w14:textId="068A7987" w:rsidR="00301541" w:rsidRPr="00992741" w:rsidRDefault="16C09923" w:rsidP="6C54F3A7">
      <w:pPr>
        <w:pStyle w:val="K-Tabulka"/>
        <w:rPr>
          <w:rFonts w:asciiTheme="minorHAnsi" w:eastAsiaTheme="minorEastAsia" w:hAnsiTheme="minorHAnsi" w:cstheme="minorBidi"/>
          <w:sz w:val="20"/>
          <w:szCs w:val="20"/>
        </w:rPr>
      </w:pPr>
      <w:bookmarkStart w:id="5" w:name="_Hlk58913010"/>
      <w:r w:rsidRPr="6C54F3A7">
        <w:rPr>
          <w:rFonts w:asciiTheme="minorHAnsi" w:eastAsiaTheme="minorEastAsia" w:hAnsiTheme="minorHAnsi" w:cstheme="minorBidi"/>
          <w:sz w:val="20"/>
          <w:szCs w:val="20"/>
        </w:rPr>
        <w:t xml:space="preserve">1.1 Systémová podpora </w:t>
      </w:r>
      <w:proofErr w:type="spellStart"/>
      <w:r w:rsidRPr="6C54F3A7">
        <w:rPr>
          <w:rFonts w:asciiTheme="minorHAnsi" w:eastAsiaTheme="minorEastAsia" w:hAnsiTheme="minorHAnsi" w:cstheme="minorBidi"/>
          <w:sz w:val="20"/>
          <w:szCs w:val="20"/>
        </w:rPr>
        <w:t>VaVaI</w:t>
      </w:r>
      <w:proofErr w:type="spellEnd"/>
      <w:r w:rsidRPr="6C54F3A7">
        <w:rPr>
          <w:rFonts w:asciiTheme="minorHAnsi" w:eastAsiaTheme="minorEastAsia" w:hAnsiTheme="minorHAnsi" w:cstheme="minorBidi"/>
          <w:sz w:val="20"/>
          <w:szCs w:val="20"/>
        </w:rPr>
        <w:t xml:space="preserve"> pro prioritní oblasti lékařských věd </w:t>
      </w:r>
      <w:r w:rsidR="11C4B70F" w:rsidRPr="6C54F3A7">
        <w:rPr>
          <w:rFonts w:asciiTheme="minorHAnsi" w:eastAsiaTheme="minorEastAsia" w:hAnsiTheme="minorHAnsi" w:cstheme="minorBidi"/>
          <w:sz w:val="20"/>
          <w:szCs w:val="20"/>
        </w:rPr>
        <w:t>a </w:t>
      </w:r>
      <w:r w:rsidRPr="6C54F3A7">
        <w:rPr>
          <w:rFonts w:asciiTheme="minorHAnsi" w:eastAsiaTheme="minorEastAsia" w:hAnsiTheme="minorHAnsi" w:cstheme="minorBidi"/>
          <w:sz w:val="20"/>
          <w:szCs w:val="20"/>
        </w:rPr>
        <w:t>související společenskovědní disciplíny</w:t>
      </w:r>
    </w:p>
    <w:tbl>
      <w:tblPr>
        <w:tblStyle w:val="Mkatabulky"/>
        <w:tblW w:w="0" w:type="auto"/>
        <w:tblLook w:val="04A0" w:firstRow="1" w:lastRow="0" w:firstColumn="1" w:lastColumn="0" w:noHBand="0" w:noVBand="1"/>
      </w:tblPr>
      <w:tblGrid>
        <w:gridCol w:w="3256"/>
        <w:gridCol w:w="6372"/>
      </w:tblGrid>
      <w:tr w:rsidR="00852465" w:rsidRPr="00992741" w14:paraId="670B5AC8" w14:textId="77777777" w:rsidTr="3A4C9812">
        <w:tc>
          <w:tcPr>
            <w:tcW w:w="3256" w:type="dxa"/>
          </w:tcPr>
          <w:p w14:paraId="36F28BB9" w14:textId="0D4A873B" w:rsidR="00852465" w:rsidRPr="00992741" w:rsidRDefault="2A7A153E" w:rsidP="6C54F3A7">
            <w:pPr>
              <w:pStyle w:val="K-Text"/>
              <w:spacing w:line="240" w:lineRule="auto"/>
              <w:jc w:val="left"/>
              <w:rPr>
                <w:rFonts w:asciiTheme="minorHAnsi" w:eastAsiaTheme="minorEastAsia" w:hAnsiTheme="minorHAnsi" w:cstheme="minorBidi"/>
                <w:sz w:val="20"/>
                <w:szCs w:val="20"/>
              </w:rPr>
            </w:pPr>
            <w:r w:rsidRPr="6C54F3A7">
              <w:rPr>
                <w:rFonts w:asciiTheme="minorHAnsi" w:eastAsiaTheme="minorEastAsia" w:hAnsiTheme="minorHAnsi" w:cstheme="minorBidi"/>
                <w:sz w:val="20"/>
                <w:szCs w:val="20"/>
              </w:rPr>
              <w:t>Výzva</w:t>
            </w:r>
          </w:p>
        </w:tc>
        <w:tc>
          <w:tcPr>
            <w:tcW w:w="6372" w:type="dxa"/>
          </w:tcPr>
          <w:p w14:paraId="3324C240" w14:textId="6FB516DF" w:rsidR="00F7022D" w:rsidRPr="00992741" w:rsidRDefault="7A83CCE5" w:rsidP="6C54F3A7">
            <w:pPr>
              <w:pStyle w:val="K-Tabulka"/>
              <w:rPr>
                <w:rFonts w:asciiTheme="minorHAnsi" w:eastAsiaTheme="minorEastAsia" w:hAnsiTheme="minorHAnsi" w:cstheme="minorBidi"/>
                <w:b w:val="0"/>
                <w:bCs w:val="0"/>
                <w:sz w:val="20"/>
                <w:szCs w:val="20"/>
              </w:rPr>
            </w:pPr>
            <w:proofErr w:type="spellStart"/>
            <w:r w:rsidRPr="6C54F3A7">
              <w:rPr>
                <w:rFonts w:asciiTheme="minorHAnsi" w:eastAsiaTheme="minorEastAsia" w:hAnsiTheme="minorHAnsi" w:cstheme="minorBidi"/>
                <w:b w:val="0"/>
                <w:bCs w:val="0"/>
                <w:sz w:val="20"/>
                <w:szCs w:val="20"/>
              </w:rPr>
              <w:t>Koronavirová</w:t>
            </w:r>
            <w:proofErr w:type="spellEnd"/>
            <w:r w:rsidRPr="6C54F3A7">
              <w:rPr>
                <w:rFonts w:asciiTheme="minorHAnsi" w:eastAsiaTheme="minorEastAsia" w:hAnsiTheme="minorHAnsi" w:cstheme="minorBidi"/>
                <w:b w:val="0"/>
                <w:bCs w:val="0"/>
                <w:sz w:val="20"/>
                <w:szCs w:val="20"/>
              </w:rPr>
              <w:t xml:space="preserve"> krize přinesla změnu, která otřásá ekonomikou </w:t>
            </w:r>
            <w:r w:rsidR="11C4B70F" w:rsidRPr="6C54F3A7">
              <w:rPr>
                <w:rFonts w:asciiTheme="minorHAnsi" w:eastAsiaTheme="minorEastAsia" w:hAnsiTheme="minorHAnsi" w:cstheme="minorBidi"/>
                <w:b w:val="0"/>
                <w:bCs w:val="0"/>
                <w:sz w:val="20"/>
                <w:szCs w:val="20"/>
              </w:rPr>
              <w:t>v </w:t>
            </w:r>
            <w:r w:rsidRPr="6C54F3A7">
              <w:rPr>
                <w:rFonts w:asciiTheme="minorHAnsi" w:eastAsiaTheme="minorEastAsia" w:hAnsiTheme="minorHAnsi" w:cstheme="minorBidi"/>
                <w:b w:val="0"/>
                <w:bCs w:val="0"/>
                <w:sz w:val="20"/>
                <w:szCs w:val="20"/>
              </w:rPr>
              <w:t xml:space="preserve">celé Evropě, ale </w:t>
            </w:r>
            <w:r w:rsidR="11C4B70F" w:rsidRPr="6C54F3A7">
              <w:rPr>
                <w:rFonts w:asciiTheme="minorHAnsi" w:eastAsiaTheme="minorEastAsia" w:hAnsiTheme="minorHAnsi" w:cstheme="minorBidi"/>
                <w:b w:val="0"/>
                <w:bCs w:val="0"/>
                <w:sz w:val="20"/>
                <w:szCs w:val="20"/>
              </w:rPr>
              <w:t>i </w:t>
            </w:r>
            <w:r w:rsidRPr="6C54F3A7">
              <w:rPr>
                <w:rFonts w:asciiTheme="minorHAnsi" w:eastAsiaTheme="minorEastAsia" w:hAnsiTheme="minorHAnsi" w:cstheme="minorBidi"/>
                <w:b w:val="0"/>
                <w:bCs w:val="0"/>
                <w:sz w:val="20"/>
                <w:szCs w:val="20"/>
              </w:rPr>
              <w:t xml:space="preserve">výzvu lépe se připravit </w:t>
            </w:r>
            <w:r w:rsidR="11C4B70F" w:rsidRPr="6C54F3A7">
              <w:rPr>
                <w:rFonts w:asciiTheme="minorHAnsi" w:eastAsiaTheme="minorEastAsia" w:hAnsiTheme="minorHAnsi" w:cstheme="minorBidi"/>
                <w:b w:val="0"/>
                <w:bCs w:val="0"/>
                <w:sz w:val="20"/>
                <w:szCs w:val="20"/>
              </w:rPr>
              <w:t>a </w:t>
            </w:r>
            <w:r w:rsidR="383605A8" w:rsidRPr="6C54F3A7">
              <w:rPr>
                <w:rFonts w:asciiTheme="minorHAnsi" w:eastAsiaTheme="minorEastAsia" w:hAnsiTheme="minorHAnsi" w:cstheme="minorBidi"/>
                <w:b w:val="0"/>
                <w:bCs w:val="0"/>
                <w:sz w:val="20"/>
                <w:szCs w:val="20"/>
              </w:rPr>
              <w:t xml:space="preserve">lépe </w:t>
            </w:r>
            <w:r w:rsidRPr="6C54F3A7">
              <w:rPr>
                <w:rFonts w:asciiTheme="minorHAnsi" w:eastAsiaTheme="minorEastAsia" w:hAnsiTheme="minorHAnsi" w:cstheme="minorBidi"/>
                <w:b w:val="0"/>
                <w:bCs w:val="0"/>
                <w:sz w:val="20"/>
                <w:szCs w:val="20"/>
              </w:rPr>
              <w:t>čelit</w:t>
            </w:r>
            <w:r w:rsidR="383605A8" w:rsidRPr="6C54F3A7">
              <w:rPr>
                <w:rFonts w:asciiTheme="minorHAnsi" w:eastAsiaTheme="minorEastAsia" w:hAnsiTheme="minorHAnsi" w:cstheme="minorBidi"/>
                <w:b w:val="0"/>
                <w:bCs w:val="0"/>
                <w:sz w:val="20"/>
                <w:szCs w:val="20"/>
              </w:rPr>
              <w:t xml:space="preserve"> obdobným hrozbám</w:t>
            </w:r>
            <w:r w:rsidRPr="6C54F3A7">
              <w:rPr>
                <w:rFonts w:asciiTheme="minorHAnsi" w:eastAsiaTheme="minorEastAsia" w:hAnsiTheme="minorHAnsi" w:cstheme="minorBidi"/>
                <w:b w:val="0"/>
                <w:bCs w:val="0"/>
                <w:sz w:val="20"/>
                <w:szCs w:val="20"/>
              </w:rPr>
              <w:t>. Ponaučením z</w:t>
            </w:r>
            <w:r w:rsidR="280262AC" w:rsidRPr="6C54F3A7">
              <w:rPr>
                <w:rFonts w:asciiTheme="minorHAnsi" w:eastAsiaTheme="minorEastAsia" w:hAnsiTheme="minorHAnsi" w:cstheme="minorBidi"/>
                <w:b w:val="0"/>
                <w:bCs w:val="0"/>
                <w:sz w:val="20"/>
                <w:szCs w:val="20"/>
              </w:rPr>
              <w:t> </w:t>
            </w:r>
            <w:r w:rsidRPr="6C54F3A7">
              <w:rPr>
                <w:rFonts w:asciiTheme="minorHAnsi" w:eastAsiaTheme="minorEastAsia" w:hAnsiTheme="minorHAnsi" w:cstheme="minorBidi"/>
                <w:b w:val="0"/>
                <w:bCs w:val="0"/>
                <w:sz w:val="20"/>
                <w:szCs w:val="20"/>
              </w:rPr>
              <w:t>toho je identifikace nových potřeb ve</w:t>
            </w:r>
            <w:r w:rsidR="51F08B9C" w:rsidRPr="6C54F3A7">
              <w:rPr>
                <w:rFonts w:asciiTheme="minorHAnsi" w:eastAsiaTheme="minorEastAsia" w:hAnsiTheme="minorHAnsi" w:cstheme="minorBidi"/>
                <w:b w:val="0"/>
                <w:bCs w:val="0"/>
                <w:sz w:val="20"/>
                <w:szCs w:val="20"/>
              </w:rPr>
              <w:t> </w:t>
            </w:r>
            <w:r w:rsidRPr="6C54F3A7">
              <w:rPr>
                <w:rFonts w:asciiTheme="minorHAnsi" w:eastAsiaTheme="minorEastAsia" w:hAnsiTheme="minorHAnsi" w:cstheme="minorBidi"/>
                <w:b w:val="0"/>
                <w:bCs w:val="0"/>
                <w:sz w:val="20"/>
                <w:szCs w:val="20"/>
              </w:rPr>
              <w:t xml:space="preserve">specifických oblastech, které, jak se ukázalo, dosud nebyly </w:t>
            </w:r>
            <w:r w:rsidR="11C4B70F" w:rsidRPr="6C54F3A7">
              <w:rPr>
                <w:rFonts w:asciiTheme="minorHAnsi" w:eastAsiaTheme="minorEastAsia" w:hAnsiTheme="minorHAnsi" w:cstheme="minorBidi"/>
                <w:b w:val="0"/>
                <w:bCs w:val="0"/>
                <w:sz w:val="20"/>
                <w:szCs w:val="20"/>
              </w:rPr>
              <w:t>v </w:t>
            </w:r>
            <w:r w:rsidRPr="6C54F3A7">
              <w:rPr>
                <w:rFonts w:asciiTheme="minorHAnsi" w:eastAsiaTheme="minorEastAsia" w:hAnsiTheme="minorHAnsi" w:cstheme="minorBidi"/>
                <w:b w:val="0"/>
                <w:bCs w:val="0"/>
                <w:sz w:val="20"/>
                <w:szCs w:val="20"/>
              </w:rPr>
              <w:t xml:space="preserve">národních politikách dostatečně řešeny. Plánované projekty </w:t>
            </w:r>
            <w:r w:rsidR="11C4B70F" w:rsidRPr="6C54F3A7">
              <w:rPr>
                <w:rFonts w:asciiTheme="minorHAnsi" w:eastAsiaTheme="minorEastAsia" w:hAnsiTheme="minorHAnsi" w:cstheme="minorBidi"/>
                <w:b w:val="0"/>
                <w:bCs w:val="0"/>
                <w:sz w:val="20"/>
                <w:szCs w:val="20"/>
              </w:rPr>
              <w:t>a </w:t>
            </w:r>
            <w:r w:rsidRPr="6C54F3A7">
              <w:rPr>
                <w:rFonts w:asciiTheme="minorHAnsi" w:eastAsiaTheme="minorEastAsia" w:hAnsiTheme="minorHAnsi" w:cstheme="minorBidi"/>
                <w:b w:val="0"/>
                <w:bCs w:val="0"/>
                <w:sz w:val="20"/>
                <w:szCs w:val="20"/>
              </w:rPr>
              <w:t xml:space="preserve">výstupy Národního plánu obnovy </w:t>
            </w:r>
            <w:r w:rsidR="11C4B70F" w:rsidRPr="6C54F3A7">
              <w:rPr>
                <w:rFonts w:asciiTheme="minorHAnsi" w:eastAsiaTheme="minorEastAsia" w:hAnsiTheme="minorHAnsi" w:cstheme="minorBidi"/>
                <w:b w:val="0"/>
                <w:bCs w:val="0"/>
                <w:sz w:val="20"/>
                <w:szCs w:val="20"/>
              </w:rPr>
              <w:t>i </w:t>
            </w:r>
            <w:r w:rsidR="383605A8" w:rsidRPr="6C54F3A7">
              <w:rPr>
                <w:rFonts w:asciiTheme="minorHAnsi" w:eastAsiaTheme="minorEastAsia" w:hAnsiTheme="minorHAnsi" w:cstheme="minorBidi"/>
                <w:b w:val="0"/>
                <w:bCs w:val="0"/>
                <w:sz w:val="20"/>
                <w:szCs w:val="20"/>
              </w:rPr>
              <w:t xml:space="preserve">této komponenty </w:t>
            </w:r>
            <w:r w:rsidRPr="6C54F3A7">
              <w:rPr>
                <w:rFonts w:asciiTheme="minorHAnsi" w:eastAsiaTheme="minorEastAsia" w:hAnsiTheme="minorHAnsi" w:cstheme="minorBidi"/>
                <w:b w:val="0"/>
                <w:bCs w:val="0"/>
                <w:sz w:val="20"/>
                <w:szCs w:val="20"/>
              </w:rPr>
              <w:t>jsou navrženy tak, aby stavěly na změnách s</w:t>
            </w:r>
            <w:r w:rsidR="383605A8" w:rsidRPr="6C54F3A7">
              <w:rPr>
                <w:rFonts w:asciiTheme="minorHAnsi" w:eastAsiaTheme="minorEastAsia" w:hAnsiTheme="minorHAnsi" w:cstheme="minorBidi"/>
                <w:b w:val="0"/>
                <w:bCs w:val="0"/>
                <w:sz w:val="20"/>
                <w:szCs w:val="20"/>
              </w:rPr>
              <w:t xml:space="preserve">polečenského </w:t>
            </w:r>
            <w:r w:rsidR="11C4B70F" w:rsidRPr="6C54F3A7">
              <w:rPr>
                <w:rFonts w:asciiTheme="minorHAnsi" w:eastAsiaTheme="minorEastAsia" w:hAnsiTheme="minorHAnsi" w:cstheme="minorBidi"/>
                <w:b w:val="0"/>
                <w:bCs w:val="0"/>
                <w:sz w:val="20"/>
                <w:szCs w:val="20"/>
              </w:rPr>
              <w:t>a </w:t>
            </w:r>
            <w:r w:rsidR="383605A8" w:rsidRPr="6C54F3A7">
              <w:rPr>
                <w:rFonts w:asciiTheme="minorHAnsi" w:eastAsiaTheme="minorEastAsia" w:hAnsiTheme="minorHAnsi" w:cstheme="minorBidi"/>
                <w:b w:val="0"/>
                <w:bCs w:val="0"/>
                <w:sz w:val="20"/>
                <w:szCs w:val="20"/>
              </w:rPr>
              <w:t>so</w:t>
            </w:r>
            <w:r w:rsidRPr="6C54F3A7">
              <w:rPr>
                <w:rFonts w:asciiTheme="minorHAnsi" w:eastAsiaTheme="minorEastAsia" w:hAnsiTheme="minorHAnsi" w:cstheme="minorBidi"/>
                <w:b w:val="0"/>
                <w:bCs w:val="0"/>
                <w:sz w:val="20"/>
                <w:szCs w:val="20"/>
              </w:rPr>
              <w:t xml:space="preserve">ciálního prostředí způsobených </w:t>
            </w:r>
            <w:r w:rsidR="383605A8" w:rsidRPr="6C54F3A7">
              <w:rPr>
                <w:rFonts w:asciiTheme="minorHAnsi" w:eastAsiaTheme="minorEastAsia" w:hAnsiTheme="minorHAnsi" w:cstheme="minorBidi"/>
                <w:b w:val="0"/>
                <w:bCs w:val="0"/>
                <w:sz w:val="20"/>
                <w:szCs w:val="20"/>
              </w:rPr>
              <w:t>krizí</w:t>
            </w:r>
            <w:r w:rsidRPr="6C54F3A7">
              <w:rPr>
                <w:rFonts w:asciiTheme="minorHAnsi" w:eastAsiaTheme="minorEastAsia" w:hAnsiTheme="minorHAnsi" w:cstheme="minorBidi"/>
                <w:b w:val="0"/>
                <w:bCs w:val="0"/>
                <w:sz w:val="20"/>
                <w:szCs w:val="20"/>
              </w:rPr>
              <w:t xml:space="preserve">. Konkrétně se jedná </w:t>
            </w:r>
            <w:r w:rsidR="11C4B70F" w:rsidRPr="6C54F3A7">
              <w:rPr>
                <w:rFonts w:asciiTheme="minorHAnsi" w:eastAsiaTheme="minorEastAsia" w:hAnsiTheme="minorHAnsi" w:cstheme="minorBidi"/>
                <w:b w:val="0"/>
                <w:bCs w:val="0"/>
                <w:sz w:val="20"/>
                <w:szCs w:val="20"/>
              </w:rPr>
              <w:t>o </w:t>
            </w:r>
            <w:r w:rsidRPr="6C54F3A7">
              <w:rPr>
                <w:rFonts w:asciiTheme="minorHAnsi" w:eastAsiaTheme="minorEastAsia" w:hAnsiTheme="minorHAnsi" w:cstheme="minorBidi"/>
                <w:b w:val="0"/>
                <w:bCs w:val="0"/>
                <w:sz w:val="20"/>
                <w:szCs w:val="20"/>
              </w:rPr>
              <w:t>novou potřebu propojit identifikované vědecké oblasti související se zdravotní péčí se společenskovědním výzkumem</w:t>
            </w:r>
            <w:r w:rsidR="49A6D6E9" w:rsidRPr="6C54F3A7">
              <w:rPr>
                <w:rFonts w:asciiTheme="minorHAnsi" w:eastAsiaTheme="minorEastAsia" w:hAnsiTheme="minorHAnsi" w:cstheme="minorBidi"/>
                <w:b w:val="0"/>
                <w:bCs w:val="0"/>
                <w:sz w:val="20"/>
                <w:szCs w:val="20"/>
              </w:rPr>
              <w:t xml:space="preserve"> zohledňujícím sociodemografické charakteristiky</w:t>
            </w:r>
            <w:r w:rsidRPr="6C54F3A7">
              <w:rPr>
                <w:rFonts w:asciiTheme="minorHAnsi" w:eastAsiaTheme="minorEastAsia" w:hAnsiTheme="minorHAnsi" w:cstheme="minorBidi"/>
                <w:b w:val="0"/>
                <w:bCs w:val="0"/>
                <w:sz w:val="20"/>
                <w:szCs w:val="20"/>
              </w:rPr>
              <w:t xml:space="preserve">, což je pro Českou republiku nová </w:t>
            </w:r>
            <w:r w:rsidR="11C4B70F" w:rsidRPr="6C54F3A7">
              <w:rPr>
                <w:rFonts w:asciiTheme="minorHAnsi" w:eastAsiaTheme="minorEastAsia" w:hAnsiTheme="minorHAnsi" w:cstheme="minorBidi"/>
                <w:b w:val="0"/>
                <w:bCs w:val="0"/>
                <w:sz w:val="20"/>
                <w:szCs w:val="20"/>
              </w:rPr>
              <w:t>a </w:t>
            </w:r>
            <w:r w:rsidRPr="6C54F3A7">
              <w:rPr>
                <w:rFonts w:asciiTheme="minorHAnsi" w:eastAsiaTheme="minorEastAsia" w:hAnsiTheme="minorHAnsi" w:cstheme="minorBidi"/>
                <w:b w:val="0"/>
                <w:bCs w:val="0"/>
                <w:sz w:val="20"/>
                <w:szCs w:val="20"/>
              </w:rPr>
              <w:t xml:space="preserve">reformní aktivita. Lékařský výzkum </w:t>
            </w:r>
            <w:r w:rsidR="11C4B70F" w:rsidRPr="6C54F3A7">
              <w:rPr>
                <w:rFonts w:asciiTheme="minorHAnsi" w:eastAsiaTheme="minorEastAsia" w:hAnsiTheme="minorHAnsi" w:cstheme="minorBidi"/>
                <w:b w:val="0"/>
                <w:bCs w:val="0"/>
                <w:sz w:val="20"/>
                <w:szCs w:val="20"/>
              </w:rPr>
              <w:t>a </w:t>
            </w:r>
            <w:r w:rsidRPr="6C54F3A7">
              <w:rPr>
                <w:rFonts w:asciiTheme="minorHAnsi" w:eastAsiaTheme="minorEastAsia" w:hAnsiTheme="minorHAnsi" w:cstheme="minorBidi"/>
                <w:b w:val="0"/>
                <w:bCs w:val="0"/>
                <w:sz w:val="20"/>
                <w:szCs w:val="20"/>
              </w:rPr>
              <w:t xml:space="preserve">oblast zdravotní péče obecně mají logické vazby na vědeckou biotechnologickou výzkumnou základnu </w:t>
            </w:r>
            <w:r w:rsidR="11C4B70F" w:rsidRPr="6C54F3A7">
              <w:rPr>
                <w:rFonts w:asciiTheme="minorHAnsi" w:eastAsiaTheme="minorEastAsia" w:hAnsiTheme="minorHAnsi" w:cstheme="minorBidi"/>
                <w:b w:val="0"/>
                <w:bCs w:val="0"/>
                <w:sz w:val="20"/>
                <w:szCs w:val="20"/>
              </w:rPr>
              <w:t>a </w:t>
            </w:r>
            <w:r w:rsidRPr="6C54F3A7">
              <w:rPr>
                <w:rFonts w:asciiTheme="minorHAnsi" w:eastAsiaTheme="minorEastAsia" w:hAnsiTheme="minorHAnsi" w:cstheme="minorBidi"/>
                <w:b w:val="0"/>
                <w:bCs w:val="0"/>
                <w:sz w:val="20"/>
                <w:szCs w:val="20"/>
              </w:rPr>
              <w:t xml:space="preserve">posílení jejich systematické </w:t>
            </w:r>
            <w:r w:rsidR="11C4B70F" w:rsidRPr="6C54F3A7">
              <w:rPr>
                <w:rFonts w:asciiTheme="minorHAnsi" w:eastAsiaTheme="minorEastAsia" w:hAnsiTheme="minorHAnsi" w:cstheme="minorBidi"/>
                <w:b w:val="0"/>
                <w:bCs w:val="0"/>
                <w:sz w:val="20"/>
                <w:szCs w:val="20"/>
              </w:rPr>
              <w:t>a </w:t>
            </w:r>
            <w:r w:rsidRPr="6C54F3A7">
              <w:rPr>
                <w:rFonts w:asciiTheme="minorHAnsi" w:eastAsiaTheme="minorEastAsia" w:hAnsiTheme="minorHAnsi" w:cstheme="minorBidi"/>
                <w:b w:val="0"/>
                <w:bCs w:val="0"/>
                <w:sz w:val="20"/>
                <w:szCs w:val="20"/>
              </w:rPr>
              <w:t xml:space="preserve">cílené spolupráce přinese </w:t>
            </w:r>
            <w:r w:rsidR="11C4B70F" w:rsidRPr="6C54F3A7">
              <w:rPr>
                <w:rFonts w:asciiTheme="minorHAnsi" w:eastAsiaTheme="minorEastAsia" w:hAnsiTheme="minorHAnsi" w:cstheme="minorBidi"/>
                <w:b w:val="0"/>
                <w:bCs w:val="0"/>
                <w:sz w:val="20"/>
                <w:szCs w:val="20"/>
              </w:rPr>
              <w:t>v </w:t>
            </w:r>
            <w:r w:rsidRPr="6C54F3A7">
              <w:rPr>
                <w:rFonts w:asciiTheme="minorHAnsi" w:eastAsiaTheme="minorEastAsia" w:hAnsiTheme="minorHAnsi" w:cstheme="minorBidi"/>
                <w:b w:val="0"/>
                <w:bCs w:val="0"/>
                <w:sz w:val="20"/>
                <w:szCs w:val="20"/>
              </w:rPr>
              <w:t>České republice kvalitativní změny.</w:t>
            </w:r>
          </w:p>
          <w:p w14:paraId="02DCE8B5" w14:textId="4B7F38AE" w:rsidR="00F7022D" w:rsidRPr="00992741" w:rsidRDefault="16C09923" w:rsidP="6C54F3A7">
            <w:pPr>
              <w:pStyle w:val="K-Tabulka"/>
              <w:rPr>
                <w:rFonts w:asciiTheme="minorHAnsi" w:eastAsiaTheme="minorEastAsia" w:hAnsiTheme="minorHAnsi" w:cstheme="minorBidi"/>
                <w:sz w:val="20"/>
                <w:szCs w:val="20"/>
              </w:rPr>
            </w:pPr>
            <w:r w:rsidRPr="6C54F3A7">
              <w:rPr>
                <w:rFonts w:asciiTheme="minorHAnsi" w:eastAsiaTheme="minorEastAsia" w:hAnsiTheme="minorHAnsi" w:cstheme="minorBidi"/>
                <w:b w:val="0"/>
                <w:bCs w:val="0"/>
                <w:sz w:val="20"/>
                <w:szCs w:val="20"/>
              </w:rPr>
              <w:t xml:space="preserve">Nová systémová podpora </w:t>
            </w:r>
            <w:proofErr w:type="spellStart"/>
            <w:r w:rsidRPr="6C54F3A7">
              <w:rPr>
                <w:rFonts w:asciiTheme="minorHAnsi" w:eastAsiaTheme="minorEastAsia" w:hAnsiTheme="minorHAnsi" w:cstheme="minorBidi"/>
                <w:b w:val="0"/>
                <w:bCs w:val="0"/>
                <w:sz w:val="20"/>
                <w:szCs w:val="20"/>
              </w:rPr>
              <w:t>VaVaI</w:t>
            </w:r>
            <w:proofErr w:type="spellEnd"/>
            <w:r w:rsidRPr="6C54F3A7">
              <w:rPr>
                <w:rFonts w:asciiTheme="minorHAnsi" w:eastAsiaTheme="minorEastAsia" w:hAnsiTheme="minorHAnsi" w:cstheme="minorBidi"/>
                <w:b w:val="0"/>
                <w:bCs w:val="0"/>
                <w:sz w:val="20"/>
                <w:szCs w:val="20"/>
              </w:rPr>
              <w:t xml:space="preserve"> pro prioritní oblasti lékařských věd </w:t>
            </w:r>
            <w:r w:rsidR="11C4B70F" w:rsidRPr="6C54F3A7">
              <w:rPr>
                <w:rFonts w:asciiTheme="minorHAnsi" w:eastAsiaTheme="minorEastAsia" w:hAnsiTheme="minorHAnsi" w:cstheme="minorBidi"/>
                <w:b w:val="0"/>
                <w:bCs w:val="0"/>
                <w:sz w:val="20"/>
                <w:szCs w:val="20"/>
              </w:rPr>
              <w:t>a </w:t>
            </w:r>
            <w:r w:rsidRPr="6C54F3A7">
              <w:rPr>
                <w:rFonts w:asciiTheme="minorHAnsi" w:eastAsiaTheme="minorEastAsia" w:hAnsiTheme="minorHAnsi" w:cstheme="minorBidi"/>
                <w:b w:val="0"/>
                <w:bCs w:val="0"/>
                <w:sz w:val="20"/>
                <w:szCs w:val="20"/>
              </w:rPr>
              <w:t xml:space="preserve">související společenskovědní disciplíny, jejíž dimenze oblasti působnosti </w:t>
            </w:r>
            <w:r w:rsidRPr="6C54F3A7">
              <w:rPr>
                <w:rFonts w:asciiTheme="minorHAnsi" w:eastAsiaTheme="minorEastAsia" w:hAnsiTheme="minorHAnsi" w:cstheme="minorBidi"/>
                <w:b w:val="0"/>
                <w:bCs w:val="0"/>
                <w:sz w:val="20"/>
                <w:szCs w:val="20"/>
              </w:rPr>
              <w:lastRenderedPageBreak/>
              <w:t xml:space="preserve">sdružuje výzkumné </w:t>
            </w:r>
            <w:r w:rsidR="11C4B70F" w:rsidRPr="6C54F3A7">
              <w:rPr>
                <w:rFonts w:asciiTheme="minorHAnsi" w:eastAsiaTheme="minorEastAsia" w:hAnsiTheme="minorHAnsi" w:cstheme="minorBidi"/>
                <w:b w:val="0"/>
                <w:bCs w:val="0"/>
                <w:sz w:val="20"/>
                <w:szCs w:val="20"/>
              </w:rPr>
              <w:t>a </w:t>
            </w:r>
            <w:r w:rsidRPr="6C54F3A7">
              <w:rPr>
                <w:rFonts w:asciiTheme="minorHAnsi" w:eastAsiaTheme="minorEastAsia" w:hAnsiTheme="minorHAnsi" w:cstheme="minorBidi"/>
                <w:b w:val="0"/>
                <w:bCs w:val="0"/>
                <w:sz w:val="20"/>
                <w:szCs w:val="20"/>
              </w:rPr>
              <w:t xml:space="preserve">inovační činnosti ve veřejných výzkumných střediscích, vysokoškolském vzdělávání </w:t>
            </w:r>
            <w:r w:rsidR="11C4B70F" w:rsidRPr="6C54F3A7">
              <w:rPr>
                <w:rFonts w:asciiTheme="minorHAnsi" w:eastAsiaTheme="minorEastAsia" w:hAnsiTheme="minorHAnsi" w:cstheme="minorBidi"/>
                <w:b w:val="0"/>
                <w:bCs w:val="0"/>
                <w:sz w:val="20"/>
                <w:szCs w:val="20"/>
              </w:rPr>
              <w:t>a </w:t>
            </w:r>
            <w:r w:rsidRPr="6C54F3A7">
              <w:rPr>
                <w:rFonts w:asciiTheme="minorHAnsi" w:eastAsiaTheme="minorEastAsia" w:hAnsiTheme="minorHAnsi" w:cstheme="minorBidi"/>
                <w:b w:val="0"/>
                <w:bCs w:val="0"/>
                <w:sz w:val="20"/>
                <w:szCs w:val="20"/>
              </w:rPr>
              <w:t xml:space="preserve">odborných střediscích, včetně vytváření sítí (průmyslový výzkum, experimentální vývoj,..), řeší </w:t>
            </w:r>
            <w:r w:rsidR="383605A8" w:rsidRPr="6C54F3A7">
              <w:rPr>
                <w:rFonts w:asciiTheme="minorHAnsi" w:eastAsiaTheme="minorEastAsia" w:hAnsiTheme="minorHAnsi" w:cstheme="minorBidi"/>
                <w:b w:val="0"/>
                <w:bCs w:val="0"/>
                <w:sz w:val="20"/>
                <w:szCs w:val="20"/>
              </w:rPr>
              <w:t xml:space="preserve">národní, </w:t>
            </w:r>
            <w:r w:rsidR="228BEB39" w:rsidRPr="6C54F3A7">
              <w:rPr>
                <w:rFonts w:asciiTheme="minorHAnsi" w:eastAsiaTheme="minorEastAsia" w:hAnsiTheme="minorHAnsi" w:cstheme="minorBidi"/>
                <w:b w:val="0"/>
                <w:bCs w:val="0"/>
                <w:sz w:val="20"/>
                <w:szCs w:val="20"/>
              </w:rPr>
              <w:t>celo</w:t>
            </w:r>
            <w:r w:rsidRPr="6C54F3A7">
              <w:rPr>
                <w:rFonts w:asciiTheme="minorHAnsi" w:eastAsiaTheme="minorEastAsia" w:hAnsiTheme="minorHAnsi" w:cstheme="minorBidi"/>
                <w:b w:val="0"/>
                <w:bCs w:val="0"/>
                <w:sz w:val="20"/>
                <w:szCs w:val="20"/>
              </w:rPr>
              <w:t xml:space="preserve">společenskou </w:t>
            </w:r>
            <w:r w:rsidR="228BEB39" w:rsidRPr="6C54F3A7">
              <w:rPr>
                <w:rFonts w:asciiTheme="minorHAnsi" w:eastAsiaTheme="minorEastAsia" w:hAnsiTheme="minorHAnsi" w:cstheme="minorBidi"/>
                <w:b w:val="0"/>
                <w:bCs w:val="0"/>
                <w:sz w:val="20"/>
                <w:szCs w:val="20"/>
              </w:rPr>
              <w:t>potřebu fungování národních vědeckých autorit v</w:t>
            </w:r>
            <w:r w:rsidR="280262AC" w:rsidRPr="6C54F3A7">
              <w:rPr>
                <w:rFonts w:asciiTheme="minorHAnsi" w:eastAsiaTheme="minorEastAsia" w:hAnsiTheme="minorHAnsi" w:cstheme="minorBidi"/>
                <w:b w:val="0"/>
                <w:bCs w:val="0"/>
                <w:sz w:val="20"/>
                <w:szCs w:val="20"/>
              </w:rPr>
              <w:t xml:space="preserve"> identifikovaných prioritních </w:t>
            </w:r>
            <w:r w:rsidR="0E0699E0" w:rsidRPr="6C54F3A7">
              <w:rPr>
                <w:rFonts w:asciiTheme="minorHAnsi" w:eastAsiaTheme="minorEastAsia" w:hAnsiTheme="minorHAnsi" w:cstheme="minorBidi"/>
                <w:b w:val="0"/>
                <w:bCs w:val="0"/>
                <w:sz w:val="20"/>
                <w:szCs w:val="20"/>
              </w:rPr>
              <w:t xml:space="preserve">oblastech </w:t>
            </w:r>
            <w:proofErr w:type="spellStart"/>
            <w:r w:rsidR="0E0699E0" w:rsidRPr="6C54F3A7">
              <w:rPr>
                <w:rFonts w:asciiTheme="minorHAnsi" w:eastAsiaTheme="minorEastAsia" w:hAnsiTheme="minorHAnsi" w:cstheme="minorBidi"/>
                <w:b w:val="0"/>
                <w:bCs w:val="0"/>
                <w:sz w:val="20"/>
                <w:szCs w:val="20"/>
              </w:rPr>
              <w:t>VaV</w:t>
            </w:r>
            <w:proofErr w:type="spellEnd"/>
            <w:r w:rsidR="280262AC" w:rsidRPr="6C54F3A7">
              <w:rPr>
                <w:rFonts w:asciiTheme="minorHAnsi" w:eastAsiaTheme="minorEastAsia" w:hAnsiTheme="minorHAnsi" w:cstheme="minorBidi"/>
                <w:b w:val="0"/>
                <w:bCs w:val="0"/>
                <w:sz w:val="20"/>
                <w:szCs w:val="20"/>
              </w:rPr>
              <w:t xml:space="preserve">, tj. </w:t>
            </w:r>
            <w:r w:rsidR="209E42B0" w:rsidRPr="6C54F3A7">
              <w:rPr>
                <w:rFonts w:asciiTheme="minorHAnsi" w:eastAsiaTheme="minorEastAsia" w:hAnsiTheme="minorHAnsi" w:cstheme="minorBidi"/>
                <w:b w:val="0"/>
                <w:bCs w:val="0"/>
                <w:sz w:val="20"/>
                <w:szCs w:val="20"/>
              </w:rPr>
              <w:t xml:space="preserve">zejména </w:t>
            </w:r>
            <w:r w:rsidR="11C4B70F" w:rsidRPr="6C54F3A7">
              <w:rPr>
                <w:rFonts w:asciiTheme="minorHAnsi" w:eastAsiaTheme="minorEastAsia" w:hAnsiTheme="minorHAnsi" w:cstheme="minorBidi"/>
                <w:b w:val="0"/>
                <w:bCs w:val="0"/>
                <w:sz w:val="20"/>
                <w:szCs w:val="20"/>
              </w:rPr>
              <w:t>v </w:t>
            </w:r>
            <w:r w:rsidR="228BEB39" w:rsidRPr="6C54F3A7">
              <w:rPr>
                <w:rFonts w:asciiTheme="minorHAnsi" w:eastAsiaTheme="minorEastAsia" w:hAnsiTheme="minorHAnsi" w:cstheme="minorBidi"/>
                <w:b w:val="0"/>
                <w:bCs w:val="0"/>
                <w:sz w:val="20"/>
                <w:szCs w:val="20"/>
              </w:rPr>
              <w:t>oblasti infekčních chorob, onkologických</w:t>
            </w:r>
            <w:r w:rsidR="209E42B0" w:rsidRPr="6C54F3A7">
              <w:rPr>
                <w:rFonts w:asciiTheme="minorHAnsi" w:eastAsiaTheme="minorEastAsia" w:hAnsiTheme="minorHAnsi" w:cstheme="minorBidi"/>
                <w:b w:val="0"/>
                <w:bCs w:val="0"/>
                <w:sz w:val="20"/>
                <w:szCs w:val="20"/>
              </w:rPr>
              <w:t xml:space="preserve"> onemocnění,</w:t>
            </w:r>
            <w:r w:rsidR="228BEB39" w:rsidRPr="6C54F3A7">
              <w:rPr>
                <w:rFonts w:asciiTheme="minorHAnsi" w:eastAsiaTheme="minorEastAsia" w:hAnsiTheme="minorHAnsi" w:cstheme="minorBidi"/>
                <w:b w:val="0"/>
                <w:bCs w:val="0"/>
                <w:sz w:val="20"/>
                <w:szCs w:val="20"/>
              </w:rPr>
              <w:t xml:space="preserve"> </w:t>
            </w:r>
            <w:r w:rsidR="209E42B0" w:rsidRPr="6C54F3A7">
              <w:rPr>
                <w:rFonts w:asciiTheme="minorHAnsi" w:eastAsiaTheme="minorEastAsia" w:hAnsiTheme="minorHAnsi" w:cstheme="minorBidi"/>
                <w:b w:val="0"/>
                <w:bCs w:val="0"/>
                <w:sz w:val="20"/>
                <w:szCs w:val="20"/>
              </w:rPr>
              <w:t>metabolických poruch</w:t>
            </w:r>
            <w:r w:rsidR="4A029092" w:rsidRPr="6C54F3A7">
              <w:rPr>
                <w:rFonts w:asciiTheme="minorHAnsi" w:eastAsiaTheme="minorEastAsia" w:hAnsiTheme="minorHAnsi" w:cstheme="minorBidi"/>
                <w:b w:val="0"/>
                <w:bCs w:val="0"/>
                <w:sz w:val="20"/>
                <w:szCs w:val="20"/>
              </w:rPr>
              <w:t xml:space="preserve">, </w:t>
            </w:r>
            <w:proofErr w:type="spellStart"/>
            <w:r w:rsidR="4A029092" w:rsidRPr="6C54F3A7">
              <w:rPr>
                <w:rFonts w:asciiTheme="minorHAnsi" w:eastAsiaTheme="minorEastAsia" w:hAnsiTheme="minorHAnsi" w:cstheme="minorBidi"/>
                <w:b w:val="0"/>
                <w:bCs w:val="0"/>
                <w:sz w:val="20"/>
                <w:szCs w:val="20"/>
              </w:rPr>
              <w:t>cerobrovaskulárních</w:t>
            </w:r>
            <w:proofErr w:type="spellEnd"/>
            <w:r w:rsidR="209E42B0" w:rsidRPr="6C54F3A7">
              <w:rPr>
                <w:rFonts w:asciiTheme="minorHAnsi" w:eastAsiaTheme="minorEastAsia" w:hAnsiTheme="minorHAnsi" w:cstheme="minorBidi"/>
                <w:b w:val="0"/>
                <w:bCs w:val="0"/>
                <w:sz w:val="20"/>
                <w:szCs w:val="20"/>
              </w:rPr>
              <w:t xml:space="preserve"> </w:t>
            </w:r>
            <w:r w:rsidR="11C4B70F" w:rsidRPr="6C54F3A7">
              <w:rPr>
                <w:rFonts w:asciiTheme="minorHAnsi" w:eastAsiaTheme="minorEastAsia" w:hAnsiTheme="minorHAnsi" w:cstheme="minorBidi"/>
                <w:b w:val="0"/>
                <w:bCs w:val="0"/>
                <w:sz w:val="20"/>
                <w:szCs w:val="20"/>
              </w:rPr>
              <w:t>a </w:t>
            </w:r>
            <w:r w:rsidR="228BEB39" w:rsidRPr="6C54F3A7">
              <w:rPr>
                <w:rFonts w:asciiTheme="minorHAnsi" w:eastAsiaTheme="minorEastAsia" w:hAnsiTheme="minorHAnsi" w:cstheme="minorBidi"/>
                <w:b w:val="0"/>
                <w:bCs w:val="0"/>
                <w:sz w:val="20"/>
                <w:szCs w:val="20"/>
              </w:rPr>
              <w:t>kardiovaskulárních onemocnění</w:t>
            </w:r>
            <w:r w:rsidR="240A4A2F" w:rsidRPr="6C54F3A7">
              <w:rPr>
                <w:rFonts w:asciiTheme="minorHAnsi" w:eastAsiaTheme="minorEastAsia" w:hAnsiTheme="minorHAnsi" w:cstheme="minorBidi"/>
                <w:b w:val="0"/>
                <w:bCs w:val="0"/>
                <w:sz w:val="20"/>
                <w:szCs w:val="20"/>
              </w:rPr>
              <w:t xml:space="preserve"> nebo neurověd</w:t>
            </w:r>
            <w:r w:rsidR="228BEB39" w:rsidRPr="6C54F3A7">
              <w:rPr>
                <w:rFonts w:asciiTheme="minorHAnsi" w:eastAsiaTheme="minorEastAsia" w:hAnsiTheme="minorHAnsi" w:cstheme="minorBidi"/>
                <w:b w:val="0"/>
                <w:bCs w:val="0"/>
                <w:sz w:val="20"/>
                <w:szCs w:val="20"/>
              </w:rPr>
              <w:t xml:space="preserve">, </w:t>
            </w:r>
            <w:r w:rsidR="11C4B70F" w:rsidRPr="6C54F3A7">
              <w:rPr>
                <w:rFonts w:asciiTheme="minorHAnsi" w:eastAsiaTheme="minorEastAsia" w:hAnsiTheme="minorHAnsi" w:cstheme="minorBidi"/>
                <w:b w:val="0"/>
                <w:bCs w:val="0"/>
                <w:sz w:val="20"/>
                <w:szCs w:val="20"/>
              </w:rPr>
              <w:t>a </w:t>
            </w:r>
            <w:r w:rsidR="228BEB39" w:rsidRPr="6C54F3A7">
              <w:rPr>
                <w:rFonts w:asciiTheme="minorHAnsi" w:eastAsiaTheme="minorEastAsia" w:hAnsiTheme="minorHAnsi" w:cstheme="minorBidi"/>
                <w:b w:val="0"/>
                <w:bCs w:val="0"/>
                <w:sz w:val="20"/>
                <w:szCs w:val="20"/>
              </w:rPr>
              <w:t>v</w:t>
            </w:r>
            <w:r w:rsidR="280262AC" w:rsidRPr="6C54F3A7">
              <w:rPr>
                <w:rFonts w:asciiTheme="minorHAnsi" w:eastAsiaTheme="minorEastAsia" w:hAnsiTheme="minorHAnsi" w:cstheme="minorBidi"/>
                <w:b w:val="0"/>
                <w:bCs w:val="0"/>
                <w:sz w:val="20"/>
                <w:szCs w:val="20"/>
              </w:rPr>
              <w:t> </w:t>
            </w:r>
            <w:r w:rsidR="228BEB39" w:rsidRPr="6C54F3A7">
              <w:rPr>
                <w:rFonts w:asciiTheme="minorHAnsi" w:eastAsiaTheme="minorEastAsia" w:hAnsiTheme="minorHAnsi" w:cstheme="minorBidi"/>
                <w:b w:val="0"/>
                <w:bCs w:val="0"/>
                <w:sz w:val="20"/>
                <w:szCs w:val="20"/>
              </w:rPr>
              <w:t>průřezové oblasti socioekonomických dopadů takovýchto typů nemocí.</w:t>
            </w:r>
            <w:r w:rsidR="228BEB39" w:rsidRPr="6C54F3A7">
              <w:rPr>
                <w:rFonts w:asciiTheme="minorHAnsi" w:eastAsiaTheme="minorEastAsia" w:hAnsiTheme="minorHAnsi" w:cstheme="minorBidi"/>
                <w:sz w:val="20"/>
                <w:szCs w:val="20"/>
              </w:rPr>
              <w:t xml:space="preserve"> </w:t>
            </w:r>
          </w:p>
          <w:p w14:paraId="11E7072F" w14:textId="6F66B233" w:rsidR="00852465" w:rsidRPr="00992741" w:rsidRDefault="228BEB39" w:rsidP="6C54F3A7">
            <w:pPr>
              <w:pStyle w:val="K-Tabulka"/>
              <w:rPr>
                <w:rFonts w:asciiTheme="minorHAnsi" w:eastAsiaTheme="minorEastAsia" w:hAnsiTheme="minorHAnsi" w:cstheme="minorBidi"/>
                <w:b w:val="0"/>
                <w:bCs w:val="0"/>
                <w:sz w:val="20"/>
                <w:szCs w:val="20"/>
              </w:rPr>
            </w:pPr>
            <w:r w:rsidRPr="6C54F3A7">
              <w:rPr>
                <w:rFonts w:asciiTheme="minorHAnsi" w:eastAsiaTheme="minorEastAsia" w:hAnsiTheme="minorHAnsi" w:cstheme="minorBidi"/>
                <w:b w:val="0"/>
                <w:bCs w:val="0"/>
                <w:sz w:val="20"/>
                <w:szCs w:val="20"/>
              </w:rPr>
              <w:t>Prvotní výzvou je eliminovat přetrvávající roztříštěnost v uvedených prioritních oborech</w:t>
            </w:r>
            <w:r w:rsidR="644E00AC" w:rsidRPr="6C54F3A7">
              <w:rPr>
                <w:rFonts w:asciiTheme="minorHAnsi" w:eastAsiaTheme="minorEastAsia" w:hAnsiTheme="minorHAnsi" w:cstheme="minorBidi"/>
                <w:b w:val="0"/>
                <w:bCs w:val="0"/>
                <w:sz w:val="20"/>
                <w:szCs w:val="20"/>
              </w:rPr>
              <w:t>, iniciovat spolupráci špiček české vědy působících ve zdravotnických oborech napříč Českou</w:t>
            </w:r>
            <w:r w:rsidRPr="6C54F3A7">
              <w:rPr>
                <w:rFonts w:asciiTheme="minorHAnsi" w:eastAsiaTheme="minorEastAsia" w:hAnsiTheme="minorHAnsi" w:cstheme="minorBidi"/>
                <w:b w:val="0"/>
                <w:bCs w:val="0"/>
                <w:sz w:val="20"/>
                <w:szCs w:val="20"/>
              </w:rPr>
              <w:t xml:space="preserve"> </w:t>
            </w:r>
            <w:r w:rsidR="644E00AC" w:rsidRPr="6C54F3A7">
              <w:rPr>
                <w:rFonts w:asciiTheme="minorHAnsi" w:eastAsiaTheme="minorEastAsia" w:hAnsiTheme="minorHAnsi" w:cstheme="minorBidi"/>
                <w:b w:val="0"/>
                <w:bCs w:val="0"/>
                <w:sz w:val="20"/>
                <w:szCs w:val="20"/>
              </w:rPr>
              <w:t>republikou</w:t>
            </w:r>
            <w:r w:rsidR="2D5A28E4" w:rsidRPr="6C54F3A7">
              <w:rPr>
                <w:rFonts w:asciiTheme="minorHAnsi" w:eastAsiaTheme="minorEastAsia" w:hAnsiTheme="minorHAnsi" w:cstheme="minorBidi"/>
                <w:b w:val="0"/>
                <w:bCs w:val="0"/>
                <w:sz w:val="20"/>
                <w:szCs w:val="20"/>
              </w:rPr>
              <w:t>. V</w:t>
            </w:r>
            <w:r w:rsidR="644E00AC" w:rsidRPr="6C54F3A7">
              <w:rPr>
                <w:rFonts w:asciiTheme="minorHAnsi" w:eastAsiaTheme="minorEastAsia" w:hAnsiTheme="minorHAnsi" w:cstheme="minorBidi"/>
                <w:b w:val="0"/>
                <w:bCs w:val="0"/>
                <w:sz w:val="20"/>
                <w:szCs w:val="20"/>
              </w:rPr>
              <w:t> konsorciálních uskupení</w:t>
            </w:r>
            <w:r w:rsidR="2D5A28E4" w:rsidRPr="6C54F3A7">
              <w:rPr>
                <w:rFonts w:asciiTheme="minorHAnsi" w:eastAsiaTheme="minorEastAsia" w:hAnsiTheme="minorHAnsi" w:cstheme="minorBidi"/>
                <w:b w:val="0"/>
                <w:bCs w:val="0"/>
                <w:sz w:val="20"/>
                <w:szCs w:val="20"/>
              </w:rPr>
              <w:t>ch</w:t>
            </w:r>
            <w:r w:rsidR="644E00AC" w:rsidRPr="6C54F3A7">
              <w:rPr>
                <w:rFonts w:asciiTheme="minorHAnsi" w:eastAsiaTheme="minorEastAsia" w:hAnsiTheme="minorHAnsi" w:cstheme="minorBidi"/>
                <w:b w:val="0"/>
                <w:bCs w:val="0"/>
                <w:sz w:val="20"/>
                <w:szCs w:val="20"/>
              </w:rPr>
              <w:t xml:space="preserve"> výzkumných organizací a aplikační sféry </w:t>
            </w:r>
            <w:r w:rsidR="2D5A28E4" w:rsidRPr="6C54F3A7">
              <w:rPr>
                <w:rFonts w:asciiTheme="minorHAnsi" w:eastAsiaTheme="minorEastAsia" w:hAnsiTheme="minorHAnsi" w:cstheme="minorBidi"/>
                <w:b w:val="0"/>
                <w:bCs w:val="0"/>
                <w:sz w:val="20"/>
                <w:szCs w:val="20"/>
              </w:rPr>
              <w:t xml:space="preserve">pak vědcům </w:t>
            </w:r>
            <w:r w:rsidR="644E00AC" w:rsidRPr="6C54F3A7">
              <w:rPr>
                <w:rFonts w:asciiTheme="minorHAnsi" w:eastAsiaTheme="minorEastAsia" w:hAnsiTheme="minorHAnsi" w:cstheme="minorBidi"/>
                <w:b w:val="0"/>
                <w:bCs w:val="0"/>
                <w:sz w:val="20"/>
                <w:szCs w:val="20"/>
              </w:rPr>
              <w:t xml:space="preserve">nabídnout </w:t>
            </w:r>
            <w:r w:rsidR="2D5A28E4" w:rsidRPr="6C54F3A7">
              <w:rPr>
                <w:rFonts w:asciiTheme="minorHAnsi" w:eastAsiaTheme="minorEastAsia" w:hAnsiTheme="minorHAnsi" w:cstheme="minorBidi"/>
                <w:b w:val="0"/>
                <w:bCs w:val="0"/>
                <w:sz w:val="20"/>
                <w:szCs w:val="20"/>
              </w:rPr>
              <w:t xml:space="preserve">v nezbytné míře jejich modernizaci, která </w:t>
            </w:r>
            <w:r w:rsidR="0B83CD66" w:rsidRPr="6C54F3A7">
              <w:rPr>
                <w:rFonts w:asciiTheme="minorHAnsi" w:eastAsiaTheme="minorEastAsia" w:hAnsiTheme="minorHAnsi" w:cstheme="minorBidi"/>
                <w:b w:val="0"/>
                <w:bCs w:val="0"/>
                <w:sz w:val="20"/>
                <w:szCs w:val="20"/>
              </w:rPr>
              <w:t xml:space="preserve">nevyhovující </w:t>
            </w:r>
            <w:r w:rsidRPr="6C54F3A7">
              <w:rPr>
                <w:rFonts w:asciiTheme="minorHAnsi" w:eastAsiaTheme="minorEastAsia" w:hAnsiTheme="minorHAnsi" w:cstheme="minorBidi"/>
                <w:b w:val="0"/>
                <w:bCs w:val="0"/>
                <w:sz w:val="20"/>
                <w:szCs w:val="20"/>
              </w:rPr>
              <w:t>stávají</w:t>
            </w:r>
            <w:r w:rsidR="2D5A28E4" w:rsidRPr="6C54F3A7">
              <w:rPr>
                <w:rFonts w:asciiTheme="minorHAnsi" w:eastAsiaTheme="minorEastAsia" w:hAnsiTheme="minorHAnsi" w:cstheme="minorBidi"/>
                <w:b w:val="0"/>
                <w:bCs w:val="0"/>
                <w:sz w:val="20"/>
                <w:szCs w:val="20"/>
              </w:rPr>
              <w:t>cí</w:t>
            </w:r>
            <w:r w:rsidRPr="6C54F3A7">
              <w:rPr>
                <w:rFonts w:asciiTheme="minorHAnsi" w:eastAsiaTheme="minorEastAsia" w:hAnsiTheme="minorHAnsi" w:cstheme="minorBidi"/>
                <w:b w:val="0"/>
                <w:bCs w:val="0"/>
                <w:sz w:val="20"/>
                <w:szCs w:val="20"/>
              </w:rPr>
              <w:t xml:space="preserve"> prostory </w:t>
            </w:r>
            <w:r w:rsidR="11C4B70F" w:rsidRPr="6C54F3A7">
              <w:rPr>
                <w:rFonts w:asciiTheme="minorHAnsi" w:eastAsiaTheme="minorEastAsia" w:hAnsiTheme="minorHAnsi" w:cstheme="minorBidi"/>
                <w:b w:val="0"/>
                <w:bCs w:val="0"/>
                <w:sz w:val="20"/>
                <w:szCs w:val="20"/>
              </w:rPr>
              <w:t>a </w:t>
            </w:r>
            <w:r w:rsidRPr="6C54F3A7">
              <w:rPr>
                <w:rFonts w:asciiTheme="minorHAnsi" w:eastAsiaTheme="minorEastAsia" w:hAnsiTheme="minorHAnsi" w:cstheme="minorBidi"/>
                <w:b w:val="0"/>
                <w:bCs w:val="0"/>
                <w:sz w:val="20"/>
                <w:szCs w:val="20"/>
              </w:rPr>
              <w:t xml:space="preserve">zařízení </w:t>
            </w:r>
            <w:r w:rsidR="2D5A28E4" w:rsidRPr="6C54F3A7">
              <w:rPr>
                <w:rFonts w:asciiTheme="minorHAnsi" w:eastAsiaTheme="minorEastAsia" w:hAnsiTheme="minorHAnsi" w:cstheme="minorBidi"/>
                <w:b w:val="0"/>
                <w:bCs w:val="0"/>
                <w:sz w:val="20"/>
                <w:szCs w:val="20"/>
              </w:rPr>
              <w:t>umožní povýšit na</w:t>
            </w:r>
            <w:r w:rsidR="11C4B70F" w:rsidRPr="6C54F3A7">
              <w:rPr>
                <w:rFonts w:asciiTheme="minorHAnsi" w:eastAsiaTheme="minorEastAsia" w:hAnsiTheme="minorHAnsi" w:cstheme="minorBidi"/>
                <w:b w:val="0"/>
                <w:bCs w:val="0"/>
                <w:sz w:val="20"/>
                <w:szCs w:val="20"/>
              </w:rPr>
              <w:t> </w:t>
            </w:r>
            <w:r w:rsidRPr="6C54F3A7">
              <w:rPr>
                <w:rFonts w:asciiTheme="minorHAnsi" w:eastAsiaTheme="minorEastAsia" w:hAnsiTheme="minorHAnsi" w:cstheme="minorBidi"/>
                <w:b w:val="0"/>
                <w:bCs w:val="0"/>
                <w:sz w:val="20"/>
                <w:szCs w:val="20"/>
              </w:rPr>
              <w:t xml:space="preserve">moderní vědecká zařízení </w:t>
            </w:r>
            <w:r w:rsidR="2D5A28E4" w:rsidRPr="6C54F3A7">
              <w:rPr>
                <w:rFonts w:asciiTheme="minorHAnsi" w:eastAsiaTheme="minorEastAsia" w:hAnsiTheme="minorHAnsi" w:cstheme="minorBidi"/>
                <w:b w:val="0"/>
                <w:bCs w:val="0"/>
                <w:sz w:val="20"/>
                <w:szCs w:val="20"/>
              </w:rPr>
              <w:t>a</w:t>
            </w:r>
            <w:r w:rsidR="11C4B70F" w:rsidRPr="6C54F3A7">
              <w:rPr>
                <w:rFonts w:asciiTheme="minorHAnsi" w:eastAsiaTheme="minorEastAsia" w:hAnsiTheme="minorHAnsi" w:cstheme="minorBidi"/>
                <w:b w:val="0"/>
                <w:bCs w:val="0"/>
                <w:sz w:val="20"/>
                <w:szCs w:val="20"/>
              </w:rPr>
              <w:t> </w:t>
            </w:r>
            <w:r w:rsidR="0B83CD66" w:rsidRPr="6C54F3A7">
              <w:rPr>
                <w:rFonts w:asciiTheme="minorHAnsi" w:eastAsiaTheme="minorEastAsia" w:hAnsiTheme="minorHAnsi" w:cstheme="minorBidi"/>
                <w:b w:val="0"/>
                <w:bCs w:val="0"/>
                <w:sz w:val="20"/>
                <w:szCs w:val="20"/>
              </w:rPr>
              <w:t>kapacity</w:t>
            </w:r>
            <w:r w:rsidRPr="6C54F3A7">
              <w:rPr>
                <w:rFonts w:asciiTheme="minorHAnsi" w:eastAsiaTheme="minorEastAsia" w:hAnsiTheme="minorHAnsi" w:cstheme="minorBidi"/>
                <w:b w:val="0"/>
                <w:bCs w:val="0"/>
                <w:sz w:val="20"/>
                <w:szCs w:val="20"/>
              </w:rPr>
              <w:t xml:space="preserve"> evropského standardu </w:t>
            </w:r>
            <w:r w:rsidR="11C4B70F" w:rsidRPr="6C54F3A7">
              <w:rPr>
                <w:rFonts w:asciiTheme="minorHAnsi" w:eastAsiaTheme="minorEastAsia" w:hAnsiTheme="minorHAnsi" w:cstheme="minorBidi"/>
                <w:b w:val="0"/>
                <w:bCs w:val="0"/>
                <w:sz w:val="20"/>
                <w:szCs w:val="20"/>
              </w:rPr>
              <w:t>s </w:t>
            </w:r>
            <w:r w:rsidRPr="6C54F3A7">
              <w:rPr>
                <w:rFonts w:asciiTheme="minorHAnsi" w:eastAsiaTheme="minorEastAsia" w:hAnsiTheme="minorHAnsi" w:cstheme="minorBidi"/>
                <w:b w:val="0"/>
                <w:bCs w:val="0"/>
                <w:sz w:val="20"/>
                <w:szCs w:val="20"/>
              </w:rPr>
              <w:t xml:space="preserve">vysoce kvalifikovanou odbornou obsluhou sloužící v ČR jednotné celostátní platformě </w:t>
            </w:r>
            <w:r w:rsidR="11C4B70F" w:rsidRPr="6C54F3A7">
              <w:rPr>
                <w:rFonts w:asciiTheme="minorHAnsi" w:eastAsiaTheme="minorEastAsia" w:hAnsiTheme="minorHAnsi" w:cstheme="minorBidi"/>
                <w:b w:val="0"/>
                <w:bCs w:val="0"/>
                <w:sz w:val="20"/>
                <w:szCs w:val="20"/>
              </w:rPr>
              <w:t>a </w:t>
            </w:r>
            <w:r w:rsidRPr="6C54F3A7">
              <w:rPr>
                <w:rFonts w:asciiTheme="minorHAnsi" w:eastAsiaTheme="minorEastAsia" w:hAnsiTheme="minorHAnsi" w:cstheme="minorBidi"/>
                <w:b w:val="0"/>
                <w:bCs w:val="0"/>
                <w:sz w:val="20"/>
                <w:szCs w:val="20"/>
              </w:rPr>
              <w:t xml:space="preserve">obecnějšímu využití </w:t>
            </w:r>
            <w:r w:rsidR="11C4B70F" w:rsidRPr="6C54F3A7">
              <w:rPr>
                <w:rFonts w:asciiTheme="minorHAnsi" w:eastAsiaTheme="minorEastAsia" w:hAnsiTheme="minorHAnsi" w:cstheme="minorBidi"/>
                <w:b w:val="0"/>
                <w:bCs w:val="0"/>
                <w:sz w:val="20"/>
                <w:szCs w:val="20"/>
              </w:rPr>
              <w:t>i </w:t>
            </w:r>
            <w:r w:rsidRPr="6C54F3A7">
              <w:rPr>
                <w:rFonts w:asciiTheme="minorHAnsi" w:eastAsiaTheme="minorEastAsia" w:hAnsiTheme="minorHAnsi" w:cstheme="minorBidi"/>
                <w:b w:val="0"/>
                <w:bCs w:val="0"/>
                <w:sz w:val="20"/>
                <w:szCs w:val="20"/>
              </w:rPr>
              <w:t xml:space="preserve">v Open Access režimu obdobně, jak je tomu např. </w:t>
            </w:r>
            <w:r w:rsidR="11C4B70F" w:rsidRPr="6C54F3A7">
              <w:rPr>
                <w:rFonts w:asciiTheme="minorHAnsi" w:eastAsiaTheme="minorEastAsia" w:hAnsiTheme="minorHAnsi" w:cstheme="minorBidi"/>
                <w:b w:val="0"/>
                <w:bCs w:val="0"/>
                <w:sz w:val="20"/>
                <w:szCs w:val="20"/>
              </w:rPr>
              <w:t>u </w:t>
            </w:r>
            <w:r w:rsidRPr="6C54F3A7">
              <w:rPr>
                <w:rFonts w:asciiTheme="minorHAnsi" w:eastAsiaTheme="minorEastAsia" w:hAnsiTheme="minorHAnsi" w:cstheme="minorBidi"/>
                <w:b w:val="0"/>
                <w:bCs w:val="0"/>
                <w:sz w:val="20"/>
                <w:szCs w:val="20"/>
              </w:rPr>
              <w:t xml:space="preserve">velkých výzkumných infrastruktur, aby došlo k efektivnějšímu využívání </w:t>
            </w:r>
            <w:r w:rsidR="11C4B70F" w:rsidRPr="6C54F3A7">
              <w:rPr>
                <w:rFonts w:asciiTheme="minorHAnsi" w:eastAsiaTheme="minorEastAsia" w:hAnsiTheme="minorHAnsi" w:cstheme="minorBidi"/>
                <w:b w:val="0"/>
                <w:bCs w:val="0"/>
                <w:sz w:val="20"/>
                <w:szCs w:val="20"/>
              </w:rPr>
              <w:t>a </w:t>
            </w:r>
            <w:r w:rsidRPr="6C54F3A7">
              <w:rPr>
                <w:rFonts w:asciiTheme="minorHAnsi" w:eastAsiaTheme="minorEastAsia" w:hAnsiTheme="minorHAnsi" w:cstheme="minorBidi"/>
                <w:b w:val="0"/>
                <w:bCs w:val="0"/>
                <w:sz w:val="20"/>
                <w:szCs w:val="20"/>
              </w:rPr>
              <w:t xml:space="preserve">zúročení vložených veřejných prostředků, </w:t>
            </w:r>
            <w:r w:rsidR="11C4B70F" w:rsidRPr="6C54F3A7">
              <w:rPr>
                <w:rFonts w:asciiTheme="minorHAnsi" w:eastAsiaTheme="minorEastAsia" w:hAnsiTheme="minorHAnsi" w:cstheme="minorBidi"/>
                <w:b w:val="0"/>
                <w:bCs w:val="0"/>
                <w:sz w:val="20"/>
                <w:szCs w:val="20"/>
              </w:rPr>
              <w:t>a </w:t>
            </w:r>
            <w:r w:rsidRPr="6C54F3A7">
              <w:rPr>
                <w:rFonts w:asciiTheme="minorHAnsi" w:eastAsiaTheme="minorEastAsia" w:hAnsiTheme="minorHAnsi" w:cstheme="minorBidi"/>
                <w:b w:val="0"/>
                <w:bCs w:val="0"/>
                <w:sz w:val="20"/>
                <w:szCs w:val="20"/>
              </w:rPr>
              <w:t xml:space="preserve">současně získat potřebné interoperabilní, personalizované </w:t>
            </w:r>
            <w:r w:rsidR="11C4B70F" w:rsidRPr="6C54F3A7">
              <w:rPr>
                <w:rFonts w:asciiTheme="minorHAnsi" w:eastAsiaTheme="minorEastAsia" w:hAnsiTheme="minorHAnsi" w:cstheme="minorBidi"/>
                <w:b w:val="0"/>
                <w:bCs w:val="0"/>
                <w:sz w:val="20"/>
                <w:szCs w:val="20"/>
              </w:rPr>
              <w:t>a </w:t>
            </w:r>
            <w:r w:rsidRPr="6C54F3A7">
              <w:rPr>
                <w:rFonts w:asciiTheme="minorHAnsi" w:eastAsiaTheme="minorEastAsia" w:hAnsiTheme="minorHAnsi" w:cstheme="minorBidi"/>
                <w:b w:val="0"/>
                <w:bCs w:val="0"/>
                <w:sz w:val="20"/>
                <w:szCs w:val="20"/>
              </w:rPr>
              <w:t xml:space="preserve">uživatelsky vstřícné digitální veřejné služby pro potřeby </w:t>
            </w:r>
            <w:r w:rsidR="0B83CD66" w:rsidRPr="6C54F3A7">
              <w:rPr>
                <w:rFonts w:asciiTheme="minorHAnsi" w:eastAsiaTheme="minorEastAsia" w:hAnsiTheme="minorHAnsi" w:cstheme="minorBidi"/>
                <w:b w:val="0"/>
                <w:bCs w:val="0"/>
                <w:sz w:val="20"/>
                <w:szCs w:val="20"/>
              </w:rPr>
              <w:t xml:space="preserve">výzkumu, </w:t>
            </w:r>
            <w:r w:rsidRPr="6C54F3A7">
              <w:rPr>
                <w:rFonts w:asciiTheme="minorHAnsi" w:eastAsiaTheme="minorEastAsia" w:hAnsiTheme="minorHAnsi" w:cstheme="minorBidi"/>
                <w:b w:val="0"/>
                <w:bCs w:val="0"/>
                <w:sz w:val="20"/>
                <w:szCs w:val="20"/>
              </w:rPr>
              <w:t xml:space="preserve">státní správy </w:t>
            </w:r>
            <w:r w:rsidR="11C4B70F" w:rsidRPr="6C54F3A7">
              <w:rPr>
                <w:rFonts w:asciiTheme="minorHAnsi" w:eastAsiaTheme="minorEastAsia" w:hAnsiTheme="minorHAnsi" w:cstheme="minorBidi"/>
                <w:b w:val="0"/>
                <w:bCs w:val="0"/>
                <w:sz w:val="20"/>
                <w:szCs w:val="20"/>
              </w:rPr>
              <w:t>i </w:t>
            </w:r>
            <w:r w:rsidRPr="6C54F3A7">
              <w:rPr>
                <w:rFonts w:asciiTheme="minorHAnsi" w:eastAsiaTheme="minorEastAsia" w:hAnsiTheme="minorHAnsi" w:cstheme="minorBidi"/>
                <w:b w:val="0"/>
                <w:bCs w:val="0"/>
                <w:sz w:val="20"/>
                <w:szCs w:val="20"/>
              </w:rPr>
              <w:t xml:space="preserve">širší odborné </w:t>
            </w:r>
            <w:r w:rsidR="11C4B70F" w:rsidRPr="6C54F3A7">
              <w:rPr>
                <w:rFonts w:asciiTheme="minorHAnsi" w:eastAsiaTheme="minorEastAsia" w:hAnsiTheme="minorHAnsi" w:cstheme="minorBidi"/>
                <w:b w:val="0"/>
                <w:bCs w:val="0"/>
                <w:sz w:val="20"/>
                <w:szCs w:val="20"/>
              </w:rPr>
              <w:t>i </w:t>
            </w:r>
            <w:r w:rsidRPr="6C54F3A7">
              <w:rPr>
                <w:rFonts w:asciiTheme="minorHAnsi" w:eastAsiaTheme="minorEastAsia" w:hAnsiTheme="minorHAnsi" w:cstheme="minorBidi"/>
                <w:b w:val="0"/>
                <w:bCs w:val="0"/>
                <w:sz w:val="20"/>
                <w:szCs w:val="20"/>
              </w:rPr>
              <w:t>laické veřejnosti.</w:t>
            </w:r>
            <w:r w:rsidR="16C09923" w:rsidRPr="6C54F3A7">
              <w:rPr>
                <w:rFonts w:asciiTheme="minorHAnsi" w:eastAsiaTheme="minorEastAsia" w:hAnsiTheme="minorHAnsi" w:cstheme="minorBidi"/>
                <w:b w:val="0"/>
                <w:bCs w:val="0"/>
                <w:sz w:val="20"/>
                <w:szCs w:val="20"/>
              </w:rPr>
              <w:t xml:space="preserve"> </w:t>
            </w:r>
          </w:p>
        </w:tc>
      </w:tr>
      <w:tr w:rsidR="00852465" w:rsidRPr="00992741" w14:paraId="5CA2E1FD" w14:textId="77777777" w:rsidTr="3A4C9812">
        <w:tc>
          <w:tcPr>
            <w:tcW w:w="3256" w:type="dxa"/>
          </w:tcPr>
          <w:p w14:paraId="39A69A26" w14:textId="10FDBFDD" w:rsidR="00852465" w:rsidRPr="00F34B12" w:rsidRDefault="2A7A153E" w:rsidP="6C54F3A7">
            <w:pPr>
              <w:pStyle w:val="K-Text"/>
              <w:spacing w:line="240" w:lineRule="auto"/>
              <w:jc w:val="left"/>
              <w:rPr>
                <w:rFonts w:asciiTheme="minorHAnsi" w:eastAsiaTheme="minorEastAsia" w:hAnsiTheme="minorHAnsi" w:cstheme="minorBidi"/>
                <w:sz w:val="20"/>
                <w:szCs w:val="20"/>
              </w:rPr>
            </w:pPr>
            <w:r w:rsidRPr="6C54F3A7">
              <w:rPr>
                <w:rFonts w:asciiTheme="minorHAnsi" w:eastAsiaTheme="minorEastAsia" w:hAnsiTheme="minorHAnsi" w:cstheme="minorBidi"/>
                <w:sz w:val="20"/>
                <w:szCs w:val="20"/>
              </w:rPr>
              <w:lastRenderedPageBreak/>
              <w:t>Cíl</w:t>
            </w:r>
          </w:p>
        </w:tc>
        <w:tc>
          <w:tcPr>
            <w:tcW w:w="6372" w:type="dxa"/>
          </w:tcPr>
          <w:p w14:paraId="39E7C1BF" w14:textId="6AAE4679" w:rsidR="00421294" w:rsidRDefault="60BFDF30"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Realizací nového systémového nástroje na principu „shora dolů“</w:t>
            </w:r>
            <w:r w:rsidR="00D01FA0" w:rsidRPr="6C54F3A7">
              <w:rPr>
                <w:rFonts w:asciiTheme="minorHAnsi" w:eastAsiaTheme="minorEastAsia" w:hAnsiTheme="minorHAnsi" w:cstheme="minorBidi"/>
                <w:i w:val="0"/>
                <w:iCs w:val="0"/>
                <w:color w:val="auto"/>
                <w:sz w:val="20"/>
                <w:szCs w:val="20"/>
              </w:rPr>
              <w:t xml:space="preserve">, programu podpory </w:t>
            </w:r>
            <w:proofErr w:type="spellStart"/>
            <w:r w:rsidR="00D01FA0" w:rsidRPr="6C54F3A7">
              <w:rPr>
                <w:rFonts w:asciiTheme="minorHAnsi" w:eastAsiaTheme="minorEastAsia" w:hAnsiTheme="minorHAnsi" w:cstheme="minorBidi"/>
                <w:i w:val="0"/>
                <w:iCs w:val="0"/>
                <w:color w:val="auto"/>
                <w:sz w:val="20"/>
                <w:szCs w:val="20"/>
              </w:rPr>
              <w:t>VaV</w:t>
            </w:r>
            <w:proofErr w:type="spellEnd"/>
            <w:r w:rsidR="00D01FA0" w:rsidRPr="6C54F3A7">
              <w:rPr>
                <w:rFonts w:asciiTheme="minorHAnsi" w:eastAsiaTheme="minorEastAsia" w:hAnsiTheme="minorHAnsi" w:cstheme="minorBidi"/>
                <w:i w:val="0"/>
                <w:iCs w:val="0"/>
                <w:color w:val="auto"/>
                <w:sz w:val="20"/>
                <w:szCs w:val="20"/>
              </w:rPr>
              <w:t>,</w:t>
            </w:r>
            <w:r w:rsidRPr="6C54F3A7">
              <w:rPr>
                <w:rFonts w:asciiTheme="minorHAnsi" w:eastAsiaTheme="minorEastAsia" w:hAnsiTheme="minorHAnsi" w:cstheme="minorBidi"/>
                <w:i w:val="0"/>
                <w:iCs w:val="0"/>
                <w:color w:val="auto"/>
                <w:sz w:val="20"/>
                <w:szCs w:val="20"/>
              </w:rPr>
              <w:t xml:space="preserve"> </w:t>
            </w:r>
            <w:r w:rsidR="00D01FA0" w:rsidRPr="6C54F3A7">
              <w:rPr>
                <w:rFonts w:asciiTheme="minorHAnsi" w:eastAsiaTheme="minorEastAsia" w:hAnsiTheme="minorHAnsi" w:cstheme="minorBidi"/>
                <w:i w:val="0"/>
                <w:iCs w:val="0"/>
                <w:color w:val="auto"/>
                <w:sz w:val="20"/>
                <w:szCs w:val="20"/>
              </w:rPr>
              <w:t>bude</w:t>
            </w:r>
            <w:r w:rsidR="280262AC" w:rsidRPr="6C54F3A7">
              <w:rPr>
                <w:rFonts w:asciiTheme="minorHAnsi" w:eastAsiaTheme="minorEastAsia" w:hAnsiTheme="minorHAnsi" w:cstheme="minorBidi"/>
                <w:i w:val="0"/>
                <w:iCs w:val="0"/>
                <w:color w:val="auto"/>
                <w:sz w:val="20"/>
                <w:szCs w:val="20"/>
              </w:rPr>
              <w:t xml:space="preserve"> </w:t>
            </w:r>
            <w:r w:rsidRPr="6C54F3A7">
              <w:rPr>
                <w:rFonts w:asciiTheme="minorHAnsi" w:eastAsiaTheme="minorEastAsia" w:hAnsiTheme="minorHAnsi" w:cstheme="minorBidi"/>
                <w:i w:val="0"/>
                <w:iCs w:val="0"/>
                <w:color w:val="auto"/>
                <w:sz w:val="20"/>
                <w:szCs w:val="20"/>
              </w:rPr>
              <w:t>zaji</w:t>
            </w:r>
            <w:r w:rsidR="00D01FA0" w:rsidRPr="6C54F3A7">
              <w:rPr>
                <w:rFonts w:asciiTheme="minorHAnsi" w:eastAsiaTheme="minorEastAsia" w:hAnsiTheme="minorHAnsi" w:cstheme="minorBidi"/>
                <w:i w:val="0"/>
                <w:iCs w:val="0"/>
                <w:color w:val="auto"/>
                <w:sz w:val="20"/>
                <w:szCs w:val="20"/>
              </w:rPr>
              <w:t>štěna</w:t>
            </w:r>
            <w:r w:rsidRPr="6C54F3A7">
              <w:rPr>
                <w:rFonts w:asciiTheme="minorHAnsi" w:eastAsiaTheme="minorEastAsia" w:hAnsiTheme="minorHAnsi" w:cstheme="minorBidi"/>
                <w:i w:val="0"/>
                <w:iCs w:val="0"/>
                <w:color w:val="auto"/>
                <w:sz w:val="20"/>
                <w:szCs w:val="20"/>
              </w:rPr>
              <w:t xml:space="preserve"> efektivní cílen</w:t>
            </w:r>
            <w:r w:rsidR="00D01FA0" w:rsidRPr="6C54F3A7">
              <w:rPr>
                <w:rFonts w:asciiTheme="minorHAnsi" w:eastAsiaTheme="minorEastAsia" w:hAnsiTheme="minorHAnsi" w:cstheme="minorBidi"/>
                <w:i w:val="0"/>
                <w:iCs w:val="0"/>
                <w:color w:val="auto"/>
                <w:sz w:val="20"/>
                <w:szCs w:val="20"/>
              </w:rPr>
              <w:t>á</w:t>
            </w:r>
            <w:r w:rsidRPr="6C54F3A7">
              <w:rPr>
                <w:rFonts w:asciiTheme="minorHAnsi" w:eastAsiaTheme="minorEastAsia" w:hAnsiTheme="minorHAnsi" w:cstheme="minorBidi"/>
                <w:i w:val="0"/>
                <w:iCs w:val="0"/>
                <w:color w:val="auto"/>
                <w:sz w:val="20"/>
                <w:szCs w:val="20"/>
              </w:rPr>
              <w:t xml:space="preserve"> podpor</w:t>
            </w:r>
            <w:r w:rsidR="00D01FA0" w:rsidRPr="6C54F3A7">
              <w:rPr>
                <w:rFonts w:asciiTheme="minorHAnsi" w:eastAsiaTheme="minorEastAsia" w:hAnsiTheme="minorHAnsi" w:cstheme="minorBidi"/>
                <w:i w:val="0"/>
                <w:iCs w:val="0"/>
                <w:color w:val="auto"/>
                <w:sz w:val="20"/>
                <w:szCs w:val="20"/>
              </w:rPr>
              <w:t>a</w:t>
            </w:r>
            <w:r w:rsidRPr="6C54F3A7">
              <w:rPr>
                <w:rFonts w:asciiTheme="minorHAnsi" w:eastAsiaTheme="minorEastAsia" w:hAnsiTheme="minorHAnsi" w:cstheme="minorBidi"/>
                <w:i w:val="0"/>
                <w:iCs w:val="0"/>
                <w:color w:val="auto"/>
                <w:sz w:val="20"/>
                <w:szCs w:val="20"/>
              </w:rPr>
              <w:t xml:space="preserve"> několika málo </w:t>
            </w:r>
            <w:r w:rsidR="00D01FA0" w:rsidRPr="6C54F3A7">
              <w:rPr>
                <w:rFonts w:asciiTheme="minorHAnsi" w:eastAsiaTheme="minorEastAsia" w:hAnsiTheme="minorHAnsi" w:cstheme="minorBidi"/>
                <w:i w:val="0"/>
                <w:iCs w:val="0"/>
                <w:color w:val="auto"/>
                <w:sz w:val="20"/>
                <w:szCs w:val="20"/>
              </w:rPr>
              <w:t xml:space="preserve">nejlepších a </w:t>
            </w:r>
            <w:r w:rsidRPr="6C54F3A7">
              <w:rPr>
                <w:rFonts w:asciiTheme="minorHAnsi" w:eastAsiaTheme="minorEastAsia" w:hAnsiTheme="minorHAnsi" w:cstheme="minorBidi"/>
                <w:i w:val="0"/>
                <w:iCs w:val="0"/>
                <w:color w:val="auto"/>
                <w:sz w:val="20"/>
                <w:szCs w:val="20"/>
              </w:rPr>
              <w:t>transparentně vybraných projektů 4</w:t>
            </w:r>
            <w:r w:rsidR="16706530" w:rsidRPr="6C54F3A7">
              <w:rPr>
                <w:rFonts w:asciiTheme="minorHAnsi" w:eastAsiaTheme="minorEastAsia" w:hAnsiTheme="minorHAnsi" w:cstheme="minorBidi"/>
                <w:i w:val="0"/>
                <w:iCs w:val="0"/>
                <w:color w:val="auto"/>
                <w:sz w:val="20"/>
                <w:szCs w:val="20"/>
              </w:rPr>
              <w:t>-5</w:t>
            </w:r>
            <w:r w:rsidRPr="6C54F3A7">
              <w:rPr>
                <w:rFonts w:asciiTheme="minorHAnsi" w:eastAsiaTheme="minorEastAsia" w:hAnsiTheme="minorHAnsi" w:cstheme="minorBidi"/>
                <w:i w:val="0"/>
                <w:iCs w:val="0"/>
                <w:color w:val="auto"/>
                <w:sz w:val="20"/>
                <w:szCs w:val="20"/>
              </w:rPr>
              <w:t xml:space="preserve"> národních výzkumných autorit s mezinárodním přesahem</w:t>
            </w:r>
            <w:r w:rsidR="16706530" w:rsidRPr="6C54F3A7">
              <w:rPr>
                <w:rFonts w:asciiTheme="minorHAnsi" w:eastAsiaTheme="minorEastAsia" w:hAnsiTheme="minorHAnsi" w:cstheme="minorBidi"/>
                <w:i w:val="0"/>
                <w:iCs w:val="0"/>
                <w:color w:val="auto"/>
                <w:sz w:val="20"/>
                <w:szCs w:val="20"/>
              </w:rPr>
              <w:t xml:space="preserve"> a jejich organické začlenění do systému </w:t>
            </w:r>
            <w:proofErr w:type="spellStart"/>
            <w:r w:rsidR="16706530" w:rsidRPr="6C54F3A7">
              <w:rPr>
                <w:rFonts w:asciiTheme="minorHAnsi" w:eastAsiaTheme="minorEastAsia" w:hAnsiTheme="minorHAnsi" w:cstheme="minorBidi"/>
                <w:i w:val="0"/>
                <w:iCs w:val="0"/>
                <w:color w:val="auto"/>
                <w:sz w:val="20"/>
                <w:szCs w:val="20"/>
              </w:rPr>
              <w:t>VaVaI</w:t>
            </w:r>
            <w:proofErr w:type="spellEnd"/>
            <w:r w:rsidR="16706530" w:rsidRPr="6C54F3A7">
              <w:rPr>
                <w:rFonts w:asciiTheme="minorHAnsi" w:eastAsiaTheme="minorEastAsia" w:hAnsiTheme="minorHAnsi" w:cstheme="minorBidi"/>
                <w:i w:val="0"/>
                <w:iCs w:val="0"/>
                <w:color w:val="auto"/>
                <w:sz w:val="20"/>
                <w:szCs w:val="20"/>
              </w:rPr>
              <w:t xml:space="preserve"> v ČR ve státem identifikovaných </w:t>
            </w:r>
            <w:r w:rsidR="00D01FA0" w:rsidRPr="6C54F3A7">
              <w:rPr>
                <w:rFonts w:asciiTheme="minorHAnsi" w:eastAsiaTheme="minorEastAsia" w:hAnsiTheme="minorHAnsi" w:cstheme="minorBidi"/>
                <w:i w:val="0"/>
                <w:iCs w:val="0"/>
                <w:color w:val="auto"/>
                <w:sz w:val="20"/>
                <w:szCs w:val="20"/>
              </w:rPr>
              <w:t xml:space="preserve">prioritních </w:t>
            </w:r>
            <w:r w:rsidR="16706530" w:rsidRPr="6C54F3A7">
              <w:rPr>
                <w:rFonts w:asciiTheme="minorHAnsi" w:eastAsiaTheme="minorEastAsia" w:hAnsiTheme="minorHAnsi" w:cstheme="minorBidi"/>
                <w:i w:val="0"/>
                <w:iCs w:val="0"/>
                <w:color w:val="auto"/>
                <w:sz w:val="20"/>
                <w:szCs w:val="20"/>
              </w:rPr>
              <w:t xml:space="preserve">oblastech </w:t>
            </w:r>
            <w:proofErr w:type="spellStart"/>
            <w:r w:rsidR="0E0699E0" w:rsidRPr="6C54F3A7">
              <w:rPr>
                <w:rFonts w:asciiTheme="minorHAnsi" w:eastAsiaTheme="minorEastAsia" w:hAnsiTheme="minorHAnsi" w:cstheme="minorBidi"/>
                <w:i w:val="0"/>
                <w:iCs w:val="0"/>
                <w:color w:val="auto"/>
                <w:sz w:val="20"/>
                <w:szCs w:val="20"/>
              </w:rPr>
              <w:t>VaV</w:t>
            </w:r>
            <w:proofErr w:type="spellEnd"/>
            <w:r w:rsidR="00D01FA0" w:rsidRPr="6C54F3A7">
              <w:rPr>
                <w:rFonts w:asciiTheme="minorHAnsi" w:eastAsiaTheme="minorEastAsia" w:hAnsiTheme="minorHAnsi" w:cstheme="minorBidi"/>
                <w:i w:val="0"/>
                <w:iCs w:val="0"/>
                <w:color w:val="auto"/>
                <w:sz w:val="20"/>
                <w:szCs w:val="20"/>
              </w:rPr>
              <w:t>. Těmi jsou zejména oblast výzkumu</w:t>
            </w:r>
            <w:r w:rsidRPr="6C54F3A7">
              <w:rPr>
                <w:rFonts w:asciiTheme="minorHAnsi" w:eastAsiaTheme="minorEastAsia" w:hAnsiTheme="minorHAnsi" w:cstheme="minorBidi"/>
                <w:i w:val="0"/>
                <w:iCs w:val="0"/>
                <w:color w:val="auto"/>
                <w:sz w:val="20"/>
                <w:szCs w:val="20"/>
              </w:rPr>
              <w:t xml:space="preserve"> infekční</w:t>
            </w:r>
            <w:r w:rsidR="00D01FA0" w:rsidRPr="6C54F3A7">
              <w:rPr>
                <w:rFonts w:asciiTheme="minorHAnsi" w:eastAsiaTheme="minorEastAsia" w:hAnsiTheme="minorHAnsi" w:cstheme="minorBidi"/>
                <w:i w:val="0"/>
                <w:iCs w:val="0"/>
                <w:color w:val="auto"/>
                <w:sz w:val="20"/>
                <w:szCs w:val="20"/>
              </w:rPr>
              <w:t>ch</w:t>
            </w:r>
            <w:r w:rsidRPr="6C54F3A7">
              <w:rPr>
                <w:rFonts w:asciiTheme="minorHAnsi" w:eastAsiaTheme="minorEastAsia" w:hAnsiTheme="minorHAnsi" w:cstheme="minorBidi"/>
                <w:i w:val="0"/>
                <w:iCs w:val="0"/>
                <w:color w:val="auto"/>
                <w:sz w:val="20"/>
                <w:szCs w:val="20"/>
              </w:rPr>
              <w:t xml:space="preserve"> chorob, onkologický</w:t>
            </w:r>
            <w:r w:rsidR="16706530" w:rsidRPr="6C54F3A7">
              <w:rPr>
                <w:rFonts w:asciiTheme="minorHAnsi" w:eastAsiaTheme="minorEastAsia" w:hAnsiTheme="minorHAnsi" w:cstheme="minorBidi"/>
                <w:i w:val="0"/>
                <w:iCs w:val="0"/>
                <w:color w:val="auto"/>
                <w:sz w:val="20"/>
                <w:szCs w:val="20"/>
              </w:rPr>
              <w:t>ch onemocnění</w:t>
            </w:r>
            <w:r w:rsidRPr="6C54F3A7">
              <w:rPr>
                <w:rFonts w:asciiTheme="minorHAnsi" w:eastAsiaTheme="minorEastAsia" w:hAnsiTheme="minorHAnsi" w:cstheme="minorBidi"/>
                <w:i w:val="0"/>
                <w:iCs w:val="0"/>
                <w:color w:val="auto"/>
                <w:sz w:val="20"/>
                <w:szCs w:val="20"/>
              </w:rPr>
              <w:t xml:space="preserve">, </w:t>
            </w:r>
            <w:r w:rsidR="16706530" w:rsidRPr="6C54F3A7">
              <w:rPr>
                <w:rFonts w:asciiTheme="minorHAnsi" w:eastAsiaTheme="minorEastAsia" w:hAnsiTheme="minorHAnsi" w:cstheme="minorBidi"/>
                <w:i w:val="0"/>
                <w:iCs w:val="0"/>
                <w:color w:val="auto"/>
                <w:sz w:val="20"/>
                <w:szCs w:val="20"/>
              </w:rPr>
              <w:t xml:space="preserve">metabolických poruch a </w:t>
            </w:r>
            <w:r w:rsidRPr="6C54F3A7">
              <w:rPr>
                <w:rFonts w:asciiTheme="minorHAnsi" w:eastAsiaTheme="minorEastAsia" w:hAnsiTheme="minorHAnsi" w:cstheme="minorBidi"/>
                <w:i w:val="0"/>
                <w:iCs w:val="0"/>
                <w:color w:val="auto"/>
                <w:sz w:val="20"/>
                <w:szCs w:val="20"/>
              </w:rPr>
              <w:t>kardiovaskulární</w:t>
            </w:r>
            <w:r w:rsidR="16706530" w:rsidRPr="6C54F3A7">
              <w:rPr>
                <w:rFonts w:asciiTheme="minorHAnsi" w:eastAsiaTheme="minorEastAsia" w:hAnsiTheme="minorHAnsi" w:cstheme="minorBidi"/>
                <w:i w:val="0"/>
                <w:iCs w:val="0"/>
                <w:color w:val="auto"/>
                <w:sz w:val="20"/>
                <w:szCs w:val="20"/>
              </w:rPr>
              <w:t>ch</w:t>
            </w:r>
            <w:r w:rsidRPr="6C54F3A7">
              <w:rPr>
                <w:rFonts w:asciiTheme="minorHAnsi" w:eastAsiaTheme="minorEastAsia" w:hAnsiTheme="minorHAnsi" w:cstheme="minorBidi"/>
                <w:i w:val="0"/>
                <w:iCs w:val="0"/>
                <w:color w:val="auto"/>
                <w:sz w:val="20"/>
                <w:szCs w:val="20"/>
              </w:rPr>
              <w:t xml:space="preserve"> onemocnění </w:t>
            </w:r>
            <w:r w:rsidR="5EFEBB56" w:rsidRPr="6C54F3A7">
              <w:rPr>
                <w:rFonts w:asciiTheme="minorHAnsi" w:eastAsiaTheme="minorEastAsia" w:hAnsiTheme="minorHAnsi" w:cstheme="minorBidi"/>
                <w:i w:val="0"/>
                <w:iCs w:val="0"/>
                <w:color w:val="auto"/>
                <w:sz w:val="20"/>
                <w:szCs w:val="20"/>
              </w:rPr>
              <w:t xml:space="preserve">nebo neurověd, </w:t>
            </w:r>
            <w:r w:rsidR="11C4B70F" w:rsidRPr="6C54F3A7">
              <w:rPr>
                <w:rFonts w:asciiTheme="minorHAnsi" w:eastAsiaTheme="minorEastAsia" w:hAnsiTheme="minorHAnsi" w:cstheme="minorBidi"/>
                <w:i w:val="0"/>
                <w:iCs w:val="0"/>
                <w:color w:val="auto"/>
                <w:sz w:val="20"/>
                <w:szCs w:val="20"/>
              </w:rPr>
              <w:t>a</w:t>
            </w:r>
            <w:r w:rsidR="16706530" w:rsidRPr="6C54F3A7">
              <w:rPr>
                <w:rFonts w:asciiTheme="minorHAnsi" w:eastAsiaTheme="minorEastAsia" w:hAnsiTheme="minorHAnsi" w:cstheme="minorBidi"/>
                <w:i w:val="0"/>
                <w:iCs w:val="0"/>
                <w:color w:val="auto"/>
                <w:sz w:val="20"/>
                <w:szCs w:val="20"/>
              </w:rPr>
              <w:t xml:space="preserve"> oblasti </w:t>
            </w:r>
            <w:r w:rsidRPr="6C54F3A7">
              <w:rPr>
                <w:rFonts w:asciiTheme="minorHAnsi" w:eastAsiaTheme="minorEastAsia" w:hAnsiTheme="minorHAnsi" w:cstheme="minorBidi"/>
                <w:i w:val="0"/>
                <w:iCs w:val="0"/>
                <w:color w:val="auto"/>
                <w:sz w:val="20"/>
                <w:szCs w:val="20"/>
              </w:rPr>
              <w:t>výzkum</w:t>
            </w:r>
            <w:r w:rsidR="16706530" w:rsidRPr="6C54F3A7">
              <w:rPr>
                <w:rFonts w:asciiTheme="minorHAnsi" w:eastAsiaTheme="minorEastAsia" w:hAnsiTheme="minorHAnsi" w:cstheme="minorBidi"/>
                <w:i w:val="0"/>
                <w:iCs w:val="0"/>
                <w:color w:val="auto"/>
                <w:sz w:val="20"/>
                <w:szCs w:val="20"/>
              </w:rPr>
              <w:t>u</w:t>
            </w:r>
            <w:r w:rsidRPr="6C54F3A7">
              <w:rPr>
                <w:rFonts w:asciiTheme="minorHAnsi" w:eastAsiaTheme="minorEastAsia" w:hAnsiTheme="minorHAnsi" w:cstheme="minorBidi"/>
                <w:i w:val="0"/>
                <w:iCs w:val="0"/>
                <w:color w:val="auto"/>
                <w:sz w:val="20"/>
                <w:szCs w:val="20"/>
              </w:rPr>
              <w:t xml:space="preserve"> socioekonomických dopadů nemocí</w:t>
            </w:r>
            <w:r w:rsidR="16706530" w:rsidRPr="6C54F3A7">
              <w:rPr>
                <w:rFonts w:asciiTheme="minorHAnsi" w:eastAsiaTheme="minorEastAsia" w:hAnsiTheme="minorHAnsi" w:cstheme="minorBidi"/>
                <w:i w:val="0"/>
                <w:iCs w:val="0"/>
                <w:color w:val="auto"/>
                <w:sz w:val="20"/>
                <w:szCs w:val="20"/>
              </w:rPr>
              <w:t>.</w:t>
            </w:r>
            <w:r w:rsidR="13881397" w:rsidRPr="6C54F3A7">
              <w:rPr>
                <w:rFonts w:asciiTheme="minorHAnsi" w:eastAsiaTheme="minorEastAsia" w:hAnsiTheme="minorHAnsi" w:cstheme="minorBidi"/>
                <w:i w:val="0"/>
                <w:iCs w:val="0"/>
                <w:color w:val="auto"/>
                <w:sz w:val="20"/>
                <w:szCs w:val="20"/>
              </w:rPr>
              <w:t xml:space="preserve"> Tento globální cíl se rozpadá do </w:t>
            </w:r>
            <w:r w:rsidR="328D3C17" w:rsidRPr="6C54F3A7">
              <w:rPr>
                <w:rFonts w:asciiTheme="minorHAnsi" w:eastAsiaTheme="minorEastAsia" w:hAnsiTheme="minorHAnsi" w:cstheme="minorBidi"/>
                <w:i w:val="0"/>
                <w:iCs w:val="0"/>
                <w:color w:val="auto"/>
                <w:sz w:val="20"/>
                <w:szCs w:val="20"/>
              </w:rPr>
              <w:t xml:space="preserve">jednoho milníku a </w:t>
            </w:r>
            <w:r w:rsidR="13881397" w:rsidRPr="6C54F3A7">
              <w:rPr>
                <w:rFonts w:asciiTheme="minorHAnsi" w:eastAsiaTheme="minorEastAsia" w:hAnsiTheme="minorHAnsi" w:cstheme="minorBidi"/>
                <w:i w:val="0"/>
                <w:iCs w:val="0"/>
                <w:color w:val="auto"/>
                <w:sz w:val="20"/>
                <w:szCs w:val="20"/>
              </w:rPr>
              <w:t>dvou realizačních dílčích cílů zmíněných:</w:t>
            </w:r>
          </w:p>
          <w:p w14:paraId="397DE4C7" w14:textId="245051D0" w:rsidR="00A302AB" w:rsidRDefault="76A040D9" w:rsidP="3A4C9812">
            <w:pPr>
              <w:pStyle w:val="K-TextInfo"/>
              <w:rPr>
                <w:rFonts w:asciiTheme="minorHAnsi" w:eastAsiaTheme="minorEastAsia" w:hAnsiTheme="minorHAnsi" w:cstheme="minorBidi"/>
                <w:i w:val="0"/>
                <w:iCs w:val="0"/>
                <w:color w:val="auto"/>
                <w:sz w:val="20"/>
                <w:szCs w:val="20"/>
              </w:rPr>
            </w:pPr>
            <w:r w:rsidRPr="3A4C9812">
              <w:rPr>
                <w:rFonts w:asciiTheme="minorHAnsi" w:eastAsiaTheme="minorEastAsia" w:hAnsiTheme="minorHAnsi" w:cstheme="minorBidi"/>
                <w:i w:val="0"/>
                <w:iCs w:val="0"/>
                <w:color w:val="auto"/>
                <w:sz w:val="20"/>
                <w:szCs w:val="20"/>
              </w:rPr>
              <w:t xml:space="preserve">Milník 1: </w:t>
            </w:r>
            <w:r w:rsidR="285F0CCD" w:rsidRPr="3A4C9812">
              <w:rPr>
                <w:rFonts w:asciiTheme="minorHAnsi" w:eastAsiaTheme="minorEastAsia" w:hAnsiTheme="minorHAnsi" w:cstheme="minorBidi"/>
                <w:i w:val="0"/>
                <w:iCs w:val="0"/>
                <w:color w:val="auto"/>
                <w:sz w:val="20"/>
                <w:szCs w:val="20"/>
              </w:rPr>
              <w:t>Spuštění nového</w:t>
            </w:r>
            <w:r w:rsidRPr="3A4C9812">
              <w:rPr>
                <w:rFonts w:asciiTheme="minorHAnsi" w:eastAsiaTheme="minorEastAsia" w:hAnsiTheme="minorHAnsi" w:cstheme="minorBidi"/>
                <w:i w:val="0"/>
                <w:iCs w:val="0"/>
                <w:color w:val="auto"/>
                <w:sz w:val="20"/>
                <w:szCs w:val="20"/>
              </w:rPr>
              <w:t xml:space="preserve"> program</w:t>
            </w:r>
            <w:r w:rsidR="073383B6" w:rsidRPr="3A4C9812">
              <w:rPr>
                <w:rFonts w:asciiTheme="minorHAnsi" w:eastAsiaTheme="minorEastAsia" w:hAnsiTheme="minorHAnsi" w:cstheme="minorBidi"/>
                <w:i w:val="0"/>
                <w:iCs w:val="0"/>
                <w:color w:val="auto"/>
                <w:sz w:val="20"/>
                <w:szCs w:val="20"/>
              </w:rPr>
              <w:t>u</w:t>
            </w:r>
            <w:r w:rsidRPr="3A4C9812">
              <w:rPr>
                <w:rFonts w:asciiTheme="minorHAnsi" w:eastAsiaTheme="minorEastAsia" w:hAnsiTheme="minorHAnsi" w:cstheme="minorBidi"/>
                <w:i w:val="0"/>
                <w:iCs w:val="0"/>
                <w:color w:val="auto"/>
                <w:sz w:val="20"/>
                <w:szCs w:val="20"/>
              </w:rPr>
              <w:t xml:space="preserve"> podpory </w:t>
            </w:r>
            <w:proofErr w:type="spellStart"/>
            <w:r w:rsidRPr="3A4C9812">
              <w:rPr>
                <w:rFonts w:asciiTheme="minorHAnsi" w:eastAsiaTheme="minorEastAsia" w:hAnsiTheme="minorHAnsi" w:cstheme="minorBidi"/>
                <w:i w:val="0"/>
                <w:iCs w:val="0"/>
                <w:color w:val="auto"/>
                <w:sz w:val="20"/>
                <w:szCs w:val="20"/>
              </w:rPr>
              <w:t>VaV</w:t>
            </w:r>
            <w:proofErr w:type="spellEnd"/>
            <w:r w:rsidR="1B527C10" w:rsidRPr="3A4C9812">
              <w:rPr>
                <w:rFonts w:asciiTheme="minorHAnsi" w:eastAsiaTheme="minorEastAsia" w:hAnsiTheme="minorHAnsi" w:cstheme="minorBidi"/>
                <w:i w:val="0"/>
                <w:iCs w:val="0"/>
                <w:color w:val="auto"/>
                <w:sz w:val="20"/>
                <w:szCs w:val="20"/>
              </w:rPr>
              <w:t xml:space="preserve"> (2021/Q4</w:t>
            </w:r>
            <w:r w:rsidR="14136682" w:rsidRPr="3A4C9812">
              <w:rPr>
                <w:rFonts w:asciiTheme="minorHAnsi" w:eastAsiaTheme="minorEastAsia" w:hAnsiTheme="minorHAnsi" w:cstheme="minorBidi"/>
                <w:i w:val="0"/>
                <w:iCs w:val="0"/>
                <w:color w:val="auto"/>
                <w:sz w:val="20"/>
                <w:szCs w:val="20"/>
              </w:rPr>
              <w:t>)</w:t>
            </w:r>
            <w:r w:rsidR="572E0307" w:rsidRPr="3A4C9812">
              <w:rPr>
                <w:rFonts w:asciiTheme="minorHAnsi" w:eastAsiaTheme="minorEastAsia" w:hAnsiTheme="minorHAnsi" w:cstheme="minorBidi"/>
                <w:i w:val="0"/>
                <w:iCs w:val="0"/>
                <w:color w:val="auto"/>
                <w:sz w:val="20"/>
                <w:szCs w:val="20"/>
              </w:rPr>
              <w:t xml:space="preserve"> </w:t>
            </w:r>
          </w:p>
          <w:p w14:paraId="5D0D5BA5" w14:textId="228708AA" w:rsidR="0035523A" w:rsidRDefault="328D3C17" w:rsidP="3A4C9812">
            <w:pPr>
              <w:pStyle w:val="K-TextInfo"/>
              <w:rPr>
                <w:rFonts w:asciiTheme="minorHAnsi" w:eastAsiaTheme="minorEastAsia" w:hAnsiTheme="minorHAnsi" w:cstheme="minorBidi"/>
                <w:i w:val="0"/>
                <w:iCs w:val="0"/>
                <w:color w:val="auto"/>
                <w:sz w:val="20"/>
                <w:szCs w:val="20"/>
              </w:rPr>
            </w:pPr>
            <w:r w:rsidRPr="3A4C9812">
              <w:rPr>
                <w:rFonts w:asciiTheme="minorHAnsi" w:eastAsiaTheme="minorEastAsia" w:hAnsiTheme="minorHAnsi" w:cstheme="minorBidi"/>
                <w:i w:val="0"/>
                <w:iCs w:val="0"/>
                <w:color w:val="auto"/>
                <w:sz w:val="20"/>
                <w:szCs w:val="20"/>
              </w:rPr>
              <w:t xml:space="preserve">Cíl 1: </w:t>
            </w:r>
            <w:r w:rsidR="6F858D71" w:rsidRPr="3A4C9812">
              <w:rPr>
                <w:rFonts w:asciiTheme="minorHAnsi" w:eastAsiaTheme="minorEastAsia" w:hAnsiTheme="minorHAnsi" w:cstheme="minorBidi"/>
                <w:i w:val="0"/>
                <w:iCs w:val="0"/>
                <w:color w:val="auto"/>
                <w:sz w:val="20"/>
                <w:szCs w:val="20"/>
              </w:rPr>
              <w:t>U</w:t>
            </w:r>
            <w:r w:rsidR="63F2A544" w:rsidRPr="3A4C9812">
              <w:rPr>
                <w:rFonts w:asciiTheme="minorHAnsi" w:eastAsiaTheme="minorEastAsia" w:hAnsiTheme="minorHAnsi" w:cstheme="minorBidi"/>
                <w:i w:val="0"/>
                <w:iCs w:val="0"/>
                <w:color w:val="auto"/>
                <w:sz w:val="20"/>
                <w:szCs w:val="20"/>
              </w:rPr>
              <w:t xml:space="preserve">zavření implementačních smluv na řešení </w:t>
            </w:r>
            <w:proofErr w:type="spellStart"/>
            <w:r w:rsidR="63F2A544" w:rsidRPr="3A4C9812">
              <w:rPr>
                <w:rFonts w:asciiTheme="minorHAnsi" w:eastAsiaTheme="minorEastAsia" w:hAnsiTheme="minorHAnsi" w:cstheme="minorBidi"/>
                <w:i w:val="0"/>
                <w:iCs w:val="0"/>
                <w:color w:val="auto"/>
                <w:sz w:val="20"/>
                <w:szCs w:val="20"/>
              </w:rPr>
              <w:t>VaV</w:t>
            </w:r>
            <w:proofErr w:type="spellEnd"/>
            <w:r w:rsidR="63F2A544" w:rsidRPr="3A4C9812">
              <w:rPr>
                <w:rFonts w:asciiTheme="minorHAnsi" w:eastAsiaTheme="minorEastAsia" w:hAnsiTheme="minorHAnsi" w:cstheme="minorBidi"/>
                <w:i w:val="0"/>
                <w:iCs w:val="0"/>
                <w:color w:val="auto"/>
                <w:sz w:val="20"/>
                <w:szCs w:val="20"/>
              </w:rPr>
              <w:t xml:space="preserve"> projektů mezi poskytovatelem a příjemci podpory a zahájení řešení konkrétních projektů</w:t>
            </w:r>
            <w:r w:rsidR="1C35A98A" w:rsidRPr="3A4C9812">
              <w:rPr>
                <w:rFonts w:asciiTheme="minorHAnsi" w:eastAsiaTheme="minorEastAsia" w:hAnsiTheme="minorHAnsi" w:cstheme="minorBidi"/>
                <w:i w:val="0"/>
                <w:iCs w:val="0"/>
                <w:color w:val="auto"/>
                <w:sz w:val="20"/>
                <w:szCs w:val="20"/>
              </w:rPr>
              <w:t>(2022/Q2</w:t>
            </w:r>
            <w:r w:rsidR="1B527C10" w:rsidRPr="3A4C9812">
              <w:rPr>
                <w:rFonts w:asciiTheme="minorHAnsi" w:eastAsiaTheme="minorEastAsia" w:hAnsiTheme="minorHAnsi" w:cstheme="minorBidi"/>
                <w:i w:val="0"/>
                <w:iCs w:val="0"/>
                <w:color w:val="auto"/>
                <w:sz w:val="20"/>
                <w:szCs w:val="20"/>
              </w:rPr>
              <w:t>)</w:t>
            </w:r>
          </w:p>
          <w:p w14:paraId="4774886F" w14:textId="72A47A72" w:rsidR="00A302AB" w:rsidRPr="00992741" w:rsidRDefault="76A040D9" w:rsidP="3A4C9812">
            <w:pPr>
              <w:pStyle w:val="K-TextInfo"/>
              <w:rPr>
                <w:rFonts w:asciiTheme="minorHAnsi" w:eastAsiaTheme="minorEastAsia" w:hAnsiTheme="minorHAnsi" w:cstheme="minorBidi"/>
                <w:i w:val="0"/>
                <w:iCs w:val="0"/>
                <w:color w:val="auto"/>
                <w:sz w:val="20"/>
                <w:szCs w:val="20"/>
              </w:rPr>
            </w:pPr>
            <w:r w:rsidRPr="3A4C9812">
              <w:rPr>
                <w:rFonts w:asciiTheme="minorHAnsi" w:eastAsiaTheme="minorEastAsia" w:hAnsiTheme="minorHAnsi" w:cstheme="minorBidi"/>
                <w:i w:val="0"/>
                <w:iCs w:val="0"/>
                <w:color w:val="auto"/>
                <w:sz w:val="20"/>
                <w:szCs w:val="20"/>
              </w:rPr>
              <w:t xml:space="preserve">Cíl 2.: </w:t>
            </w:r>
            <w:r w:rsidR="3545260B" w:rsidRPr="3A4C9812">
              <w:rPr>
                <w:rFonts w:asciiTheme="minorHAnsi" w:eastAsiaTheme="minorEastAsia" w:hAnsiTheme="minorHAnsi" w:cstheme="minorBidi"/>
                <w:i w:val="0"/>
                <w:iCs w:val="0"/>
                <w:color w:val="auto"/>
                <w:sz w:val="20"/>
                <w:szCs w:val="20"/>
              </w:rPr>
              <w:t>Potvrzení vzniku</w:t>
            </w:r>
            <w:r w:rsidRPr="3A4C9812">
              <w:rPr>
                <w:rFonts w:asciiTheme="minorHAnsi" w:eastAsiaTheme="minorEastAsia" w:hAnsiTheme="minorHAnsi" w:cstheme="minorBidi"/>
                <w:i w:val="0"/>
                <w:iCs w:val="0"/>
                <w:color w:val="auto"/>
                <w:sz w:val="20"/>
                <w:szCs w:val="20"/>
              </w:rPr>
              <w:t xml:space="preserve"> národních vědeckých autorit v oblastí výzkumu infekčních chorob, onkologie, metabolických poruch a kardiovaskulárních onemocnění nebo neurověd, a v oblasti výzkumu socioekonomických dopadů nemocí.</w:t>
            </w:r>
            <w:r w:rsidR="1B527C10" w:rsidRPr="3A4C9812">
              <w:rPr>
                <w:rFonts w:asciiTheme="minorHAnsi" w:eastAsiaTheme="minorEastAsia" w:hAnsiTheme="minorHAnsi" w:cstheme="minorBidi"/>
                <w:i w:val="0"/>
                <w:iCs w:val="0"/>
                <w:color w:val="auto"/>
                <w:sz w:val="20"/>
                <w:szCs w:val="20"/>
              </w:rPr>
              <w:t xml:space="preserve"> (202</w:t>
            </w:r>
            <w:r w:rsidR="2D64CEBC" w:rsidRPr="3A4C9812">
              <w:rPr>
                <w:rFonts w:asciiTheme="minorHAnsi" w:eastAsiaTheme="minorEastAsia" w:hAnsiTheme="minorHAnsi" w:cstheme="minorBidi"/>
                <w:i w:val="0"/>
                <w:iCs w:val="0"/>
                <w:color w:val="auto"/>
                <w:sz w:val="20"/>
                <w:szCs w:val="20"/>
              </w:rPr>
              <w:t>5</w:t>
            </w:r>
            <w:r w:rsidR="1B527C10" w:rsidRPr="3A4C9812">
              <w:rPr>
                <w:rFonts w:asciiTheme="minorHAnsi" w:eastAsiaTheme="minorEastAsia" w:hAnsiTheme="minorHAnsi" w:cstheme="minorBidi"/>
                <w:i w:val="0"/>
                <w:iCs w:val="0"/>
                <w:color w:val="auto"/>
                <w:sz w:val="20"/>
                <w:szCs w:val="20"/>
              </w:rPr>
              <w:t>/Q</w:t>
            </w:r>
            <w:r w:rsidR="3ECF77E9" w:rsidRPr="3A4C9812">
              <w:rPr>
                <w:rFonts w:asciiTheme="minorHAnsi" w:eastAsiaTheme="minorEastAsia" w:hAnsiTheme="minorHAnsi" w:cstheme="minorBidi"/>
                <w:i w:val="0"/>
                <w:iCs w:val="0"/>
                <w:color w:val="auto"/>
                <w:sz w:val="20"/>
                <w:szCs w:val="20"/>
              </w:rPr>
              <w:t>4</w:t>
            </w:r>
            <w:r w:rsidR="63F2A544" w:rsidRPr="3A4C9812">
              <w:rPr>
                <w:rFonts w:asciiTheme="minorHAnsi" w:eastAsiaTheme="minorEastAsia" w:hAnsiTheme="minorHAnsi" w:cstheme="minorBidi"/>
                <w:i w:val="0"/>
                <w:iCs w:val="0"/>
                <w:color w:val="auto"/>
                <w:sz w:val="20"/>
                <w:szCs w:val="20"/>
              </w:rPr>
              <w:t xml:space="preserve"> – ověření „funkčnosti“ národních vědeckých autorit v oblastech jejich působnosti</w:t>
            </w:r>
            <w:r w:rsidR="1B527C10" w:rsidRPr="3A4C9812">
              <w:rPr>
                <w:rFonts w:asciiTheme="minorHAnsi" w:eastAsiaTheme="minorEastAsia" w:hAnsiTheme="minorHAnsi" w:cstheme="minorBidi"/>
                <w:i w:val="0"/>
                <w:iCs w:val="0"/>
                <w:color w:val="auto"/>
                <w:sz w:val="20"/>
                <w:szCs w:val="20"/>
              </w:rPr>
              <w:t>)</w:t>
            </w:r>
          </w:p>
        </w:tc>
      </w:tr>
      <w:tr w:rsidR="00852465" w:rsidRPr="00992741" w14:paraId="0E956A8B" w14:textId="77777777" w:rsidTr="3A4C9812">
        <w:tc>
          <w:tcPr>
            <w:tcW w:w="3256" w:type="dxa"/>
          </w:tcPr>
          <w:p w14:paraId="6FC494AD" w14:textId="5393D2F8" w:rsidR="00852465" w:rsidRPr="00F34B12" w:rsidRDefault="2A7A153E" w:rsidP="6C54F3A7">
            <w:pPr>
              <w:pStyle w:val="K-Text"/>
              <w:spacing w:line="240" w:lineRule="auto"/>
              <w:jc w:val="left"/>
              <w:rPr>
                <w:rFonts w:asciiTheme="minorHAnsi" w:eastAsiaTheme="minorEastAsia" w:hAnsiTheme="minorHAnsi" w:cstheme="minorBidi"/>
                <w:sz w:val="20"/>
                <w:szCs w:val="20"/>
              </w:rPr>
            </w:pPr>
            <w:r w:rsidRPr="6C54F3A7">
              <w:rPr>
                <w:rFonts w:asciiTheme="minorHAnsi" w:eastAsiaTheme="minorEastAsia" w:hAnsiTheme="minorHAnsi" w:cstheme="minorBidi"/>
                <w:sz w:val="20"/>
                <w:szCs w:val="20"/>
              </w:rPr>
              <w:t>Implementace</w:t>
            </w:r>
          </w:p>
        </w:tc>
        <w:tc>
          <w:tcPr>
            <w:tcW w:w="6372" w:type="dxa"/>
          </w:tcPr>
          <w:p w14:paraId="351AD3F6" w14:textId="09222BAA" w:rsidR="004E506D" w:rsidRPr="00992741" w:rsidRDefault="5DFEF531"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 xml:space="preserve">Komponenta bude implementována </w:t>
            </w:r>
            <w:r w:rsidR="7C63463A" w:rsidRPr="6C54F3A7">
              <w:rPr>
                <w:rFonts w:asciiTheme="minorHAnsi" w:eastAsiaTheme="minorEastAsia" w:hAnsiTheme="minorHAnsi" w:cstheme="minorBidi"/>
                <w:i w:val="0"/>
                <w:iCs w:val="0"/>
                <w:color w:val="auto"/>
                <w:sz w:val="20"/>
                <w:szCs w:val="20"/>
              </w:rPr>
              <w:t>MŠMT/MEYS</w:t>
            </w:r>
            <w:r w:rsidR="01D1629F" w:rsidRPr="6C54F3A7">
              <w:rPr>
                <w:rFonts w:asciiTheme="minorHAnsi" w:eastAsiaTheme="minorEastAsia" w:hAnsiTheme="minorHAnsi" w:cstheme="minorBidi"/>
                <w:i w:val="0"/>
                <w:iCs w:val="0"/>
                <w:color w:val="auto"/>
                <w:sz w:val="20"/>
                <w:szCs w:val="20"/>
              </w:rPr>
              <w:t>, které bude poskytovatelem podpory,</w:t>
            </w:r>
            <w:r w:rsidR="7C63463A" w:rsidRPr="6C54F3A7">
              <w:rPr>
                <w:rFonts w:asciiTheme="minorHAnsi" w:eastAsiaTheme="minorEastAsia" w:hAnsiTheme="minorHAnsi" w:cstheme="minorBidi"/>
                <w:i w:val="0"/>
                <w:iCs w:val="0"/>
                <w:color w:val="auto"/>
                <w:sz w:val="20"/>
                <w:szCs w:val="20"/>
              </w:rPr>
              <w:t xml:space="preserve"> </w:t>
            </w:r>
            <w:r w:rsidR="01D1629F" w:rsidRPr="6C54F3A7">
              <w:rPr>
                <w:rFonts w:asciiTheme="minorHAnsi" w:eastAsiaTheme="minorEastAsia" w:hAnsiTheme="minorHAnsi" w:cstheme="minorBidi"/>
                <w:i w:val="0"/>
                <w:iCs w:val="0"/>
                <w:color w:val="auto"/>
                <w:sz w:val="20"/>
                <w:szCs w:val="20"/>
              </w:rPr>
              <w:t xml:space="preserve">a to </w:t>
            </w:r>
            <w:r w:rsidR="7C63463A" w:rsidRPr="6C54F3A7">
              <w:rPr>
                <w:rFonts w:asciiTheme="minorHAnsi" w:eastAsiaTheme="minorEastAsia" w:hAnsiTheme="minorHAnsi" w:cstheme="minorBidi"/>
                <w:i w:val="0"/>
                <w:iCs w:val="0"/>
                <w:color w:val="auto"/>
                <w:sz w:val="20"/>
                <w:szCs w:val="20"/>
              </w:rPr>
              <w:t xml:space="preserve">postupem podle zák. č. 130/2002 Sb. </w:t>
            </w:r>
            <w:r w:rsidR="11C4B70F" w:rsidRPr="6C54F3A7">
              <w:rPr>
                <w:rFonts w:asciiTheme="minorHAnsi" w:eastAsiaTheme="minorEastAsia" w:hAnsiTheme="minorHAnsi" w:cstheme="minorBidi"/>
                <w:i w:val="0"/>
                <w:iCs w:val="0"/>
                <w:color w:val="auto"/>
                <w:sz w:val="20"/>
                <w:szCs w:val="20"/>
              </w:rPr>
              <w:t>a </w:t>
            </w:r>
            <w:r w:rsidR="3ABD37AB" w:rsidRPr="6C54F3A7">
              <w:rPr>
                <w:rFonts w:asciiTheme="minorHAnsi" w:eastAsiaTheme="minorEastAsia" w:hAnsiTheme="minorHAnsi" w:cstheme="minorBidi"/>
                <w:i w:val="0"/>
                <w:iCs w:val="0"/>
                <w:color w:val="auto"/>
                <w:sz w:val="20"/>
                <w:szCs w:val="20"/>
              </w:rPr>
              <w:t xml:space="preserve">zejména </w:t>
            </w:r>
            <w:r w:rsidR="7C63463A" w:rsidRPr="6C54F3A7">
              <w:rPr>
                <w:rFonts w:asciiTheme="minorHAnsi" w:eastAsiaTheme="minorEastAsia" w:hAnsiTheme="minorHAnsi" w:cstheme="minorBidi"/>
                <w:i w:val="0"/>
                <w:iCs w:val="0"/>
                <w:color w:val="auto"/>
                <w:sz w:val="20"/>
                <w:szCs w:val="20"/>
              </w:rPr>
              <w:t>v návaznosti na</w:t>
            </w:r>
            <w:r w:rsidR="280262AC" w:rsidRPr="6C54F3A7">
              <w:rPr>
                <w:rFonts w:asciiTheme="minorHAnsi" w:eastAsiaTheme="minorEastAsia" w:hAnsiTheme="minorHAnsi" w:cstheme="minorBidi"/>
                <w:i w:val="0"/>
                <w:iCs w:val="0"/>
                <w:color w:val="auto"/>
                <w:sz w:val="20"/>
                <w:szCs w:val="20"/>
              </w:rPr>
              <w:t> </w:t>
            </w:r>
            <w:r w:rsidR="7C63463A" w:rsidRPr="6C54F3A7">
              <w:rPr>
                <w:rFonts w:asciiTheme="minorHAnsi" w:eastAsiaTheme="minorEastAsia" w:hAnsiTheme="minorHAnsi" w:cstheme="minorBidi"/>
                <w:i w:val="0"/>
                <w:iCs w:val="0"/>
                <w:color w:val="auto"/>
                <w:sz w:val="20"/>
                <w:szCs w:val="20"/>
              </w:rPr>
              <w:t xml:space="preserve">pravidla poskytování podpory </w:t>
            </w:r>
            <w:proofErr w:type="spellStart"/>
            <w:r w:rsidR="7C63463A" w:rsidRPr="6C54F3A7">
              <w:rPr>
                <w:rFonts w:asciiTheme="minorHAnsi" w:eastAsiaTheme="minorEastAsia" w:hAnsiTheme="minorHAnsi" w:cstheme="minorBidi"/>
                <w:i w:val="0"/>
                <w:iCs w:val="0"/>
                <w:color w:val="auto"/>
                <w:sz w:val="20"/>
                <w:szCs w:val="20"/>
              </w:rPr>
              <w:t>VaVaI</w:t>
            </w:r>
            <w:proofErr w:type="spellEnd"/>
            <w:r w:rsidR="7C63463A" w:rsidRPr="6C54F3A7">
              <w:rPr>
                <w:rFonts w:asciiTheme="minorHAnsi" w:eastAsiaTheme="minorEastAsia" w:hAnsiTheme="minorHAnsi" w:cstheme="minorBidi"/>
                <w:i w:val="0"/>
                <w:iCs w:val="0"/>
                <w:color w:val="auto"/>
                <w:sz w:val="20"/>
                <w:szCs w:val="20"/>
              </w:rPr>
              <w:t xml:space="preserve"> podle nařízení Komise č. 651/2014 (GBER)</w:t>
            </w:r>
            <w:r w:rsidR="0914962E" w:rsidRPr="6C54F3A7">
              <w:rPr>
                <w:rFonts w:asciiTheme="minorHAnsi" w:eastAsiaTheme="minorEastAsia" w:hAnsiTheme="minorHAnsi" w:cstheme="minorBidi"/>
                <w:i w:val="0"/>
                <w:iCs w:val="0"/>
                <w:color w:val="auto"/>
                <w:sz w:val="20"/>
                <w:szCs w:val="20"/>
              </w:rPr>
              <w:t>.</w:t>
            </w:r>
            <w:r w:rsidRPr="6C54F3A7">
              <w:rPr>
                <w:rFonts w:asciiTheme="minorHAnsi" w:eastAsiaTheme="minorEastAsia" w:hAnsiTheme="minorHAnsi" w:cstheme="minorBidi"/>
                <w:i w:val="0"/>
                <w:iCs w:val="0"/>
                <w:color w:val="auto"/>
                <w:sz w:val="20"/>
                <w:szCs w:val="20"/>
              </w:rPr>
              <w:t xml:space="preserve"> </w:t>
            </w:r>
            <w:r w:rsidR="01D1629F" w:rsidRPr="6C54F3A7">
              <w:rPr>
                <w:rFonts w:asciiTheme="minorHAnsi" w:eastAsiaTheme="minorEastAsia" w:hAnsiTheme="minorHAnsi" w:cstheme="minorBidi"/>
                <w:i w:val="0"/>
                <w:iCs w:val="0"/>
                <w:color w:val="auto"/>
                <w:sz w:val="20"/>
                <w:szCs w:val="20"/>
              </w:rPr>
              <w:t>Poskytovatel použije j</w:t>
            </w:r>
            <w:r w:rsidRPr="6C54F3A7">
              <w:rPr>
                <w:rFonts w:asciiTheme="minorHAnsi" w:eastAsiaTheme="minorEastAsia" w:hAnsiTheme="minorHAnsi" w:cstheme="minorBidi"/>
                <w:i w:val="0"/>
                <w:iCs w:val="0"/>
                <w:color w:val="auto"/>
                <w:sz w:val="20"/>
                <w:szCs w:val="20"/>
              </w:rPr>
              <w:t xml:space="preserve">ako </w:t>
            </w:r>
            <w:r w:rsidR="01D1629F" w:rsidRPr="6C54F3A7">
              <w:rPr>
                <w:rFonts w:asciiTheme="minorHAnsi" w:eastAsiaTheme="minorEastAsia" w:hAnsiTheme="minorHAnsi" w:cstheme="minorBidi"/>
                <w:i w:val="0"/>
                <w:iCs w:val="0"/>
                <w:color w:val="auto"/>
                <w:sz w:val="20"/>
                <w:szCs w:val="20"/>
              </w:rPr>
              <w:t xml:space="preserve">implementační </w:t>
            </w:r>
            <w:r w:rsidRPr="6C54F3A7">
              <w:rPr>
                <w:rFonts w:asciiTheme="minorHAnsi" w:eastAsiaTheme="minorEastAsia" w:hAnsiTheme="minorHAnsi" w:cstheme="minorBidi"/>
                <w:i w:val="0"/>
                <w:iCs w:val="0"/>
                <w:color w:val="auto"/>
                <w:sz w:val="20"/>
                <w:szCs w:val="20"/>
              </w:rPr>
              <w:t xml:space="preserve">nástroj standardní zákonné </w:t>
            </w:r>
            <w:proofErr w:type="gramStart"/>
            <w:r w:rsidRPr="6C54F3A7">
              <w:rPr>
                <w:rFonts w:asciiTheme="minorHAnsi" w:eastAsiaTheme="minorEastAsia" w:hAnsiTheme="minorHAnsi" w:cstheme="minorBidi"/>
                <w:i w:val="0"/>
                <w:iCs w:val="0"/>
                <w:color w:val="auto"/>
                <w:sz w:val="20"/>
                <w:szCs w:val="20"/>
              </w:rPr>
              <w:t>schéma - program</w:t>
            </w:r>
            <w:proofErr w:type="gramEnd"/>
            <w:r w:rsidRPr="6C54F3A7">
              <w:rPr>
                <w:rFonts w:asciiTheme="minorHAnsi" w:eastAsiaTheme="minorEastAsia" w:hAnsiTheme="minorHAnsi" w:cstheme="minorBidi"/>
                <w:i w:val="0"/>
                <w:iCs w:val="0"/>
                <w:color w:val="auto"/>
                <w:sz w:val="20"/>
                <w:szCs w:val="20"/>
              </w:rPr>
              <w:t xml:space="preserve"> podpory výzkumu a vývoje podle výše uvedené národní legislativy. Administraci programu zajistí věcně příslušný odbor podpory výzkumu a vývoje </w:t>
            </w:r>
            <w:r w:rsidR="01D1629F" w:rsidRPr="6C54F3A7">
              <w:rPr>
                <w:rFonts w:asciiTheme="minorHAnsi" w:eastAsiaTheme="minorEastAsia" w:hAnsiTheme="minorHAnsi" w:cstheme="minorBidi"/>
                <w:i w:val="0"/>
                <w:iCs w:val="0"/>
                <w:color w:val="auto"/>
                <w:sz w:val="20"/>
                <w:szCs w:val="20"/>
              </w:rPr>
              <w:t>MŠMT/MEYS</w:t>
            </w:r>
            <w:r w:rsidRPr="6C54F3A7">
              <w:rPr>
                <w:rFonts w:asciiTheme="minorHAnsi" w:eastAsiaTheme="minorEastAsia" w:hAnsiTheme="minorHAnsi" w:cstheme="minorBidi"/>
                <w:i w:val="0"/>
                <w:iCs w:val="0"/>
                <w:color w:val="auto"/>
                <w:sz w:val="20"/>
                <w:szCs w:val="20"/>
              </w:rPr>
              <w:t xml:space="preserve">. </w:t>
            </w:r>
            <w:r w:rsidR="483E5862" w:rsidRPr="6C54F3A7">
              <w:rPr>
                <w:rFonts w:asciiTheme="minorHAnsi" w:eastAsiaTheme="minorEastAsia" w:hAnsiTheme="minorHAnsi" w:cstheme="minorBidi"/>
                <w:i w:val="0"/>
                <w:iCs w:val="0"/>
                <w:color w:val="auto"/>
                <w:sz w:val="20"/>
                <w:szCs w:val="20"/>
              </w:rPr>
              <w:t>Věcné zaměření podpory bude koordinováno společně se zástupci Ministerstva zdravotnictví v návaznosti na komponenty 6.1 a 6.</w:t>
            </w:r>
            <w:r w:rsidR="1C4FFD6B" w:rsidRPr="6C54F3A7">
              <w:rPr>
                <w:rFonts w:asciiTheme="minorHAnsi" w:eastAsiaTheme="minorEastAsia" w:hAnsiTheme="minorHAnsi" w:cstheme="minorBidi"/>
                <w:i w:val="0"/>
                <w:iCs w:val="0"/>
                <w:color w:val="auto"/>
                <w:sz w:val="20"/>
                <w:szCs w:val="20"/>
              </w:rPr>
              <w:t>2.</w:t>
            </w:r>
            <w:r w:rsidR="483E5862" w:rsidRPr="6C54F3A7">
              <w:rPr>
                <w:rFonts w:asciiTheme="minorHAnsi" w:eastAsiaTheme="minorEastAsia" w:hAnsiTheme="minorHAnsi" w:cstheme="minorBidi"/>
                <w:color w:val="auto"/>
                <w:sz w:val="20"/>
                <w:szCs w:val="20"/>
              </w:rPr>
              <w:t xml:space="preserve"> </w:t>
            </w:r>
            <w:r w:rsidRPr="6C54F3A7">
              <w:rPr>
                <w:rFonts w:asciiTheme="minorHAnsi" w:eastAsiaTheme="minorEastAsia" w:hAnsiTheme="minorHAnsi" w:cstheme="minorBidi"/>
                <w:i w:val="0"/>
                <w:iCs w:val="0"/>
                <w:color w:val="auto"/>
                <w:sz w:val="20"/>
                <w:szCs w:val="20"/>
              </w:rPr>
              <w:t xml:space="preserve">Z hlediska personálního zabezpečení </w:t>
            </w:r>
            <w:r w:rsidR="01D1629F" w:rsidRPr="6C54F3A7">
              <w:rPr>
                <w:rFonts w:asciiTheme="minorHAnsi" w:eastAsiaTheme="minorEastAsia" w:hAnsiTheme="minorHAnsi" w:cstheme="minorBidi"/>
                <w:i w:val="0"/>
                <w:iCs w:val="0"/>
                <w:color w:val="auto"/>
                <w:sz w:val="20"/>
                <w:szCs w:val="20"/>
              </w:rPr>
              <w:t>poskytovatel vyčlení</w:t>
            </w:r>
            <w:r w:rsidRPr="6C54F3A7">
              <w:rPr>
                <w:rFonts w:asciiTheme="minorHAnsi" w:eastAsiaTheme="minorEastAsia" w:hAnsiTheme="minorHAnsi" w:cstheme="minorBidi"/>
                <w:i w:val="0"/>
                <w:iCs w:val="0"/>
                <w:color w:val="auto"/>
                <w:sz w:val="20"/>
                <w:szCs w:val="20"/>
              </w:rPr>
              <w:t xml:space="preserve"> potřebn</w:t>
            </w:r>
            <w:r w:rsidR="01D1629F" w:rsidRPr="6C54F3A7">
              <w:rPr>
                <w:rFonts w:asciiTheme="minorHAnsi" w:eastAsiaTheme="minorEastAsia" w:hAnsiTheme="minorHAnsi" w:cstheme="minorBidi"/>
                <w:i w:val="0"/>
                <w:iCs w:val="0"/>
                <w:color w:val="auto"/>
                <w:sz w:val="20"/>
                <w:szCs w:val="20"/>
              </w:rPr>
              <w:t>ou</w:t>
            </w:r>
            <w:r w:rsidRPr="6C54F3A7">
              <w:rPr>
                <w:rFonts w:asciiTheme="minorHAnsi" w:eastAsiaTheme="minorEastAsia" w:hAnsiTheme="minorHAnsi" w:cstheme="minorBidi"/>
                <w:i w:val="0"/>
                <w:iCs w:val="0"/>
                <w:color w:val="auto"/>
                <w:sz w:val="20"/>
                <w:szCs w:val="20"/>
              </w:rPr>
              <w:t xml:space="preserve"> část </w:t>
            </w:r>
            <w:r w:rsidR="01D1629F" w:rsidRPr="6C54F3A7">
              <w:rPr>
                <w:rFonts w:asciiTheme="minorHAnsi" w:eastAsiaTheme="minorEastAsia" w:hAnsiTheme="minorHAnsi" w:cstheme="minorBidi"/>
                <w:i w:val="0"/>
                <w:iCs w:val="0"/>
                <w:color w:val="auto"/>
                <w:sz w:val="20"/>
                <w:szCs w:val="20"/>
              </w:rPr>
              <w:t xml:space="preserve">pracovní </w:t>
            </w:r>
            <w:r w:rsidRPr="6C54F3A7">
              <w:rPr>
                <w:rFonts w:asciiTheme="minorHAnsi" w:eastAsiaTheme="minorEastAsia" w:hAnsiTheme="minorHAnsi" w:cstheme="minorBidi"/>
                <w:i w:val="0"/>
                <w:iCs w:val="0"/>
                <w:color w:val="auto"/>
                <w:sz w:val="20"/>
                <w:szCs w:val="20"/>
              </w:rPr>
              <w:t xml:space="preserve">kapacity u dvou stávajících věcně příslušných úředníků a jednoho rozpočtáře, kteří budou schopni zavedeným standardním způsobem a </w:t>
            </w:r>
            <w:r w:rsidR="01D1629F" w:rsidRPr="6C54F3A7">
              <w:rPr>
                <w:rFonts w:asciiTheme="minorHAnsi" w:eastAsiaTheme="minorEastAsia" w:hAnsiTheme="minorHAnsi" w:cstheme="minorBidi"/>
                <w:i w:val="0"/>
                <w:iCs w:val="0"/>
                <w:color w:val="auto"/>
                <w:sz w:val="20"/>
                <w:szCs w:val="20"/>
              </w:rPr>
              <w:t xml:space="preserve">zákonnými </w:t>
            </w:r>
            <w:r w:rsidRPr="6C54F3A7">
              <w:rPr>
                <w:rFonts w:asciiTheme="minorHAnsi" w:eastAsiaTheme="minorEastAsia" w:hAnsiTheme="minorHAnsi" w:cstheme="minorBidi"/>
                <w:i w:val="0"/>
                <w:iCs w:val="0"/>
                <w:color w:val="auto"/>
                <w:sz w:val="20"/>
                <w:szCs w:val="20"/>
              </w:rPr>
              <w:t xml:space="preserve">postupy zajistit realizaci programu a jednotlivých projektů </w:t>
            </w:r>
            <w:r w:rsidRPr="6C54F3A7">
              <w:rPr>
                <w:rFonts w:asciiTheme="minorHAnsi" w:eastAsiaTheme="minorEastAsia" w:hAnsiTheme="minorHAnsi" w:cstheme="minorBidi"/>
                <w:i w:val="0"/>
                <w:iCs w:val="0"/>
                <w:color w:val="auto"/>
                <w:sz w:val="20"/>
                <w:szCs w:val="20"/>
              </w:rPr>
              <w:lastRenderedPageBreak/>
              <w:t xml:space="preserve">v součinnosti s ostatními relevantními útvary </w:t>
            </w:r>
            <w:r w:rsidR="01D1629F" w:rsidRPr="6C54F3A7">
              <w:rPr>
                <w:rFonts w:asciiTheme="minorHAnsi" w:eastAsiaTheme="minorEastAsia" w:hAnsiTheme="minorHAnsi" w:cstheme="minorBidi"/>
                <w:i w:val="0"/>
                <w:iCs w:val="0"/>
                <w:color w:val="auto"/>
                <w:sz w:val="20"/>
                <w:szCs w:val="20"/>
              </w:rPr>
              <w:t>MŠMT/MEYS</w:t>
            </w:r>
            <w:r w:rsidR="483E5862" w:rsidRPr="6C54F3A7">
              <w:rPr>
                <w:rFonts w:asciiTheme="minorHAnsi" w:eastAsiaTheme="minorEastAsia" w:hAnsiTheme="minorHAnsi" w:cstheme="minorBidi"/>
                <w:i w:val="0"/>
                <w:iCs w:val="0"/>
                <w:color w:val="auto"/>
                <w:sz w:val="20"/>
                <w:szCs w:val="20"/>
              </w:rPr>
              <w:t>,</w:t>
            </w:r>
            <w:r w:rsidR="1C4FFD6B" w:rsidRPr="6C54F3A7">
              <w:rPr>
                <w:rFonts w:asciiTheme="minorHAnsi" w:eastAsiaTheme="minorEastAsia" w:hAnsiTheme="minorHAnsi" w:cstheme="minorBidi"/>
                <w:i w:val="0"/>
                <w:iCs w:val="0"/>
                <w:color w:val="auto"/>
                <w:sz w:val="20"/>
                <w:szCs w:val="20"/>
              </w:rPr>
              <w:t xml:space="preserve"> </w:t>
            </w:r>
            <w:proofErr w:type="spellStart"/>
            <w:r w:rsidR="483E5862" w:rsidRPr="6C54F3A7">
              <w:rPr>
                <w:rFonts w:asciiTheme="minorHAnsi" w:eastAsiaTheme="minorEastAsia" w:hAnsiTheme="minorHAnsi" w:cstheme="minorBidi"/>
                <w:i w:val="0"/>
                <w:iCs w:val="0"/>
                <w:color w:val="auto"/>
                <w:sz w:val="20"/>
                <w:szCs w:val="20"/>
              </w:rPr>
              <w:t>MZd</w:t>
            </w:r>
            <w:proofErr w:type="spellEnd"/>
            <w:r w:rsidRPr="6C54F3A7">
              <w:rPr>
                <w:rFonts w:asciiTheme="minorHAnsi" w:eastAsiaTheme="minorEastAsia" w:hAnsiTheme="minorHAnsi" w:cstheme="minorBidi"/>
                <w:i w:val="0"/>
                <w:iCs w:val="0"/>
                <w:color w:val="auto"/>
                <w:sz w:val="20"/>
                <w:szCs w:val="20"/>
              </w:rPr>
              <w:t xml:space="preserve"> a MF. </w:t>
            </w:r>
            <w:r w:rsidR="63E884E0" w:rsidRPr="6C54F3A7">
              <w:rPr>
                <w:rFonts w:asciiTheme="minorHAnsi" w:eastAsiaTheme="minorEastAsia" w:hAnsiTheme="minorHAnsi" w:cstheme="minorBidi"/>
                <w:i w:val="0"/>
                <w:iCs w:val="0"/>
                <w:color w:val="auto"/>
                <w:sz w:val="20"/>
                <w:szCs w:val="20"/>
              </w:rPr>
              <w:t>Stávající IT</w:t>
            </w:r>
            <w:r w:rsidR="581D92FA" w:rsidRPr="6C54F3A7">
              <w:rPr>
                <w:rFonts w:asciiTheme="minorHAnsi" w:eastAsiaTheme="minorEastAsia" w:hAnsiTheme="minorHAnsi" w:cstheme="minorBidi"/>
                <w:i w:val="0"/>
                <w:iCs w:val="0"/>
                <w:color w:val="auto"/>
                <w:sz w:val="20"/>
                <w:szCs w:val="20"/>
              </w:rPr>
              <w:t>C</w:t>
            </w:r>
            <w:r w:rsidR="63E884E0" w:rsidRPr="6C54F3A7">
              <w:rPr>
                <w:rFonts w:asciiTheme="minorHAnsi" w:eastAsiaTheme="minorEastAsia" w:hAnsiTheme="minorHAnsi" w:cstheme="minorBidi"/>
                <w:i w:val="0"/>
                <w:iCs w:val="0"/>
                <w:color w:val="auto"/>
                <w:sz w:val="20"/>
                <w:szCs w:val="20"/>
              </w:rPr>
              <w:t xml:space="preserve"> zajištění na národní úrovni je postačující.</w:t>
            </w:r>
          </w:p>
          <w:p w14:paraId="491F1C7B" w14:textId="3AD272F0" w:rsidR="00507E31" w:rsidRPr="00992741" w:rsidRDefault="5DFEF531" w:rsidP="6C54F3A7">
            <w:pPr>
              <w:pStyle w:val="paragraph"/>
              <w:spacing w:before="0" w:beforeAutospacing="0" w:after="0" w:afterAutospacing="0"/>
              <w:jc w:val="both"/>
              <w:textAlignment w:val="baseline"/>
              <w:rPr>
                <w:rFonts w:asciiTheme="minorHAnsi" w:eastAsiaTheme="minorEastAsia" w:hAnsiTheme="minorHAnsi" w:cstheme="minorBidi"/>
                <w:sz w:val="20"/>
                <w:szCs w:val="20"/>
              </w:rPr>
            </w:pPr>
            <w:r w:rsidRPr="6C54F3A7">
              <w:rPr>
                <w:rFonts w:asciiTheme="minorHAnsi" w:eastAsiaTheme="minorEastAsia" w:hAnsiTheme="minorHAnsi" w:cstheme="minorBidi"/>
                <w:sz w:val="20"/>
                <w:szCs w:val="20"/>
                <w:lang w:eastAsia="en-US"/>
              </w:rPr>
              <w:t xml:space="preserve">Garantem věcné i procesní správnosti </w:t>
            </w:r>
            <w:r w:rsidR="63E884E0" w:rsidRPr="6C54F3A7">
              <w:rPr>
                <w:rFonts w:asciiTheme="minorHAnsi" w:eastAsiaTheme="minorEastAsia" w:hAnsiTheme="minorHAnsi" w:cstheme="minorBidi"/>
                <w:sz w:val="20"/>
                <w:szCs w:val="20"/>
                <w:lang w:eastAsia="en-US"/>
              </w:rPr>
              <w:t xml:space="preserve">realizace programu včetně vyhlášení veřejné soutěže ve </w:t>
            </w:r>
            <w:proofErr w:type="spellStart"/>
            <w:r w:rsidR="63E884E0" w:rsidRPr="6C54F3A7">
              <w:rPr>
                <w:rFonts w:asciiTheme="minorHAnsi" w:eastAsiaTheme="minorEastAsia" w:hAnsiTheme="minorHAnsi" w:cstheme="minorBidi"/>
                <w:sz w:val="20"/>
                <w:szCs w:val="20"/>
                <w:lang w:eastAsia="en-US"/>
              </w:rPr>
              <w:t>VaVaI</w:t>
            </w:r>
            <w:proofErr w:type="spellEnd"/>
            <w:r w:rsidR="63E884E0" w:rsidRPr="6C54F3A7">
              <w:rPr>
                <w:rFonts w:asciiTheme="minorHAnsi" w:eastAsiaTheme="minorEastAsia" w:hAnsiTheme="minorHAnsi" w:cstheme="minorBidi"/>
                <w:sz w:val="20"/>
                <w:szCs w:val="20"/>
                <w:lang w:eastAsia="en-US"/>
              </w:rPr>
              <w:t xml:space="preserve"> </w:t>
            </w:r>
            <w:r w:rsidRPr="6C54F3A7">
              <w:rPr>
                <w:rFonts w:asciiTheme="minorHAnsi" w:eastAsiaTheme="minorEastAsia" w:hAnsiTheme="minorHAnsi" w:cstheme="minorBidi"/>
                <w:sz w:val="20"/>
                <w:szCs w:val="20"/>
                <w:lang w:eastAsia="en-US"/>
              </w:rPr>
              <w:t xml:space="preserve">je </w:t>
            </w:r>
            <w:r w:rsidR="01D1629F" w:rsidRPr="6C54F3A7">
              <w:rPr>
                <w:rFonts w:asciiTheme="minorHAnsi" w:eastAsiaTheme="minorEastAsia" w:hAnsiTheme="minorHAnsi" w:cstheme="minorBidi"/>
                <w:sz w:val="20"/>
                <w:szCs w:val="20"/>
                <w:lang w:eastAsia="en-US"/>
              </w:rPr>
              <w:t>dle zákona poskytovatel, tj. MŠMT/MEYS</w:t>
            </w:r>
            <w:r w:rsidRPr="6C54F3A7">
              <w:rPr>
                <w:rFonts w:asciiTheme="minorHAnsi" w:eastAsiaTheme="minorEastAsia" w:hAnsiTheme="minorHAnsi" w:cstheme="minorBidi"/>
                <w:sz w:val="20"/>
                <w:szCs w:val="20"/>
                <w:lang w:eastAsia="en-US"/>
              </w:rPr>
              <w:t xml:space="preserve">. </w:t>
            </w:r>
            <w:r w:rsidR="63E884E0" w:rsidRPr="6C54F3A7">
              <w:rPr>
                <w:rFonts w:asciiTheme="minorHAnsi" w:eastAsiaTheme="minorEastAsia" w:hAnsiTheme="minorHAnsi" w:cstheme="minorBidi"/>
                <w:sz w:val="20"/>
                <w:szCs w:val="20"/>
                <w:lang w:eastAsia="en-US"/>
              </w:rPr>
              <w:t>Dohled nad nakládáním s veřejnými prostředky státního rozpočtu ČR vykonává standardně MF, finanční úřady a N</w:t>
            </w:r>
            <w:r w:rsidR="47DDF8AD" w:rsidRPr="6C54F3A7">
              <w:rPr>
                <w:rFonts w:asciiTheme="minorHAnsi" w:eastAsiaTheme="minorEastAsia" w:hAnsiTheme="minorHAnsi" w:cstheme="minorBidi"/>
                <w:sz w:val="20"/>
                <w:szCs w:val="20"/>
                <w:lang w:eastAsia="en-US"/>
              </w:rPr>
              <w:t>ejvyšší</w:t>
            </w:r>
            <w:r w:rsidR="63E884E0" w:rsidRPr="6C54F3A7">
              <w:rPr>
                <w:rFonts w:asciiTheme="minorHAnsi" w:eastAsiaTheme="minorEastAsia" w:hAnsiTheme="minorHAnsi" w:cstheme="minorBidi"/>
                <w:sz w:val="20"/>
                <w:szCs w:val="20"/>
                <w:lang w:eastAsia="en-US"/>
              </w:rPr>
              <w:t xml:space="preserve"> kontrolní úřad. Zákonný dohled nad dodržováním pravidel veřejné podpory na národní úrovni zajišťuje Úřad pro ochranu hospodářské soutěže. </w:t>
            </w:r>
          </w:p>
          <w:p w14:paraId="6388B505" w14:textId="614262ED" w:rsidR="00941192" w:rsidRPr="00992741" w:rsidRDefault="00941192" w:rsidP="6C54F3A7">
            <w:pPr>
              <w:pStyle w:val="paragraph"/>
              <w:spacing w:before="0" w:beforeAutospacing="0" w:after="0" w:afterAutospacing="0"/>
              <w:jc w:val="both"/>
              <w:textAlignment w:val="baseline"/>
              <w:rPr>
                <w:rFonts w:asciiTheme="minorHAnsi" w:eastAsiaTheme="minorEastAsia" w:hAnsiTheme="minorHAnsi" w:cstheme="minorBidi"/>
                <w:sz w:val="20"/>
                <w:szCs w:val="20"/>
              </w:rPr>
            </w:pPr>
          </w:p>
        </w:tc>
      </w:tr>
      <w:tr w:rsidR="00852465" w:rsidRPr="00992741" w14:paraId="2195ABDF" w14:textId="77777777" w:rsidTr="3A4C9812">
        <w:trPr>
          <w:trHeight w:val="70"/>
        </w:trPr>
        <w:tc>
          <w:tcPr>
            <w:tcW w:w="3256" w:type="dxa"/>
          </w:tcPr>
          <w:p w14:paraId="1525154A" w14:textId="7824B62D" w:rsidR="00852465" w:rsidRPr="00992741" w:rsidRDefault="085A561D" w:rsidP="6C54F3A7">
            <w:pPr>
              <w:pStyle w:val="K-Text"/>
              <w:spacing w:line="240" w:lineRule="auto"/>
              <w:jc w:val="left"/>
              <w:rPr>
                <w:rFonts w:asciiTheme="minorHAnsi" w:eastAsiaTheme="minorEastAsia" w:hAnsiTheme="minorHAnsi" w:cstheme="minorBidi"/>
                <w:sz w:val="20"/>
                <w:szCs w:val="20"/>
              </w:rPr>
            </w:pPr>
            <w:r w:rsidRPr="6C54F3A7">
              <w:rPr>
                <w:rFonts w:asciiTheme="minorHAnsi" w:eastAsiaTheme="minorEastAsia" w:hAnsiTheme="minorHAnsi" w:cstheme="minorBidi"/>
                <w:sz w:val="20"/>
                <w:szCs w:val="20"/>
              </w:rPr>
              <w:lastRenderedPageBreak/>
              <w:t xml:space="preserve">Spolupráce </w:t>
            </w:r>
            <w:r w:rsidR="11C4B70F" w:rsidRPr="6C54F3A7">
              <w:rPr>
                <w:rFonts w:asciiTheme="minorHAnsi" w:eastAsiaTheme="minorEastAsia" w:hAnsiTheme="minorHAnsi" w:cstheme="minorBidi"/>
                <w:sz w:val="20"/>
                <w:szCs w:val="20"/>
              </w:rPr>
              <w:t>a </w:t>
            </w:r>
            <w:r w:rsidRPr="6C54F3A7">
              <w:rPr>
                <w:rFonts w:asciiTheme="minorHAnsi" w:eastAsiaTheme="minorEastAsia" w:hAnsiTheme="minorHAnsi" w:cstheme="minorBidi"/>
                <w:sz w:val="20"/>
                <w:szCs w:val="20"/>
              </w:rPr>
              <w:t>z</w:t>
            </w:r>
            <w:r w:rsidR="2A7A153E" w:rsidRPr="6C54F3A7">
              <w:rPr>
                <w:rFonts w:asciiTheme="minorHAnsi" w:eastAsiaTheme="minorEastAsia" w:hAnsiTheme="minorHAnsi" w:cstheme="minorBidi"/>
                <w:sz w:val="20"/>
                <w:szCs w:val="20"/>
              </w:rPr>
              <w:t>apojení zúčastněných stran</w:t>
            </w:r>
          </w:p>
        </w:tc>
        <w:tc>
          <w:tcPr>
            <w:tcW w:w="6372" w:type="dxa"/>
          </w:tcPr>
          <w:p w14:paraId="7E5D717D" w14:textId="77777777" w:rsidR="00852465" w:rsidRDefault="11C4B70F"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V </w:t>
            </w:r>
            <w:r w:rsidR="0914962E" w:rsidRPr="6C54F3A7">
              <w:rPr>
                <w:rFonts w:asciiTheme="minorHAnsi" w:eastAsiaTheme="minorEastAsia" w:hAnsiTheme="minorHAnsi" w:cstheme="minorBidi"/>
                <w:i w:val="0"/>
                <w:iCs w:val="0"/>
                <w:color w:val="auto"/>
                <w:sz w:val="20"/>
                <w:szCs w:val="20"/>
              </w:rPr>
              <w:t xml:space="preserve">prioritních oblastech lékařských </w:t>
            </w:r>
            <w:r w:rsidRPr="6C54F3A7">
              <w:rPr>
                <w:rFonts w:asciiTheme="minorHAnsi" w:eastAsiaTheme="minorEastAsia" w:hAnsiTheme="minorHAnsi" w:cstheme="minorBidi"/>
                <w:i w:val="0"/>
                <w:iCs w:val="0"/>
                <w:color w:val="auto"/>
                <w:sz w:val="20"/>
                <w:szCs w:val="20"/>
              </w:rPr>
              <w:t>a </w:t>
            </w:r>
            <w:r w:rsidR="0914962E" w:rsidRPr="6C54F3A7">
              <w:rPr>
                <w:rFonts w:asciiTheme="minorHAnsi" w:eastAsiaTheme="minorEastAsia" w:hAnsiTheme="minorHAnsi" w:cstheme="minorBidi"/>
                <w:i w:val="0"/>
                <w:iCs w:val="0"/>
                <w:color w:val="auto"/>
                <w:sz w:val="20"/>
                <w:szCs w:val="20"/>
              </w:rPr>
              <w:t>souvisejících společenských vědách</w:t>
            </w:r>
            <w:r w:rsidR="62317338" w:rsidRPr="6C54F3A7">
              <w:rPr>
                <w:rFonts w:asciiTheme="minorHAnsi" w:eastAsiaTheme="minorEastAsia" w:hAnsiTheme="minorHAnsi" w:cstheme="minorBidi"/>
                <w:i w:val="0"/>
                <w:iCs w:val="0"/>
                <w:color w:val="auto"/>
                <w:sz w:val="20"/>
                <w:szCs w:val="20"/>
              </w:rPr>
              <w:t xml:space="preserve"> etablované vysoké školy</w:t>
            </w:r>
            <w:r w:rsidR="0914962E" w:rsidRPr="6C54F3A7">
              <w:rPr>
                <w:rFonts w:asciiTheme="minorHAnsi" w:eastAsiaTheme="minorEastAsia" w:hAnsiTheme="minorHAnsi" w:cstheme="minorBidi"/>
                <w:i w:val="0"/>
                <w:iCs w:val="0"/>
                <w:color w:val="auto"/>
                <w:sz w:val="20"/>
                <w:szCs w:val="20"/>
              </w:rPr>
              <w:t xml:space="preserve">, Akademie věd ČR </w:t>
            </w:r>
            <w:r w:rsidRPr="6C54F3A7">
              <w:rPr>
                <w:rFonts w:asciiTheme="minorHAnsi" w:eastAsiaTheme="minorEastAsia" w:hAnsiTheme="minorHAnsi" w:cstheme="minorBidi"/>
                <w:i w:val="0"/>
                <w:iCs w:val="0"/>
                <w:color w:val="auto"/>
                <w:sz w:val="20"/>
                <w:szCs w:val="20"/>
              </w:rPr>
              <w:t>a </w:t>
            </w:r>
            <w:r w:rsidR="0914962E" w:rsidRPr="6C54F3A7">
              <w:rPr>
                <w:rFonts w:asciiTheme="minorHAnsi" w:eastAsiaTheme="minorEastAsia" w:hAnsiTheme="minorHAnsi" w:cstheme="minorBidi"/>
                <w:i w:val="0"/>
                <w:iCs w:val="0"/>
                <w:color w:val="auto"/>
                <w:sz w:val="20"/>
                <w:szCs w:val="20"/>
              </w:rPr>
              <w:t>její specializované ústavy</w:t>
            </w:r>
            <w:r w:rsidR="01D1629F" w:rsidRPr="6C54F3A7">
              <w:rPr>
                <w:rFonts w:asciiTheme="minorHAnsi" w:eastAsiaTheme="minorEastAsia" w:hAnsiTheme="minorHAnsi" w:cstheme="minorBidi"/>
                <w:i w:val="0"/>
                <w:iCs w:val="0"/>
                <w:color w:val="auto"/>
                <w:sz w:val="20"/>
                <w:szCs w:val="20"/>
              </w:rPr>
              <w:t>,</w:t>
            </w:r>
            <w:r w:rsidR="0914962E" w:rsidRPr="6C54F3A7">
              <w:rPr>
                <w:rFonts w:asciiTheme="minorHAnsi" w:eastAsiaTheme="minorEastAsia" w:hAnsiTheme="minorHAnsi" w:cstheme="minorBidi"/>
                <w:i w:val="0"/>
                <w:iCs w:val="0"/>
                <w:color w:val="auto"/>
                <w:sz w:val="20"/>
                <w:szCs w:val="20"/>
              </w:rPr>
              <w:t xml:space="preserve"> veřejné </w:t>
            </w:r>
            <w:r w:rsidR="01D1629F" w:rsidRPr="6C54F3A7">
              <w:rPr>
                <w:rFonts w:asciiTheme="minorHAnsi" w:eastAsiaTheme="minorEastAsia" w:hAnsiTheme="minorHAnsi" w:cstheme="minorBidi"/>
                <w:i w:val="0"/>
                <w:iCs w:val="0"/>
                <w:color w:val="auto"/>
                <w:sz w:val="20"/>
                <w:szCs w:val="20"/>
              </w:rPr>
              <w:t xml:space="preserve">nebo soukromoprávní </w:t>
            </w:r>
            <w:r w:rsidR="0914962E" w:rsidRPr="6C54F3A7">
              <w:rPr>
                <w:rFonts w:asciiTheme="minorHAnsi" w:eastAsiaTheme="minorEastAsia" w:hAnsiTheme="minorHAnsi" w:cstheme="minorBidi"/>
                <w:i w:val="0"/>
                <w:iCs w:val="0"/>
                <w:color w:val="auto"/>
                <w:sz w:val="20"/>
                <w:szCs w:val="20"/>
              </w:rPr>
              <w:t>výzkumné organizace</w:t>
            </w:r>
            <w:r w:rsidR="01D1629F" w:rsidRPr="6C54F3A7">
              <w:rPr>
                <w:rFonts w:asciiTheme="minorHAnsi" w:eastAsiaTheme="minorEastAsia" w:hAnsiTheme="minorHAnsi" w:cstheme="minorBidi"/>
                <w:i w:val="0"/>
                <w:iCs w:val="0"/>
                <w:color w:val="auto"/>
                <w:sz w:val="20"/>
                <w:szCs w:val="20"/>
              </w:rPr>
              <w:t xml:space="preserve">, </w:t>
            </w:r>
            <w:r w:rsidR="62317338" w:rsidRPr="6C54F3A7">
              <w:rPr>
                <w:rFonts w:asciiTheme="minorHAnsi" w:eastAsiaTheme="minorEastAsia" w:hAnsiTheme="minorHAnsi" w:cstheme="minorBidi"/>
                <w:i w:val="0"/>
                <w:iCs w:val="0"/>
                <w:color w:val="auto"/>
                <w:sz w:val="20"/>
                <w:szCs w:val="20"/>
              </w:rPr>
              <w:t>d</w:t>
            </w:r>
            <w:r w:rsidR="0914962E" w:rsidRPr="6C54F3A7">
              <w:rPr>
                <w:rFonts w:asciiTheme="minorHAnsi" w:eastAsiaTheme="minorEastAsia" w:hAnsiTheme="minorHAnsi" w:cstheme="minorBidi"/>
                <w:i w:val="0"/>
                <w:iCs w:val="0"/>
                <w:color w:val="auto"/>
                <w:sz w:val="20"/>
                <w:szCs w:val="20"/>
              </w:rPr>
              <w:t xml:space="preserve">o projektů zapojené subjekty aplikační sféry </w:t>
            </w:r>
            <w:r w:rsidRPr="6C54F3A7">
              <w:rPr>
                <w:rFonts w:asciiTheme="minorHAnsi" w:eastAsiaTheme="minorEastAsia" w:hAnsiTheme="minorHAnsi" w:cstheme="minorBidi"/>
                <w:i w:val="0"/>
                <w:iCs w:val="0"/>
                <w:color w:val="auto"/>
                <w:sz w:val="20"/>
                <w:szCs w:val="20"/>
              </w:rPr>
              <w:t>a </w:t>
            </w:r>
            <w:r w:rsidR="0914962E" w:rsidRPr="6C54F3A7">
              <w:rPr>
                <w:rFonts w:asciiTheme="minorHAnsi" w:eastAsiaTheme="minorEastAsia" w:hAnsiTheme="minorHAnsi" w:cstheme="minorBidi"/>
                <w:i w:val="0"/>
                <w:iCs w:val="0"/>
                <w:color w:val="auto"/>
                <w:sz w:val="20"/>
                <w:szCs w:val="20"/>
              </w:rPr>
              <w:t>podniky</w:t>
            </w:r>
            <w:r w:rsidR="01D1629F" w:rsidRPr="6C54F3A7">
              <w:rPr>
                <w:rFonts w:asciiTheme="minorHAnsi" w:eastAsiaTheme="minorEastAsia" w:hAnsiTheme="minorHAnsi" w:cstheme="minorBidi"/>
                <w:i w:val="0"/>
                <w:iCs w:val="0"/>
                <w:color w:val="auto"/>
                <w:sz w:val="20"/>
                <w:szCs w:val="20"/>
              </w:rPr>
              <w:t xml:space="preserve"> zabývající se výzkumem a vývoje</w:t>
            </w:r>
            <w:r w:rsidR="0914962E" w:rsidRPr="6C54F3A7">
              <w:rPr>
                <w:rFonts w:asciiTheme="minorHAnsi" w:eastAsiaTheme="minorEastAsia" w:hAnsiTheme="minorHAnsi" w:cstheme="minorBidi"/>
                <w:i w:val="0"/>
                <w:iCs w:val="0"/>
                <w:color w:val="auto"/>
                <w:sz w:val="20"/>
                <w:szCs w:val="20"/>
              </w:rPr>
              <w:t>.</w:t>
            </w:r>
          </w:p>
          <w:p w14:paraId="4AAE739A" w14:textId="229DA4A7" w:rsidR="00762D8B" w:rsidRPr="00762D8B" w:rsidRDefault="1C4FFD6B"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V implementační a kontrolní oblasti spolupráce relevantních útvarů MŠMT/MEYES, Ministerstva financí, Ministerstva zdravotnictví a Ministerstva průmyslu a obchodu jako gestora N</w:t>
            </w:r>
            <w:r w:rsidR="328D3C17" w:rsidRPr="6C54F3A7">
              <w:rPr>
                <w:rFonts w:asciiTheme="minorHAnsi" w:eastAsiaTheme="minorEastAsia" w:hAnsiTheme="minorHAnsi" w:cstheme="minorBidi"/>
                <w:i w:val="0"/>
                <w:iCs w:val="0"/>
                <w:color w:val="auto"/>
                <w:sz w:val="20"/>
                <w:szCs w:val="20"/>
              </w:rPr>
              <w:t>á</w:t>
            </w:r>
            <w:r w:rsidRPr="6C54F3A7">
              <w:rPr>
                <w:rFonts w:asciiTheme="minorHAnsi" w:eastAsiaTheme="minorEastAsia" w:hAnsiTheme="minorHAnsi" w:cstheme="minorBidi"/>
                <w:i w:val="0"/>
                <w:iCs w:val="0"/>
                <w:color w:val="auto"/>
                <w:sz w:val="20"/>
                <w:szCs w:val="20"/>
              </w:rPr>
              <w:t>rodního plánu obnovy.</w:t>
            </w:r>
          </w:p>
        </w:tc>
      </w:tr>
      <w:tr w:rsidR="00852465" w:rsidRPr="00992741" w14:paraId="58888365" w14:textId="77777777" w:rsidTr="3A4C9812">
        <w:tc>
          <w:tcPr>
            <w:tcW w:w="3256" w:type="dxa"/>
          </w:tcPr>
          <w:p w14:paraId="05EF4416" w14:textId="5375D153" w:rsidR="00852465" w:rsidRPr="00992741" w:rsidRDefault="2A7A153E" w:rsidP="6C54F3A7">
            <w:pPr>
              <w:pStyle w:val="K-Text"/>
              <w:spacing w:line="240" w:lineRule="auto"/>
              <w:jc w:val="left"/>
              <w:rPr>
                <w:rFonts w:asciiTheme="minorHAnsi" w:eastAsiaTheme="minorEastAsia" w:hAnsiTheme="minorHAnsi" w:cstheme="minorBidi"/>
                <w:sz w:val="20"/>
                <w:szCs w:val="20"/>
              </w:rPr>
            </w:pPr>
            <w:r w:rsidRPr="6C54F3A7">
              <w:rPr>
                <w:rFonts w:asciiTheme="minorHAnsi" w:eastAsiaTheme="minorEastAsia" w:hAnsiTheme="minorHAnsi" w:cstheme="minorBidi"/>
                <w:sz w:val="20"/>
                <w:szCs w:val="20"/>
              </w:rPr>
              <w:t>Překážky</w:t>
            </w:r>
            <w:r w:rsidR="085A561D" w:rsidRPr="6C54F3A7">
              <w:rPr>
                <w:rFonts w:asciiTheme="minorHAnsi" w:eastAsiaTheme="minorEastAsia" w:hAnsiTheme="minorHAnsi" w:cstheme="minorBidi"/>
                <w:sz w:val="20"/>
                <w:szCs w:val="20"/>
              </w:rPr>
              <w:t xml:space="preserve"> </w:t>
            </w:r>
            <w:r w:rsidR="11C4B70F" w:rsidRPr="6C54F3A7">
              <w:rPr>
                <w:rFonts w:asciiTheme="minorHAnsi" w:eastAsiaTheme="minorEastAsia" w:hAnsiTheme="minorHAnsi" w:cstheme="minorBidi"/>
                <w:sz w:val="20"/>
                <w:szCs w:val="20"/>
              </w:rPr>
              <w:t>a </w:t>
            </w:r>
            <w:r w:rsidR="085A561D" w:rsidRPr="6C54F3A7">
              <w:rPr>
                <w:rFonts w:asciiTheme="minorHAnsi" w:eastAsiaTheme="minorEastAsia" w:hAnsiTheme="minorHAnsi" w:cstheme="minorBidi"/>
                <w:sz w:val="20"/>
                <w:szCs w:val="20"/>
              </w:rPr>
              <w:t>rizika</w:t>
            </w:r>
          </w:p>
        </w:tc>
        <w:tc>
          <w:tcPr>
            <w:tcW w:w="6372" w:type="dxa"/>
          </w:tcPr>
          <w:p w14:paraId="36320EC0" w14:textId="14A8E168" w:rsidR="00613B65" w:rsidRPr="00992741" w:rsidRDefault="0ABDB92C" w:rsidP="6C54F3A7">
            <w:pPr>
              <w:pStyle w:val="K-TextInfo"/>
              <w:numPr>
                <w:ilvl w:val="0"/>
                <w:numId w:val="32"/>
              </w:numPr>
              <w:rPr>
                <w:rFonts w:asciiTheme="minorHAnsi" w:eastAsiaTheme="minorEastAsia" w:hAnsiTheme="minorHAnsi" w:cstheme="minorBidi"/>
                <w:color w:val="auto"/>
                <w:sz w:val="20"/>
                <w:szCs w:val="20"/>
              </w:rPr>
            </w:pPr>
            <w:r w:rsidRPr="6C54F3A7">
              <w:rPr>
                <w:rFonts w:asciiTheme="minorHAnsi" w:eastAsiaTheme="minorEastAsia" w:hAnsiTheme="minorHAnsi" w:cstheme="minorBidi"/>
                <w:i w:val="0"/>
                <w:iCs w:val="0"/>
                <w:color w:val="auto"/>
                <w:sz w:val="20"/>
                <w:szCs w:val="20"/>
              </w:rPr>
              <w:t xml:space="preserve">Včasné nedosažení všeobecného konsensu s nastavenými podmínkami nového programu </w:t>
            </w:r>
            <w:r w:rsidR="11C4B70F" w:rsidRPr="6C54F3A7">
              <w:rPr>
                <w:rFonts w:asciiTheme="minorHAnsi" w:eastAsiaTheme="minorEastAsia" w:hAnsiTheme="minorHAnsi" w:cstheme="minorBidi"/>
                <w:i w:val="0"/>
                <w:iCs w:val="0"/>
                <w:color w:val="auto"/>
                <w:sz w:val="20"/>
                <w:szCs w:val="20"/>
              </w:rPr>
              <w:t>v </w:t>
            </w:r>
            <w:r w:rsidRPr="6C54F3A7">
              <w:rPr>
                <w:rFonts w:asciiTheme="minorHAnsi" w:eastAsiaTheme="minorEastAsia" w:hAnsiTheme="minorHAnsi" w:cstheme="minorBidi"/>
                <w:i w:val="0"/>
                <w:iCs w:val="0"/>
                <w:color w:val="auto"/>
                <w:sz w:val="20"/>
                <w:szCs w:val="20"/>
              </w:rPr>
              <w:t>akademické sféře.</w:t>
            </w:r>
            <w:r w:rsidR="18E3742F" w:rsidRPr="6C54F3A7">
              <w:rPr>
                <w:rFonts w:asciiTheme="minorHAnsi" w:eastAsiaTheme="minorEastAsia" w:hAnsiTheme="minorHAnsi" w:cstheme="minorBidi"/>
                <w:i w:val="0"/>
                <w:iCs w:val="0"/>
                <w:color w:val="auto"/>
                <w:sz w:val="20"/>
                <w:szCs w:val="20"/>
              </w:rPr>
              <w:t xml:space="preserve"> </w:t>
            </w:r>
            <w:r w:rsidR="18E3742F" w:rsidRPr="6C54F3A7">
              <w:rPr>
                <w:rFonts w:asciiTheme="minorHAnsi" w:eastAsiaTheme="minorEastAsia" w:hAnsiTheme="minorHAnsi" w:cstheme="minorBidi"/>
                <w:color w:val="auto"/>
                <w:sz w:val="20"/>
                <w:szCs w:val="20"/>
              </w:rPr>
              <w:t>(Řešeno předběžnými formálními i neformálními projednáváními na všech úrovních.)</w:t>
            </w:r>
          </w:p>
          <w:p w14:paraId="6AFC2951" w14:textId="1FB15AEE" w:rsidR="00802D45" w:rsidRPr="00992741" w:rsidRDefault="0ABDB92C" w:rsidP="6C54F3A7">
            <w:pPr>
              <w:pStyle w:val="K-TextInfo"/>
              <w:numPr>
                <w:ilvl w:val="0"/>
                <w:numId w:val="32"/>
              </w:numPr>
              <w:rPr>
                <w:rFonts w:asciiTheme="minorHAnsi" w:eastAsiaTheme="minorEastAsia" w:hAnsiTheme="minorHAnsi" w:cstheme="minorBidi"/>
                <w:color w:val="auto"/>
                <w:sz w:val="20"/>
                <w:szCs w:val="20"/>
              </w:rPr>
            </w:pPr>
            <w:r w:rsidRPr="6C54F3A7">
              <w:rPr>
                <w:rFonts w:asciiTheme="minorHAnsi" w:eastAsiaTheme="minorEastAsia" w:hAnsiTheme="minorHAnsi" w:cstheme="minorBidi"/>
                <w:i w:val="0"/>
                <w:iCs w:val="0"/>
                <w:color w:val="auto"/>
                <w:sz w:val="20"/>
                <w:szCs w:val="20"/>
              </w:rPr>
              <w:t xml:space="preserve">Nedostatečná absorpční kapacita </w:t>
            </w:r>
            <w:r w:rsidR="280262AC" w:rsidRPr="6C54F3A7">
              <w:rPr>
                <w:rFonts w:asciiTheme="minorHAnsi" w:eastAsiaTheme="minorEastAsia" w:hAnsiTheme="minorHAnsi" w:cstheme="minorBidi"/>
                <w:i w:val="0"/>
                <w:iCs w:val="0"/>
                <w:color w:val="auto"/>
                <w:sz w:val="20"/>
                <w:szCs w:val="20"/>
              </w:rPr>
              <w:t xml:space="preserve">na straně </w:t>
            </w:r>
            <w:proofErr w:type="spellStart"/>
            <w:r w:rsidR="280262AC" w:rsidRPr="6C54F3A7">
              <w:rPr>
                <w:rFonts w:asciiTheme="minorHAnsi" w:eastAsiaTheme="minorEastAsia" w:hAnsiTheme="minorHAnsi" w:cstheme="minorBidi"/>
                <w:i w:val="0"/>
                <w:iCs w:val="0"/>
                <w:color w:val="auto"/>
                <w:sz w:val="20"/>
                <w:szCs w:val="20"/>
              </w:rPr>
              <w:t>stakeholderů</w:t>
            </w:r>
            <w:proofErr w:type="spellEnd"/>
            <w:r w:rsidR="01D1629F" w:rsidRPr="6C54F3A7">
              <w:rPr>
                <w:rFonts w:asciiTheme="minorHAnsi" w:eastAsiaTheme="minorEastAsia" w:hAnsiTheme="minorHAnsi" w:cstheme="minorBidi"/>
                <w:i w:val="0"/>
                <w:iCs w:val="0"/>
                <w:color w:val="auto"/>
                <w:sz w:val="20"/>
                <w:szCs w:val="20"/>
              </w:rPr>
              <w:t xml:space="preserve">. </w:t>
            </w:r>
            <w:r w:rsidR="18E3742F" w:rsidRPr="6C54F3A7">
              <w:rPr>
                <w:rFonts w:asciiTheme="minorHAnsi" w:eastAsiaTheme="minorEastAsia" w:hAnsiTheme="minorHAnsi" w:cstheme="minorBidi"/>
                <w:color w:val="auto"/>
                <w:sz w:val="20"/>
                <w:szCs w:val="20"/>
              </w:rPr>
              <w:t>(Byl proveden průzkum absorpční kapacity a zjištěn zájem převyšující očekávání i finanční možnosti komponenty.)</w:t>
            </w:r>
          </w:p>
          <w:p w14:paraId="05682A33" w14:textId="028DC86B" w:rsidR="00BA251E" w:rsidRPr="00F34B12" w:rsidRDefault="280262AC" w:rsidP="6C54F3A7">
            <w:pPr>
              <w:pStyle w:val="K-TextInfo"/>
              <w:numPr>
                <w:ilvl w:val="0"/>
                <w:numId w:val="32"/>
              </w:numPr>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N</w:t>
            </w:r>
            <w:r w:rsidR="0ABDB92C" w:rsidRPr="6C54F3A7">
              <w:rPr>
                <w:rFonts w:asciiTheme="minorHAnsi" w:eastAsiaTheme="minorEastAsia" w:hAnsiTheme="minorHAnsi" w:cstheme="minorBidi"/>
                <w:i w:val="0"/>
                <w:iCs w:val="0"/>
                <w:color w:val="auto"/>
                <w:sz w:val="20"/>
                <w:szCs w:val="20"/>
              </w:rPr>
              <w:t xml:space="preserve">ekvalitní </w:t>
            </w:r>
            <w:r w:rsidRPr="6C54F3A7">
              <w:rPr>
                <w:rFonts w:asciiTheme="minorHAnsi" w:eastAsiaTheme="minorEastAsia" w:hAnsiTheme="minorHAnsi" w:cstheme="minorBidi"/>
                <w:i w:val="0"/>
                <w:iCs w:val="0"/>
                <w:color w:val="auto"/>
                <w:sz w:val="20"/>
                <w:szCs w:val="20"/>
              </w:rPr>
              <w:t xml:space="preserve">nebo pro veřejnou soutěž nevhodné </w:t>
            </w:r>
            <w:r w:rsidR="0ABDB92C" w:rsidRPr="6C54F3A7">
              <w:rPr>
                <w:rFonts w:asciiTheme="minorHAnsi" w:eastAsiaTheme="minorEastAsia" w:hAnsiTheme="minorHAnsi" w:cstheme="minorBidi"/>
                <w:i w:val="0"/>
                <w:iCs w:val="0"/>
                <w:color w:val="auto"/>
                <w:sz w:val="20"/>
                <w:szCs w:val="20"/>
              </w:rPr>
              <w:t>návrhy projektů na</w:t>
            </w:r>
            <w:r w:rsidRPr="6C54F3A7">
              <w:rPr>
                <w:rFonts w:asciiTheme="minorHAnsi" w:eastAsiaTheme="minorEastAsia" w:hAnsiTheme="minorHAnsi" w:cstheme="minorBidi"/>
                <w:i w:val="0"/>
                <w:iCs w:val="0"/>
                <w:color w:val="auto"/>
                <w:sz w:val="20"/>
                <w:szCs w:val="20"/>
              </w:rPr>
              <w:t> </w:t>
            </w:r>
            <w:r w:rsidR="0ABDB92C" w:rsidRPr="6C54F3A7">
              <w:rPr>
                <w:rFonts w:asciiTheme="minorHAnsi" w:eastAsiaTheme="minorEastAsia" w:hAnsiTheme="minorHAnsi" w:cstheme="minorBidi"/>
                <w:i w:val="0"/>
                <w:iCs w:val="0"/>
                <w:color w:val="auto"/>
                <w:sz w:val="20"/>
                <w:szCs w:val="20"/>
              </w:rPr>
              <w:t xml:space="preserve">straně </w:t>
            </w:r>
            <w:proofErr w:type="spellStart"/>
            <w:r w:rsidR="0ABDB92C" w:rsidRPr="6C54F3A7">
              <w:rPr>
                <w:rFonts w:asciiTheme="minorHAnsi" w:eastAsiaTheme="minorEastAsia" w:hAnsiTheme="minorHAnsi" w:cstheme="minorBidi"/>
                <w:i w:val="0"/>
                <w:iCs w:val="0"/>
                <w:color w:val="auto"/>
                <w:sz w:val="20"/>
                <w:szCs w:val="20"/>
              </w:rPr>
              <w:t>stakeholderů</w:t>
            </w:r>
            <w:proofErr w:type="spellEnd"/>
            <w:r w:rsidR="0ABDB92C" w:rsidRPr="6C54F3A7">
              <w:rPr>
                <w:rFonts w:asciiTheme="minorHAnsi" w:eastAsiaTheme="minorEastAsia" w:hAnsiTheme="minorHAnsi" w:cstheme="minorBidi"/>
                <w:i w:val="0"/>
                <w:iCs w:val="0"/>
                <w:color w:val="auto"/>
                <w:sz w:val="20"/>
                <w:szCs w:val="20"/>
              </w:rPr>
              <w:t xml:space="preserve">. </w:t>
            </w:r>
            <w:r w:rsidR="18E3742F" w:rsidRPr="6C54F3A7">
              <w:rPr>
                <w:rFonts w:asciiTheme="minorHAnsi" w:eastAsiaTheme="minorEastAsia" w:hAnsiTheme="minorHAnsi" w:cstheme="minorBidi"/>
                <w:color w:val="auto"/>
                <w:sz w:val="20"/>
                <w:szCs w:val="20"/>
              </w:rPr>
              <w:t xml:space="preserve">(Poskytovatel bude organizovat informační semináře pro uchazeče a má možnost veřejnou soutěž zopakovat.) </w:t>
            </w:r>
          </w:p>
          <w:p w14:paraId="4713AAB4" w14:textId="425D2A24" w:rsidR="00134982" w:rsidRPr="00992741" w:rsidRDefault="0ABDB92C" w:rsidP="6C54F3A7">
            <w:pPr>
              <w:pStyle w:val="K-TextInfo"/>
              <w:numPr>
                <w:ilvl w:val="0"/>
                <w:numId w:val="32"/>
              </w:numPr>
              <w:rPr>
                <w:rFonts w:asciiTheme="minorHAnsi" w:eastAsiaTheme="minorEastAsia" w:hAnsiTheme="minorHAnsi" w:cstheme="minorBidi"/>
                <w:color w:val="auto"/>
                <w:sz w:val="20"/>
                <w:szCs w:val="20"/>
              </w:rPr>
            </w:pPr>
            <w:r w:rsidRPr="6C54F3A7">
              <w:rPr>
                <w:rFonts w:asciiTheme="minorHAnsi" w:eastAsiaTheme="minorEastAsia" w:hAnsiTheme="minorHAnsi" w:cstheme="minorBidi"/>
                <w:i w:val="0"/>
                <w:iCs w:val="0"/>
                <w:color w:val="auto"/>
                <w:sz w:val="20"/>
                <w:szCs w:val="20"/>
              </w:rPr>
              <w:t>Nedost</w:t>
            </w:r>
            <w:r w:rsidR="7A9BD152" w:rsidRPr="6C54F3A7">
              <w:rPr>
                <w:rFonts w:asciiTheme="minorHAnsi" w:eastAsiaTheme="minorEastAsia" w:hAnsiTheme="minorHAnsi" w:cstheme="minorBidi"/>
                <w:i w:val="0"/>
                <w:iCs w:val="0"/>
                <w:color w:val="auto"/>
                <w:sz w:val="20"/>
                <w:szCs w:val="20"/>
              </w:rPr>
              <w:t>a</w:t>
            </w:r>
            <w:r w:rsidRPr="6C54F3A7">
              <w:rPr>
                <w:rFonts w:asciiTheme="minorHAnsi" w:eastAsiaTheme="minorEastAsia" w:hAnsiTheme="minorHAnsi" w:cstheme="minorBidi"/>
                <w:i w:val="0"/>
                <w:iCs w:val="0"/>
                <w:color w:val="auto"/>
                <w:sz w:val="20"/>
                <w:szCs w:val="20"/>
              </w:rPr>
              <w:t>t</w:t>
            </w:r>
            <w:r w:rsidR="7A9BD152" w:rsidRPr="6C54F3A7">
              <w:rPr>
                <w:rFonts w:asciiTheme="minorHAnsi" w:eastAsiaTheme="minorEastAsia" w:hAnsiTheme="minorHAnsi" w:cstheme="minorBidi"/>
                <w:i w:val="0"/>
                <w:iCs w:val="0"/>
                <w:color w:val="auto"/>
                <w:sz w:val="20"/>
                <w:szCs w:val="20"/>
              </w:rPr>
              <w:t>e</w:t>
            </w:r>
            <w:r w:rsidRPr="6C54F3A7">
              <w:rPr>
                <w:rFonts w:asciiTheme="minorHAnsi" w:eastAsiaTheme="minorEastAsia" w:hAnsiTheme="minorHAnsi" w:cstheme="minorBidi"/>
                <w:i w:val="0"/>
                <w:iCs w:val="0"/>
                <w:color w:val="auto"/>
                <w:sz w:val="20"/>
                <w:szCs w:val="20"/>
              </w:rPr>
              <w:t xml:space="preserve">čné finanční prostředky pro realizaci </w:t>
            </w:r>
            <w:r w:rsidR="18E3742F" w:rsidRPr="6C54F3A7">
              <w:rPr>
                <w:rFonts w:asciiTheme="minorHAnsi" w:eastAsiaTheme="minorEastAsia" w:hAnsiTheme="minorHAnsi" w:cstheme="minorBidi"/>
                <w:i w:val="0"/>
                <w:iCs w:val="0"/>
                <w:color w:val="auto"/>
                <w:sz w:val="20"/>
                <w:szCs w:val="20"/>
              </w:rPr>
              <w:t xml:space="preserve">všech </w:t>
            </w:r>
            <w:r w:rsidRPr="6C54F3A7">
              <w:rPr>
                <w:rFonts w:asciiTheme="minorHAnsi" w:eastAsiaTheme="minorEastAsia" w:hAnsiTheme="minorHAnsi" w:cstheme="minorBidi"/>
                <w:i w:val="0"/>
                <w:iCs w:val="0"/>
                <w:color w:val="auto"/>
                <w:sz w:val="20"/>
                <w:szCs w:val="20"/>
              </w:rPr>
              <w:t>kvalitních projektů</w:t>
            </w:r>
            <w:r w:rsidR="18E3742F" w:rsidRPr="6C54F3A7">
              <w:rPr>
                <w:rFonts w:asciiTheme="minorHAnsi" w:eastAsiaTheme="minorEastAsia" w:hAnsiTheme="minorHAnsi" w:cstheme="minorBidi"/>
                <w:i w:val="0"/>
                <w:iCs w:val="0"/>
                <w:color w:val="auto"/>
                <w:sz w:val="20"/>
                <w:szCs w:val="20"/>
              </w:rPr>
              <w:t xml:space="preserve"> v plném rozsahu</w:t>
            </w:r>
            <w:r w:rsidR="7A9BD152" w:rsidRPr="6C54F3A7">
              <w:rPr>
                <w:rFonts w:asciiTheme="minorHAnsi" w:eastAsiaTheme="minorEastAsia" w:hAnsiTheme="minorHAnsi" w:cstheme="minorBidi"/>
                <w:i w:val="0"/>
                <w:iCs w:val="0"/>
                <w:color w:val="auto"/>
                <w:sz w:val="20"/>
                <w:szCs w:val="20"/>
              </w:rPr>
              <w:t>.</w:t>
            </w:r>
            <w:r w:rsidRPr="6C54F3A7">
              <w:rPr>
                <w:rFonts w:asciiTheme="minorHAnsi" w:eastAsiaTheme="minorEastAsia" w:hAnsiTheme="minorHAnsi" w:cstheme="minorBidi"/>
                <w:i w:val="0"/>
                <w:iCs w:val="0"/>
                <w:color w:val="auto"/>
                <w:sz w:val="20"/>
                <w:szCs w:val="20"/>
              </w:rPr>
              <w:t xml:space="preserve"> </w:t>
            </w:r>
            <w:r w:rsidR="18E3742F" w:rsidRPr="6C54F3A7">
              <w:rPr>
                <w:rFonts w:asciiTheme="minorHAnsi" w:eastAsiaTheme="minorEastAsia" w:hAnsiTheme="minorHAnsi" w:cstheme="minorBidi"/>
                <w:i w:val="0"/>
                <w:iCs w:val="0"/>
                <w:color w:val="auto"/>
                <w:sz w:val="20"/>
                <w:szCs w:val="20"/>
              </w:rPr>
              <w:t>(</w:t>
            </w:r>
            <w:r w:rsidR="18E3742F" w:rsidRPr="6C54F3A7">
              <w:rPr>
                <w:rFonts w:asciiTheme="minorHAnsi" w:eastAsiaTheme="minorEastAsia" w:hAnsiTheme="minorHAnsi" w:cstheme="minorBidi"/>
                <w:color w:val="auto"/>
                <w:sz w:val="20"/>
                <w:szCs w:val="20"/>
              </w:rPr>
              <w:t xml:space="preserve">Poskytovatel se v takovém případě </w:t>
            </w:r>
            <w:r w:rsidR="58EC1D22" w:rsidRPr="6C54F3A7">
              <w:rPr>
                <w:rFonts w:asciiTheme="minorHAnsi" w:eastAsiaTheme="minorEastAsia" w:hAnsiTheme="minorHAnsi" w:cstheme="minorBidi"/>
                <w:color w:val="auto"/>
                <w:sz w:val="20"/>
                <w:szCs w:val="20"/>
              </w:rPr>
              <w:t>vyvine úsilí</w:t>
            </w:r>
            <w:r w:rsidR="18E3742F" w:rsidRPr="6C54F3A7">
              <w:rPr>
                <w:rFonts w:asciiTheme="minorHAnsi" w:eastAsiaTheme="minorEastAsia" w:hAnsiTheme="minorHAnsi" w:cstheme="minorBidi"/>
                <w:color w:val="auto"/>
                <w:sz w:val="20"/>
                <w:szCs w:val="20"/>
              </w:rPr>
              <w:t xml:space="preserve"> vyjednat získání dalších </w:t>
            </w:r>
            <w:r w:rsidR="58EC1D22" w:rsidRPr="6C54F3A7">
              <w:rPr>
                <w:rFonts w:asciiTheme="minorHAnsi" w:eastAsiaTheme="minorEastAsia" w:hAnsiTheme="minorHAnsi" w:cstheme="minorBidi"/>
                <w:color w:val="auto"/>
                <w:sz w:val="20"/>
                <w:szCs w:val="20"/>
              </w:rPr>
              <w:t xml:space="preserve">nezbytných </w:t>
            </w:r>
            <w:r w:rsidR="18E3742F" w:rsidRPr="6C54F3A7">
              <w:rPr>
                <w:rFonts w:asciiTheme="minorHAnsi" w:eastAsiaTheme="minorEastAsia" w:hAnsiTheme="minorHAnsi" w:cstheme="minorBidi"/>
                <w:color w:val="auto"/>
                <w:sz w:val="20"/>
                <w:szCs w:val="20"/>
              </w:rPr>
              <w:t xml:space="preserve">veřejných prostředků z jiných zdrojů nebo pro následující období.) </w:t>
            </w:r>
          </w:p>
        </w:tc>
      </w:tr>
      <w:tr w:rsidR="00996DF6" w:rsidRPr="00992741" w14:paraId="10F7FBF5" w14:textId="77777777" w:rsidTr="3A4C9812">
        <w:tc>
          <w:tcPr>
            <w:tcW w:w="3256" w:type="dxa"/>
          </w:tcPr>
          <w:p w14:paraId="4390B09E" w14:textId="067B8E53" w:rsidR="00996DF6" w:rsidRPr="00992741" w:rsidRDefault="72511157" w:rsidP="6C54F3A7">
            <w:pPr>
              <w:pStyle w:val="K-Text"/>
              <w:spacing w:line="240" w:lineRule="auto"/>
              <w:jc w:val="left"/>
              <w:rPr>
                <w:rFonts w:asciiTheme="minorHAnsi" w:eastAsiaTheme="minorEastAsia" w:hAnsiTheme="minorHAnsi" w:cstheme="minorBidi"/>
                <w:sz w:val="20"/>
                <w:szCs w:val="20"/>
              </w:rPr>
            </w:pPr>
            <w:r w:rsidRPr="6C54F3A7">
              <w:rPr>
                <w:rFonts w:asciiTheme="minorHAnsi" w:eastAsiaTheme="minorEastAsia" w:hAnsiTheme="minorHAnsi" w:cstheme="minorBidi"/>
                <w:sz w:val="20"/>
                <w:szCs w:val="20"/>
              </w:rPr>
              <w:t xml:space="preserve">Cílové skupiny populace </w:t>
            </w:r>
            <w:r w:rsidR="11C4B70F" w:rsidRPr="6C54F3A7">
              <w:rPr>
                <w:rFonts w:asciiTheme="minorHAnsi" w:eastAsiaTheme="minorEastAsia" w:hAnsiTheme="minorHAnsi" w:cstheme="minorBidi"/>
                <w:sz w:val="20"/>
                <w:szCs w:val="20"/>
              </w:rPr>
              <w:t>a </w:t>
            </w:r>
            <w:r w:rsidRPr="6C54F3A7">
              <w:rPr>
                <w:rFonts w:asciiTheme="minorHAnsi" w:eastAsiaTheme="minorEastAsia" w:hAnsiTheme="minorHAnsi" w:cstheme="minorBidi"/>
                <w:sz w:val="20"/>
                <w:szCs w:val="20"/>
              </w:rPr>
              <w:t>ekonomické subjekty</w:t>
            </w:r>
          </w:p>
        </w:tc>
        <w:tc>
          <w:tcPr>
            <w:tcW w:w="6372" w:type="dxa"/>
          </w:tcPr>
          <w:p w14:paraId="6403EE65" w14:textId="3FFCCE77" w:rsidR="00313ECE" w:rsidRPr="00992741" w:rsidRDefault="3B3349EE"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V</w:t>
            </w:r>
            <w:r w:rsidR="4FF9994F" w:rsidRPr="6C54F3A7">
              <w:rPr>
                <w:rFonts w:asciiTheme="minorHAnsi" w:eastAsiaTheme="minorEastAsia" w:hAnsiTheme="minorHAnsi" w:cstheme="minorBidi"/>
                <w:i w:val="0"/>
                <w:iCs w:val="0"/>
                <w:color w:val="auto"/>
                <w:sz w:val="20"/>
                <w:szCs w:val="20"/>
              </w:rPr>
              <w:t>ýzkumní</w:t>
            </w:r>
            <w:r w:rsidRPr="6C54F3A7">
              <w:rPr>
                <w:rFonts w:asciiTheme="minorHAnsi" w:eastAsiaTheme="minorEastAsia" w:hAnsiTheme="minorHAnsi" w:cstheme="minorBidi"/>
                <w:i w:val="0"/>
                <w:iCs w:val="0"/>
                <w:color w:val="auto"/>
                <w:sz w:val="20"/>
                <w:szCs w:val="20"/>
              </w:rPr>
              <w:t xml:space="preserve">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akademičtí pracovníci</w:t>
            </w:r>
            <w:r w:rsidR="7AE57793" w:rsidRPr="6C54F3A7">
              <w:rPr>
                <w:rFonts w:asciiTheme="minorHAnsi" w:eastAsiaTheme="minorEastAsia" w:hAnsiTheme="minorHAnsi" w:cstheme="minorBidi"/>
                <w:i w:val="0"/>
                <w:iCs w:val="0"/>
                <w:color w:val="auto"/>
                <w:sz w:val="20"/>
                <w:szCs w:val="20"/>
              </w:rPr>
              <w:t xml:space="preserve"> z akademické i aplikační sféry</w:t>
            </w:r>
            <w:r w:rsidRPr="6C54F3A7">
              <w:rPr>
                <w:rFonts w:asciiTheme="minorHAnsi" w:eastAsiaTheme="minorEastAsia" w:hAnsiTheme="minorHAnsi" w:cstheme="minorBidi"/>
                <w:i w:val="0"/>
                <w:iCs w:val="0"/>
                <w:color w:val="auto"/>
                <w:sz w:val="20"/>
                <w:szCs w:val="20"/>
              </w:rPr>
              <w:t>;</w:t>
            </w:r>
            <w:r w:rsidR="4FF9994F" w:rsidRPr="6C54F3A7">
              <w:rPr>
                <w:rFonts w:asciiTheme="minorHAnsi" w:eastAsiaTheme="minorEastAsia" w:hAnsiTheme="minorHAnsi" w:cstheme="minorBidi"/>
                <w:i w:val="0"/>
                <w:iCs w:val="0"/>
                <w:color w:val="auto"/>
                <w:sz w:val="20"/>
                <w:szCs w:val="20"/>
              </w:rPr>
              <w:t xml:space="preserve"> studenti </w:t>
            </w:r>
            <w:r w:rsidRPr="6C54F3A7">
              <w:rPr>
                <w:rFonts w:asciiTheme="minorHAnsi" w:eastAsiaTheme="minorEastAsia" w:hAnsiTheme="minorHAnsi" w:cstheme="minorBidi"/>
                <w:i w:val="0"/>
                <w:iCs w:val="0"/>
                <w:color w:val="auto"/>
                <w:sz w:val="20"/>
                <w:szCs w:val="20"/>
              </w:rPr>
              <w:t xml:space="preserve">doktorských studijních programů </w:t>
            </w:r>
            <w:r w:rsidR="11C4B70F" w:rsidRPr="6C54F3A7">
              <w:rPr>
                <w:rFonts w:asciiTheme="minorHAnsi" w:eastAsiaTheme="minorEastAsia" w:hAnsiTheme="minorHAnsi" w:cstheme="minorBidi"/>
                <w:i w:val="0"/>
                <w:iCs w:val="0"/>
                <w:color w:val="auto"/>
                <w:sz w:val="20"/>
                <w:szCs w:val="20"/>
              </w:rPr>
              <w:t>a </w:t>
            </w:r>
            <w:proofErr w:type="spellStart"/>
            <w:r w:rsidRPr="6C54F3A7">
              <w:rPr>
                <w:rFonts w:asciiTheme="minorHAnsi" w:eastAsiaTheme="minorEastAsia" w:hAnsiTheme="minorHAnsi" w:cstheme="minorBidi"/>
                <w:i w:val="0"/>
                <w:iCs w:val="0"/>
                <w:color w:val="auto"/>
                <w:sz w:val="20"/>
                <w:szCs w:val="20"/>
              </w:rPr>
              <w:t>postdoktorandi</w:t>
            </w:r>
            <w:proofErr w:type="spellEnd"/>
            <w:r w:rsidRPr="6C54F3A7">
              <w:rPr>
                <w:rFonts w:asciiTheme="minorHAnsi" w:eastAsiaTheme="minorEastAsia" w:hAnsiTheme="minorHAnsi" w:cstheme="minorBidi"/>
                <w:i w:val="0"/>
                <w:iCs w:val="0"/>
                <w:color w:val="auto"/>
                <w:sz w:val="20"/>
                <w:szCs w:val="20"/>
              </w:rPr>
              <w:t xml:space="preserve"> </w:t>
            </w:r>
            <w:r w:rsidR="4FF9994F" w:rsidRPr="6C54F3A7">
              <w:rPr>
                <w:rFonts w:asciiTheme="minorHAnsi" w:eastAsiaTheme="minorEastAsia" w:hAnsiTheme="minorHAnsi" w:cstheme="minorBidi"/>
                <w:i w:val="0"/>
                <w:iCs w:val="0"/>
                <w:color w:val="auto"/>
                <w:sz w:val="20"/>
                <w:szCs w:val="20"/>
              </w:rPr>
              <w:t>vysokých škol</w:t>
            </w:r>
            <w:r w:rsidRPr="6C54F3A7">
              <w:rPr>
                <w:rFonts w:asciiTheme="minorHAnsi" w:eastAsiaTheme="minorEastAsia" w:hAnsiTheme="minorHAnsi" w:cstheme="minorBidi"/>
                <w:i w:val="0"/>
                <w:iCs w:val="0"/>
                <w:color w:val="auto"/>
                <w:sz w:val="20"/>
                <w:szCs w:val="20"/>
              </w:rPr>
              <w:t xml:space="preserve">, studující primárně </w:t>
            </w:r>
            <w:r w:rsidR="4FF9994F" w:rsidRPr="6C54F3A7">
              <w:rPr>
                <w:rFonts w:asciiTheme="minorHAnsi" w:eastAsiaTheme="minorEastAsia" w:hAnsiTheme="minorHAnsi" w:cstheme="minorBidi"/>
                <w:i w:val="0"/>
                <w:iCs w:val="0"/>
                <w:color w:val="auto"/>
                <w:sz w:val="20"/>
                <w:szCs w:val="20"/>
              </w:rPr>
              <w:t>prioritní vědní obor</w:t>
            </w:r>
            <w:r w:rsidRPr="6C54F3A7">
              <w:rPr>
                <w:rFonts w:asciiTheme="minorHAnsi" w:eastAsiaTheme="minorEastAsia" w:hAnsiTheme="minorHAnsi" w:cstheme="minorBidi"/>
                <w:i w:val="0"/>
                <w:iCs w:val="0"/>
                <w:color w:val="auto"/>
                <w:sz w:val="20"/>
                <w:szCs w:val="20"/>
              </w:rPr>
              <w:t>y, odborná veřejnost</w:t>
            </w:r>
          </w:p>
          <w:p w14:paraId="20D470CC" w14:textId="71FA230A" w:rsidR="00BB3BF4" w:rsidRPr="00F34B12" w:rsidRDefault="3B3349EE"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 xml:space="preserve">Výzkumné organizace, včetně vysokých škol, zejména veřejného, ale </w:t>
            </w:r>
            <w:r w:rsidR="11C4B70F" w:rsidRPr="6C54F3A7">
              <w:rPr>
                <w:rFonts w:asciiTheme="minorHAnsi" w:eastAsiaTheme="minorEastAsia" w:hAnsiTheme="minorHAnsi" w:cstheme="minorBidi"/>
                <w:i w:val="0"/>
                <w:iCs w:val="0"/>
                <w:color w:val="auto"/>
                <w:sz w:val="20"/>
                <w:szCs w:val="20"/>
              </w:rPr>
              <w:t>i </w:t>
            </w:r>
            <w:r w:rsidR="58EC1D22" w:rsidRPr="6C54F3A7">
              <w:rPr>
                <w:rFonts w:asciiTheme="minorHAnsi" w:eastAsiaTheme="minorEastAsia" w:hAnsiTheme="minorHAnsi" w:cstheme="minorBidi"/>
                <w:i w:val="0"/>
                <w:iCs w:val="0"/>
                <w:color w:val="auto"/>
                <w:sz w:val="20"/>
                <w:szCs w:val="20"/>
              </w:rPr>
              <w:t>soukromoprávního</w:t>
            </w:r>
            <w:r w:rsidRPr="6C54F3A7">
              <w:rPr>
                <w:rFonts w:asciiTheme="minorHAnsi" w:eastAsiaTheme="minorEastAsia" w:hAnsiTheme="minorHAnsi" w:cstheme="minorBidi"/>
                <w:i w:val="0"/>
                <w:iCs w:val="0"/>
                <w:color w:val="auto"/>
                <w:sz w:val="20"/>
                <w:szCs w:val="20"/>
              </w:rPr>
              <w:t xml:space="preserve"> sektoru, napojené spolupracující podniky</w:t>
            </w:r>
            <w:r w:rsidR="383605A8" w:rsidRPr="6C54F3A7">
              <w:rPr>
                <w:rFonts w:asciiTheme="minorHAnsi" w:eastAsiaTheme="minorEastAsia" w:hAnsiTheme="minorHAnsi" w:cstheme="minorBidi"/>
                <w:i w:val="0"/>
                <w:iCs w:val="0"/>
                <w:color w:val="auto"/>
                <w:sz w:val="20"/>
                <w:szCs w:val="20"/>
              </w:rPr>
              <w:t xml:space="preserve"> </w:t>
            </w:r>
            <w:r w:rsidR="58EC1D22" w:rsidRPr="6C54F3A7">
              <w:rPr>
                <w:rFonts w:asciiTheme="minorHAnsi" w:eastAsiaTheme="minorEastAsia" w:hAnsiTheme="minorHAnsi" w:cstheme="minorBidi"/>
                <w:i w:val="0"/>
                <w:iCs w:val="0"/>
                <w:color w:val="auto"/>
                <w:sz w:val="20"/>
                <w:szCs w:val="20"/>
              </w:rPr>
              <w:t>zabývající se výzkumem</w:t>
            </w:r>
          </w:p>
        </w:tc>
      </w:tr>
      <w:tr w:rsidR="00996DF6" w:rsidRPr="00992741" w14:paraId="7A9BAC13" w14:textId="77777777" w:rsidTr="3A4C9812">
        <w:tc>
          <w:tcPr>
            <w:tcW w:w="3256" w:type="dxa"/>
          </w:tcPr>
          <w:p w14:paraId="7C2A959D" w14:textId="2F562376" w:rsidR="00996DF6" w:rsidRPr="00992741" w:rsidRDefault="02939F48" w:rsidP="6C54F3A7">
            <w:pPr>
              <w:pStyle w:val="K-Text"/>
              <w:spacing w:line="240" w:lineRule="auto"/>
              <w:jc w:val="left"/>
              <w:rPr>
                <w:rFonts w:asciiTheme="minorHAnsi" w:eastAsiaTheme="minorEastAsia" w:hAnsiTheme="minorHAnsi" w:cstheme="minorBidi"/>
                <w:sz w:val="20"/>
                <w:szCs w:val="20"/>
              </w:rPr>
            </w:pPr>
            <w:r w:rsidRPr="6C54F3A7">
              <w:rPr>
                <w:rFonts w:asciiTheme="minorHAnsi" w:eastAsiaTheme="minorEastAsia" w:hAnsiTheme="minorHAnsi" w:cstheme="minorBidi"/>
                <w:sz w:val="20"/>
                <w:szCs w:val="20"/>
              </w:rPr>
              <w:t>Souhrnné náklady realizace financované z RRF za celé období</w:t>
            </w:r>
          </w:p>
        </w:tc>
        <w:tc>
          <w:tcPr>
            <w:tcW w:w="6372" w:type="dxa"/>
          </w:tcPr>
          <w:p w14:paraId="173AE00C" w14:textId="753D1B05" w:rsidR="00B26B47" w:rsidRPr="00992741" w:rsidRDefault="48C0EDFB" w:rsidP="6C54F3A7">
            <w:pPr>
              <w:pStyle w:val="K-TextInfo"/>
              <w:rPr>
                <w:rFonts w:asciiTheme="minorHAnsi" w:eastAsiaTheme="minorEastAsia" w:hAnsiTheme="minorHAnsi" w:cstheme="minorBidi"/>
                <w:b/>
                <w:bCs/>
                <w:color w:val="auto"/>
                <w:sz w:val="20"/>
                <w:szCs w:val="20"/>
              </w:rPr>
            </w:pPr>
            <w:r w:rsidRPr="6C54F3A7">
              <w:rPr>
                <w:rStyle w:val="K-TextInfoChar"/>
                <w:rFonts w:asciiTheme="minorHAnsi" w:eastAsiaTheme="minorEastAsia" w:hAnsiTheme="minorHAnsi" w:cstheme="minorBidi"/>
                <w:b/>
                <w:bCs/>
                <w:color w:val="auto"/>
                <w:sz w:val="20"/>
                <w:szCs w:val="20"/>
              </w:rPr>
              <w:t>5 000 000 000 CZK</w:t>
            </w:r>
          </w:p>
          <w:p w14:paraId="08BAA013" w14:textId="28F9EE62" w:rsidR="00B26B47" w:rsidRPr="00992741" w:rsidRDefault="00B26B47" w:rsidP="6C54F3A7">
            <w:pPr>
              <w:pStyle w:val="K-TextInfo"/>
              <w:rPr>
                <w:rFonts w:asciiTheme="minorHAnsi" w:eastAsiaTheme="minorEastAsia" w:hAnsiTheme="minorHAnsi" w:cstheme="minorBidi"/>
                <w:color w:val="auto"/>
                <w:sz w:val="20"/>
                <w:szCs w:val="20"/>
              </w:rPr>
            </w:pPr>
          </w:p>
        </w:tc>
      </w:tr>
      <w:tr w:rsidR="00852465" w:rsidRPr="00992741" w14:paraId="781CAD7E" w14:textId="77777777" w:rsidTr="3A4C9812">
        <w:tc>
          <w:tcPr>
            <w:tcW w:w="3256" w:type="dxa"/>
          </w:tcPr>
          <w:p w14:paraId="0825A8E4" w14:textId="4B619239" w:rsidR="00852465" w:rsidRPr="00992741" w:rsidRDefault="2A7A153E" w:rsidP="6C54F3A7">
            <w:pPr>
              <w:pStyle w:val="K-Text"/>
              <w:spacing w:line="240" w:lineRule="auto"/>
              <w:jc w:val="left"/>
              <w:rPr>
                <w:rFonts w:asciiTheme="minorHAnsi" w:eastAsiaTheme="minorEastAsia" w:hAnsiTheme="minorHAnsi" w:cstheme="minorBidi"/>
                <w:sz w:val="20"/>
                <w:szCs w:val="20"/>
              </w:rPr>
            </w:pPr>
            <w:r w:rsidRPr="6C54F3A7">
              <w:rPr>
                <w:rFonts w:asciiTheme="minorHAnsi" w:eastAsiaTheme="minorEastAsia" w:hAnsiTheme="minorHAnsi" w:cstheme="minorBidi"/>
                <w:sz w:val="20"/>
                <w:szCs w:val="20"/>
              </w:rPr>
              <w:t>Dodržování pravidel státní podpory</w:t>
            </w:r>
          </w:p>
        </w:tc>
        <w:tc>
          <w:tcPr>
            <w:tcW w:w="6372" w:type="dxa"/>
          </w:tcPr>
          <w:p w14:paraId="053AD755" w14:textId="3A80BDF0" w:rsidR="00852465" w:rsidRPr="00992741" w:rsidRDefault="0914962E"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 xml:space="preserve">Podpora bude poskytována subjektům působícím na trhu podle nařízení Komise č. 651/2014 (GBER). Zapojeným výzkumným organizacím, které mohou své projektové činnost vykonávat pouze jako </w:t>
            </w:r>
            <w:proofErr w:type="spellStart"/>
            <w:r w:rsidRPr="6C54F3A7">
              <w:rPr>
                <w:rFonts w:asciiTheme="minorHAnsi" w:eastAsiaTheme="minorEastAsia" w:hAnsiTheme="minorHAnsi" w:cstheme="minorBidi"/>
                <w:i w:val="0"/>
                <w:iCs w:val="0"/>
                <w:color w:val="auto"/>
                <w:sz w:val="20"/>
                <w:szCs w:val="20"/>
              </w:rPr>
              <w:t>nehospodářské</w:t>
            </w:r>
            <w:proofErr w:type="spellEnd"/>
            <w:r w:rsidRPr="6C54F3A7">
              <w:rPr>
                <w:rFonts w:asciiTheme="minorHAnsi" w:eastAsiaTheme="minorEastAsia" w:hAnsiTheme="minorHAnsi" w:cstheme="minorBidi"/>
                <w:i w:val="0"/>
                <w:iCs w:val="0"/>
                <w:color w:val="auto"/>
                <w:sz w:val="20"/>
                <w:szCs w:val="20"/>
              </w:rPr>
              <w:t xml:space="preserve">, bude možné podporu poskytovat v souladu se Sdělením Rámec pro státní podporu výzkumu, vývoje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 xml:space="preserve">inovací (2014/C 198/01) </w:t>
            </w:r>
          </w:p>
          <w:p w14:paraId="27CCD539" w14:textId="4861D29F" w:rsidR="00134982" w:rsidRPr="00992741" w:rsidRDefault="4F7EC3AC" w:rsidP="6C54F3A7">
            <w:pPr>
              <w:pStyle w:val="K-TextInfo"/>
              <w:rPr>
                <w:rFonts w:asciiTheme="minorHAnsi" w:eastAsiaTheme="minorEastAsia" w:hAnsiTheme="minorHAnsi" w:cstheme="minorBidi"/>
                <w:color w:val="auto"/>
                <w:sz w:val="20"/>
                <w:szCs w:val="20"/>
              </w:rPr>
            </w:pPr>
            <w:r w:rsidRPr="6C54F3A7">
              <w:rPr>
                <w:rFonts w:asciiTheme="minorHAnsi" w:eastAsiaTheme="minorEastAsia" w:hAnsiTheme="minorHAnsi" w:cstheme="minorBidi"/>
                <w:i w:val="0"/>
                <w:iCs w:val="0"/>
                <w:color w:val="auto"/>
                <w:sz w:val="20"/>
                <w:szCs w:val="20"/>
              </w:rPr>
              <w:t>M</w:t>
            </w:r>
            <w:r w:rsidR="01D1629F" w:rsidRPr="6C54F3A7">
              <w:rPr>
                <w:rFonts w:asciiTheme="minorHAnsi" w:eastAsiaTheme="minorEastAsia" w:hAnsiTheme="minorHAnsi" w:cstheme="minorBidi"/>
                <w:i w:val="0"/>
                <w:iCs w:val="0"/>
                <w:color w:val="auto"/>
                <w:sz w:val="20"/>
                <w:szCs w:val="20"/>
              </w:rPr>
              <w:t>ŠMT</w:t>
            </w:r>
            <w:r w:rsidRPr="6C54F3A7">
              <w:rPr>
                <w:rFonts w:asciiTheme="minorHAnsi" w:eastAsiaTheme="minorEastAsia" w:hAnsiTheme="minorHAnsi" w:cstheme="minorBidi"/>
                <w:i w:val="0"/>
                <w:iCs w:val="0"/>
                <w:color w:val="auto"/>
                <w:sz w:val="20"/>
                <w:szCs w:val="20"/>
              </w:rPr>
              <w:t xml:space="preserve"> je jako poskytovateli podpory uložena zákonná povinnost kontrolovat dodržování pravidel veřejné podpory </w:t>
            </w:r>
            <w:r w:rsidR="11C4B70F" w:rsidRPr="6C54F3A7">
              <w:rPr>
                <w:rFonts w:asciiTheme="minorHAnsi" w:eastAsiaTheme="minorEastAsia" w:hAnsiTheme="minorHAnsi" w:cstheme="minorBidi"/>
                <w:i w:val="0"/>
                <w:iCs w:val="0"/>
                <w:color w:val="auto"/>
                <w:sz w:val="20"/>
                <w:szCs w:val="20"/>
              </w:rPr>
              <w:t>u </w:t>
            </w:r>
            <w:r w:rsidRPr="6C54F3A7">
              <w:rPr>
                <w:rFonts w:asciiTheme="minorHAnsi" w:eastAsiaTheme="minorEastAsia" w:hAnsiTheme="minorHAnsi" w:cstheme="minorBidi"/>
                <w:i w:val="0"/>
                <w:iCs w:val="0"/>
                <w:color w:val="auto"/>
                <w:sz w:val="20"/>
                <w:szCs w:val="20"/>
              </w:rPr>
              <w:t xml:space="preserve">každého z podpořených projektů, správné vynakládání prostředků </w:t>
            </w:r>
            <w:r w:rsidR="11C4B70F" w:rsidRPr="6C54F3A7">
              <w:rPr>
                <w:rFonts w:asciiTheme="minorHAnsi" w:eastAsiaTheme="minorEastAsia" w:hAnsiTheme="minorHAnsi" w:cstheme="minorBidi"/>
                <w:i w:val="0"/>
                <w:iCs w:val="0"/>
                <w:color w:val="auto"/>
                <w:sz w:val="20"/>
                <w:szCs w:val="20"/>
              </w:rPr>
              <w:t>i </w:t>
            </w:r>
            <w:r w:rsidRPr="6C54F3A7">
              <w:rPr>
                <w:rFonts w:asciiTheme="minorHAnsi" w:eastAsiaTheme="minorEastAsia" w:hAnsiTheme="minorHAnsi" w:cstheme="minorBidi"/>
                <w:i w:val="0"/>
                <w:iCs w:val="0"/>
                <w:color w:val="auto"/>
                <w:sz w:val="20"/>
                <w:szCs w:val="20"/>
              </w:rPr>
              <w:t xml:space="preserve">vlastní čerpání podpory. </w:t>
            </w:r>
            <w:r w:rsidR="11C4B70F" w:rsidRPr="6C54F3A7">
              <w:rPr>
                <w:rFonts w:asciiTheme="minorHAnsi" w:eastAsiaTheme="minorEastAsia" w:hAnsiTheme="minorHAnsi" w:cstheme="minorBidi"/>
                <w:i w:val="0"/>
                <w:iCs w:val="0"/>
                <w:color w:val="auto"/>
                <w:sz w:val="20"/>
                <w:szCs w:val="20"/>
              </w:rPr>
              <w:t>U </w:t>
            </w:r>
            <w:r w:rsidRPr="6C54F3A7">
              <w:rPr>
                <w:rFonts w:asciiTheme="minorHAnsi" w:eastAsiaTheme="minorEastAsia" w:hAnsiTheme="minorHAnsi" w:cstheme="minorBidi"/>
                <w:i w:val="0"/>
                <w:iCs w:val="0"/>
                <w:color w:val="auto"/>
                <w:sz w:val="20"/>
                <w:szCs w:val="20"/>
              </w:rPr>
              <w:t xml:space="preserve">každého z podpořených projektů si lze vyžádat nezávislý audit. V ČR jsou zajištěny další zákonné kontrolní mechanismy v gesci místně příslušných finančních úřadů nebo </w:t>
            </w:r>
            <w:r w:rsidR="11C4B70F" w:rsidRPr="6C54F3A7">
              <w:rPr>
                <w:rFonts w:asciiTheme="minorHAnsi" w:eastAsiaTheme="minorEastAsia" w:hAnsiTheme="minorHAnsi" w:cstheme="minorBidi"/>
                <w:i w:val="0"/>
                <w:iCs w:val="0"/>
                <w:color w:val="auto"/>
                <w:sz w:val="20"/>
                <w:szCs w:val="20"/>
              </w:rPr>
              <w:t>v </w:t>
            </w:r>
            <w:r w:rsidRPr="6C54F3A7">
              <w:rPr>
                <w:rFonts w:asciiTheme="minorHAnsi" w:eastAsiaTheme="minorEastAsia" w:hAnsiTheme="minorHAnsi" w:cstheme="minorBidi"/>
                <w:i w:val="0"/>
                <w:iCs w:val="0"/>
                <w:color w:val="auto"/>
                <w:sz w:val="20"/>
                <w:szCs w:val="20"/>
              </w:rPr>
              <w:t>gesci Nejvyššího kontrolního úřadu</w:t>
            </w:r>
            <w:r w:rsidR="4D9153D2" w:rsidRPr="6C54F3A7">
              <w:rPr>
                <w:rFonts w:asciiTheme="minorHAnsi" w:eastAsiaTheme="minorEastAsia" w:hAnsiTheme="minorHAnsi" w:cstheme="minorBidi"/>
                <w:i w:val="0"/>
                <w:iCs w:val="0"/>
                <w:color w:val="auto"/>
                <w:sz w:val="20"/>
                <w:szCs w:val="20"/>
              </w:rPr>
              <w:t xml:space="preserve"> či Úřadu pro ochranu hospodářské soutěže jako národní autority.</w:t>
            </w:r>
          </w:p>
        </w:tc>
      </w:tr>
      <w:tr w:rsidR="00852465" w:rsidRPr="00992741" w14:paraId="2DC848FC" w14:textId="77777777" w:rsidTr="3A4C9812">
        <w:tc>
          <w:tcPr>
            <w:tcW w:w="3256" w:type="dxa"/>
          </w:tcPr>
          <w:p w14:paraId="7968264E" w14:textId="1DF85D5F" w:rsidR="00852465" w:rsidRPr="00F34B12" w:rsidRDefault="72511157" w:rsidP="6C54F3A7">
            <w:pPr>
              <w:pStyle w:val="K-Text"/>
              <w:spacing w:line="240" w:lineRule="auto"/>
              <w:jc w:val="left"/>
              <w:rPr>
                <w:rFonts w:asciiTheme="minorHAnsi" w:eastAsiaTheme="minorEastAsia" w:hAnsiTheme="minorHAnsi" w:cstheme="minorBidi"/>
                <w:sz w:val="20"/>
                <w:szCs w:val="20"/>
              </w:rPr>
            </w:pPr>
            <w:r w:rsidRPr="6C54F3A7">
              <w:rPr>
                <w:rFonts w:asciiTheme="minorHAnsi" w:eastAsiaTheme="minorEastAsia" w:hAnsiTheme="minorHAnsi" w:cstheme="minorBidi"/>
                <w:sz w:val="20"/>
                <w:szCs w:val="20"/>
              </w:rPr>
              <w:lastRenderedPageBreak/>
              <w:t>Uveďte dobu implementace</w:t>
            </w:r>
          </w:p>
        </w:tc>
        <w:tc>
          <w:tcPr>
            <w:tcW w:w="6372" w:type="dxa"/>
          </w:tcPr>
          <w:p w14:paraId="2311342A" w14:textId="19F2685A" w:rsidR="00B26B47" w:rsidRPr="00992741" w:rsidRDefault="62317338"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 xml:space="preserve">Doba </w:t>
            </w:r>
            <w:r w:rsidR="57F422A3" w:rsidRPr="6C54F3A7">
              <w:rPr>
                <w:rFonts w:asciiTheme="minorHAnsi" w:eastAsiaTheme="minorEastAsia" w:hAnsiTheme="minorHAnsi" w:cstheme="minorBidi"/>
                <w:i w:val="0"/>
                <w:iCs w:val="0"/>
                <w:color w:val="auto"/>
                <w:sz w:val="20"/>
                <w:szCs w:val="20"/>
              </w:rPr>
              <w:t>implementace</w:t>
            </w:r>
            <w:r w:rsidRPr="6C54F3A7">
              <w:rPr>
                <w:rFonts w:asciiTheme="minorHAnsi" w:eastAsiaTheme="minorEastAsia" w:hAnsiTheme="minorHAnsi" w:cstheme="minorBidi"/>
                <w:i w:val="0"/>
                <w:iCs w:val="0"/>
                <w:color w:val="auto"/>
                <w:sz w:val="20"/>
                <w:szCs w:val="20"/>
              </w:rPr>
              <w:t xml:space="preserve"> celé komponenty je plánována na období 2021-202</w:t>
            </w:r>
            <w:r w:rsidR="1EAB2E7E" w:rsidRPr="6C54F3A7">
              <w:rPr>
                <w:rFonts w:asciiTheme="minorHAnsi" w:eastAsiaTheme="minorEastAsia" w:hAnsiTheme="minorHAnsi" w:cstheme="minorBidi"/>
                <w:i w:val="0"/>
                <w:iCs w:val="0"/>
                <w:color w:val="auto"/>
                <w:sz w:val="20"/>
                <w:szCs w:val="20"/>
              </w:rPr>
              <w:t>6</w:t>
            </w:r>
            <w:r w:rsidR="57F422A3" w:rsidRPr="6C54F3A7">
              <w:rPr>
                <w:rFonts w:asciiTheme="minorHAnsi" w:eastAsiaTheme="minorEastAsia" w:hAnsiTheme="minorHAnsi" w:cstheme="minorBidi"/>
                <w:i w:val="0"/>
                <w:iCs w:val="0"/>
                <w:color w:val="auto"/>
                <w:sz w:val="20"/>
                <w:szCs w:val="20"/>
              </w:rPr>
              <w:t xml:space="preserve"> (celkem </w:t>
            </w:r>
            <w:r w:rsidR="0E0699E0" w:rsidRPr="6C54F3A7">
              <w:rPr>
                <w:rFonts w:asciiTheme="minorHAnsi" w:eastAsiaTheme="minorEastAsia" w:hAnsiTheme="minorHAnsi" w:cstheme="minorBidi"/>
                <w:i w:val="0"/>
                <w:iCs w:val="0"/>
                <w:color w:val="auto"/>
                <w:sz w:val="20"/>
                <w:szCs w:val="20"/>
              </w:rPr>
              <w:t>60</w:t>
            </w:r>
            <w:r w:rsidR="57F422A3" w:rsidRPr="6C54F3A7">
              <w:rPr>
                <w:rFonts w:asciiTheme="minorHAnsi" w:eastAsiaTheme="minorEastAsia" w:hAnsiTheme="minorHAnsi" w:cstheme="minorBidi"/>
                <w:i w:val="0"/>
                <w:iCs w:val="0"/>
                <w:color w:val="auto"/>
                <w:sz w:val="20"/>
                <w:szCs w:val="20"/>
              </w:rPr>
              <w:t xml:space="preserve"> měsíců)</w:t>
            </w:r>
            <w:r w:rsidRPr="6C54F3A7">
              <w:rPr>
                <w:rFonts w:asciiTheme="minorHAnsi" w:eastAsiaTheme="minorEastAsia" w:hAnsiTheme="minorHAnsi" w:cstheme="minorBidi"/>
                <w:i w:val="0"/>
                <w:iCs w:val="0"/>
                <w:color w:val="auto"/>
                <w:sz w:val="20"/>
                <w:szCs w:val="20"/>
              </w:rPr>
              <w:t xml:space="preserve">, která však </w:t>
            </w:r>
            <w:r w:rsidR="0E0699E0" w:rsidRPr="6C54F3A7">
              <w:rPr>
                <w:rFonts w:asciiTheme="minorHAnsi" w:eastAsiaTheme="minorEastAsia" w:hAnsiTheme="minorHAnsi" w:cstheme="minorBidi"/>
                <w:i w:val="0"/>
                <w:iCs w:val="0"/>
                <w:color w:val="auto"/>
                <w:sz w:val="20"/>
                <w:szCs w:val="20"/>
              </w:rPr>
              <w:t>ne</w:t>
            </w:r>
            <w:r w:rsidRPr="6C54F3A7">
              <w:rPr>
                <w:rFonts w:asciiTheme="minorHAnsi" w:eastAsiaTheme="minorEastAsia" w:hAnsiTheme="minorHAnsi" w:cstheme="minorBidi"/>
                <w:i w:val="0"/>
                <w:iCs w:val="0"/>
                <w:color w:val="auto"/>
                <w:sz w:val="20"/>
                <w:szCs w:val="20"/>
              </w:rPr>
              <w:t xml:space="preserve">zahrnuje období přípravy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schvalovací procesy programu</w:t>
            </w:r>
            <w:r w:rsidR="7F9BCDF3" w:rsidRPr="6C54F3A7">
              <w:rPr>
                <w:rFonts w:asciiTheme="minorHAnsi" w:eastAsiaTheme="minorEastAsia" w:hAnsiTheme="minorHAnsi" w:cstheme="minorBidi"/>
                <w:i w:val="0"/>
                <w:iCs w:val="0"/>
                <w:color w:val="auto"/>
                <w:sz w:val="20"/>
                <w:szCs w:val="20"/>
              </w:rPr>
              <w:t xml:space="preserve"> nebo</w:t>
            </w:r>
            <w:r w:rsidR="57F422A3" w:rsidRPr="6C54F3A7">
              <w:rPr>
                <w:rFonts w:asciiTheme="minorHAnsi" w:eastAsiaTheme="minorEastAsia" w:hAnsiTheme="minorHAnsi" w:cstheme="minorBidi"/>
                <w:i w:val="0"/>
                <w:iCs w:val="0"/>
                <w:color w:val="auto"/>
                <w:sz w:val="20"/>
                <w:szCs w:val="20"/>
              </w:rPr>
              <w:t xml:space="preserve"> </w:t>
            </w:r>
            <w:r w:rsidRPr="6C54F3A7">
              <w:rPr>
                <w:rFonts w:asciiTheme="minorHAnsi" w:eastAsiaTheme="minorEastAsia" w:hAnsiTheme="minorHAnsi" w:cstheme="minorBidi"/>
                <w:i w:val="0"/>
                <w:iCs w:val="0"/>
                <w:color w:val="auto"/>
                <w:sz w:val="20"/>
                <w:szCs w:val="20"/>
              </w:rPr>
              <w:t xml:space="preserve">jeho ex-ante evaluaci, </w:t>
            </w:r>
            <w:r w:rsidR="7F9BCDF3" w:rsidRPr="6C54F3A7">
              <w:rPr>
                <w:rFonts w:asciiTheme="minorHAnsi" w:eastAsiaTheme="minorEastAsia" w:hAnsiTheme="minorHAnsi" w:cstheme="minorBidi"/>
                <w:i w:val="0"/>
                <w:iCs w:val="0"/>
                <w:color w:val="auto"/>
                <w:sz w:val="20"/>
                <w:szCs w:val="20"/>
              </w:rPr>
              <w:t xml:space="preserve">ale jen </w:t>
            </w:r>
            <w:r w:rsidRPr="6C54F3A7">
              <w:rPr>
                <w:rFonts w:asciiTheme="minorHAnsi" w:eastAsiaTheme="minorEastAsia" w:hAnsiTheme="minorHAnsi" w:cstheme="minorBidi"/>
                <w:i w:val="0"/>
                <w:iCs w:val="0"/>
                <w:color w:val="auto"/>
                <w:sz w:val="20"/>
                <w:szCs w:val="20"/>
              </w:rPr>
              <w:t xml:space="preserve">vyhlášení </w:t>
            </w:r>
            <w:r w:rsidR="11C4B70F" w:rsidRPr="6C54F3A7">
              <w:rPr>
                <w:rFonts w:asciiTheme="minorHAnsi" w:eastAsiaTheme="minorEastAsia" w:hAnsiTheme="minorHAnsi" w:cstheme="minorBidi"/>
                <w:i w:val="0"/>
                <w:iCs w:val="0"/>
                <w:color w:val="auto"/>
                <w:sz w:val="20"/>
                <w:szCs w:val="20"/>
              </w:rPr>
              <w:t>a </w:t>
            </w:r>
            <w:r w:rsidRPr="6C54F3A7">
              <w:rPr>
                <w:rFonts w:asciiTheme="minorHAnsi" w:eastAsiaTheme="minorEastAsia" w:hAnsiTheme="minorHAnsi" w:cstheme="minorBidi"/>
                <w:i w:val="0"/>
                <w:iCs w:val="0"/>
                <w:color w:val="auto"/>
                <w:sz w:val="20"/>
                <w:szCs w:val="20"/>
              </w:rPr>
              <w:t>vyhodnocení veřejné soutěže, vlastní realizaci jednotlivých projektů</w:t>
            </w:r>
            <w:r w:rsidR="7F9BCDF3" w:rsidRPr="6C54F3A7">
              <w:rPr>
                <w:rFonts w:asciiTheme="minorHAnsi" w:eastAsiaTheme="minorEastAsia" w:hAnsiTheme="minorHAnsi" w:cstheme="minorBidi"/>
                <w:i w:val="0"/>
                <w:iCs w:val="0"/>
                <w:color w:val="auto"/>
                <w:sz w:val="20"/>
                <w:szCs w:val="20"/>
              </w:rPr>
              <w:t xml:space="preserve"> a jejich evaluace</w:t>
            </w:r>
            <w:r w:rsidR="0E0699E0" w:rsidRPr="6C54F3A7">
              <w:rPr>
                <w:rFonts w:asciiTheme="minorHAnsi" w:eastAsiaTheme="minorEastAsia" w:hAnsiTheme="minorHAnsi" w:cstheme="minorBidi"/>
                <w:i w:val="0"/>
                <w:iCs w:val="0"/>
                <w:color w:val="auto"/>
                <w:sz w:val="20"/>
                <w:szCs w:val="20"/>
              </w:rPr>
              <w:t>.</w:t>
            </w:r>
            <w:r w:rsidR="57F422A3" w:rsidRPr="6C54F3A7">
              <w:rPr>
                <w:rFonts w:asciiTheme="minorHAnsi" w:eastAsiaTheme="minorEastAsia" w:hAnsiTheme="minorHAnsi" w:cstheme="minorBidi"/>
                <w:i w:val="0"/>
                <w:iCs w:val="0"/>
                <w:color w:val="auto"/>
                <w:sz w:val="20"/>
                <w:szCs w:val="20"/>
              </w:rPr>
              <w:t xml:space="preserve"> </w:t>
            </w:r>
          </w:p>
          <w:p w14:paraId="2B927CBE" w14:textId="7319DFC2" w:rsidR="000C5199" w:rsidRPr="00992741" w:rsidRDefault="16E106C2" w:rsidP="6C54F3A7">
            <w:pPr>
              <w:pStyle w:val="K-TextInfo"/>
              <w:rPr>
                <w:rFonts w:asciiTheme="minorHAnsi" w:eastAsiaTheme="minorEastAsia" w:hAnsiTheme="minorHAnsi" w:cstheme="minorBidi"/>
                <w:color w:val="auto"/>
                <w:sz w:val="20"/>
                <w:szCs w:val="20"/>
              </w:rPr>
            </w:pPr>
            <w:r w:rsidRPr="6C54F3A7">
              <w:rPr>
                <w:rFonts w:asciiTheme="minorHAnsi" w:eastAsiaTheme="minorEastAsia" w:hAnsiTheme="minorHAnsi" w:cstheme="minorBidi"/>
                <w:i w:val="0"/>
                <w:iCs w:val="0"/>
                <w:color w:val="auto"/>
                <w:sz w:val="20"/>
                <w:szCs w:val="20"/>
              </w:rPr>
              <w:t>C</w:t>
            </w:r>
            <w:r w:rsidR="54FE3CC0" w:rsidRPr="6C54F3A7">
              <w:rPr>
                <w:rFonts w:asciiTheme="minorHAnsi" w:eastAsiaTheme="minorEastAsia" w:hAnsiTheme="minorHAnsi" w:cstheme="minorBidi"/>
                <w:i w:val="0"/>
                <w:iCs w:val="0"/>
                <w:color w:val="auto"/>
                <w:sz w:val="20"/>
                <w:szCs w:val="20"/>
              </w:rPr>
              <w:t xml:space="preserve">íle celé komponenty </w:t>
            </w:r>
            <w:r w:rsidR="34D74A54" w:rsidRPr="6C54F3A7">
              <w:rPr>
                <w:rFonts w:asciiTheme="minorHAnsi" w:eastAsiaTheme="minorEastAsia" w:hAnsiTheme="minorHAnsi" w:cstheme="minorBidi"/>
                <w:i w:val="0"/>
                <w:iCs w:val="0"/>
                <w:color w:val="auto"/>
                <w:sz w:val="20"/>
                <w:szCs w:val="20"/>
              </w:rPr>
              <w:t xml:space="preserve">bude </w:t>
            </w:r>
            <w:r w:rsidR="54FE3CC0" w:rsidRPr="6C54F3A7">
              <w:rPr>
                <w:rFonts w:asciiTheme="minorHAnsi" w:eastAsiaTheme="minorEastAsia" w:hAnsiTheme="minorHAnsi" w:cstheme="minorBidi"/>
                <w:i w:val="0"/>
                <w:iCs w:val="0"/>
                <w:color w:val="auto"/>
                <w:sz w:val="20"/>
                <w:szCs w:val="20"/>
              </w:rPr>
              <w:t>dosaženo v</w:t>
            </w:r>
            <w:r w:rsidR="00042E63">
              <w:rPr>
                <w:rFonts w:asciiTheme="minorHAnsi" w:eastAsiaTheme="minorEastAsia" w:hAnsiTheme="minorHAnsi" w:cstheme="minorBidi"/>
                <w:i w:val="0"/>
                <w:iCs w:val="0"/>
                <w:color w:val="auto"/>
                <w:sz w:val="20"/>
                <w:szCs w:val="20"/>
              </w:rPr>
              <w:t> </w:t>
            </w:r>
            <w:r w:rsidR="54FE3CC0" w:rsidRPr="6C54F3A7">
              <w:rPr>
                <w:rFonts w:asciiTheme="minorHAnsi" w:eastAsiaTheme="minorEastAsia" w:hAnsiTheme="minorHAnsi" w:cstheme="minorBidi"/>
                <w:i w:val="0"/>
                <w:iCs w:val="0"/>
                <w:color w:val="auto"/>
                <w:sz w:val="20"/>
                <w:szCs w:val="20"/>
              </w:rPr>
              <w:t>Q</w:t>
            </w:r>
            <w:r w:rsidR="00042E63">
              <w:rPr>
                <w:rFonts w:asciiTheme="minorHAnsi" w:eastAsiaTheme="minorEastAsia" w:hAnsiTheme="minorHAnsi" w:cstheme="minorBidi"/>
                <w:i w:val="0"/>
                <w:iCs w:val="0"/>
                <w:color w:val="auto"/>
                <w:sz w:val="20"/>
                <w:szCs w:val="20"/>
              </w:rPr>
              <w:t>4</w:t>
            </w:r>
            <w:r w:rsidR="54FE3CC0" w:rsidRPr="6C54F3A7">
              <w:rPr>
                <w:rFonts w:asciiTheme="minorHAnsi" w:eastAsiaTheme="minorEastAsia" w:hAnsiTheme="minorHAnsi" w:cstheme="minorBidi"/>
                <w:i w:val="0"/>
                <w:iCs w:val="0"/>
                <w:color w:val="auto"/>
                <w:sz w:val="20"/>
                <w:szCs w:val="20"/>
              </w:rPr>
              <w:t>/202</w:t>
            </w:r>
            <w:r w:rsidR="00042E63">
              <w:rPr>
                <w:rFonts w:asciiTheme="minorHAnsi" w:eastAsiaTheme="minorEastAsia" w:hAnsiTheme="minorHAnsi" w:cstheme="minorBidi"/>
                <w:i w:val="0"/>
                <w:iCs w:val="0"/>
                <w:color w:val="auto"/>
                <w:sz w:val="20"/>
                <w:szCs w:val="20"/>
              </w:rPr>
              <w:t>5</w:t>
            </w:r>
            <w:r w:rsidR="54FE3CC0" w:rsidRPr="6C54F3A7">
              <w:rPr>
                <w:rFonts w:asciiTheme="minorHAnsi" w:eastAsiaTheme="minorEastAsia" w:hAnsiTheme="minorHAnsi" w:cstheme="minorBidi"/>
                <w:i w:val="0"/>
                <w:iCs w:val="0"/>
                <w:color w:val="auto"/>
                <w:sz w:val="20"/>
                <w:szCs w:val="20"/>
              </w:rPr>
              <w:t xml:space="preserve">. </w:t>
            </w:r>
            <w:bookmarkStart w:id="6" w:name="_GoBack"/>
            <w:bookmarkEnd w:id="6"/>
          </w:p>
        </w:tc>
      </w:tr>
      <w:bookmarkEnd w:id="5"/>
    </w:tbl>
    <w:p w14:paraId="2F531071" w14:textId="77777777" w:rsidR="007C0788" w:rsidRPr="00F34B12" w:rsidRDefault="007C0788" w:rsidP="6C54F3A7">
      <w:pPr>
        <w:pStyle w:val="K-Text"/>
        <w:spacing w:line="240" w:lineRule="auto"/>
        <w:rPr>
          <w:rFonts w:asciiTheme="minorHAnsi" w:eastAsiaTheme="minorEastAsia" w:hAnsiTheme="minorHAnsi" w:cstheme="minorBidi"/>
          <w:sz w:val="20"/>
          <w:szCs w:val="20"/>
        </w:rPr>
      </w:pPr>
    </w:p>
    <w:p w14:paraId="71F5742F" w14:textId="0981852B" w:rsidR="48C6E71B" w:rsidRDefault="48C6E71B" w:rsidP="6C54F3A7">
      <w:pPr>
        <w:spacing w:line="240" w:lineRule="auto"/>
        <w:rPr>
          <w:rFonts w:eastAsiaTheme="minorEastAsia"/>
          <w:b/>
          <w:bCs/>
          <w:sz w:val="20"/>
          <w:szCs w:val="20"/>
        </w:rPr>
      </w:pPr>
      <w:r w:rsidRPr="6C54F3A7">
        <w:rPr>
          <w:rFonts w:eastAsiaTheme="minorEastAsia"/>
          <w:b/>
          <w:bCs/>
          <w:sz w:val="20"/>
          <w:szCs w:val="20"/>
        </w:rPr>
        <w:t xml:space="preserve">4. Strategická autonomie a bezpečnostní problematika </w:t>
      </w:r>
    </w:p>
    <w:p w14:paraId="7F4B3C4D" w14:textId="773A3F6E" w:rsidR="48C6E71B" w:rsidRDefault="48C6E71B" w:rsidP="6C54F3A7">
      <w:pPr>
        <w:spacing w:line="240" w:lineRule="auto"/>
        <w:rPr>
          <w:rFonts w:eastAsiaTheme="minorEastAsia"/>
          <w:sz w:val="20"/>
          <w:szCs w:val="20"/>
        </w:rPr>
      </w:pPr>
      <w:r w:rsidRPr="6C54F3A7">
        <w:rPr>
          <w:rFonts w:eastAsiaTheme="minorEastAsia"/>
          <w:sz w:val="20"/>
          <w:szCs w:val="20"/>
        </w:rPr>
        <w:t>Tato kapitola není pro danou komponentu relevantní.</w:t>
      </w:r>
    </w:p>
    <w:p w14:paraId="3D89C5B4" w14:textId="09F79E11" w:rsidR="48C6E71B" w:rsidRDefault="48C6E71B" w:rsidP="6C54F3A7">
      <w:pPr>
        <w:spacing w:line="240" w:lineRule="auto"/>
        <w:rPr>
          <w:rFonts w:eastAsiaTheme="minorEastAsia"/>
          <w:b/>
          <w:bCs/>
          <w:sz w:val="20"/>
          <w:szCs w:val="20"/>
        </w:rPr>
      </w:pPr>
      <w:r w:rsidRPr="6C54F3A7">
        <w:rPr>
          <w:rFonts w:eastAsiaTheme="minorEastAsia"/>
          <w:b/>
          <w:bCs/>
          <w:sz w:val="20"/>
          <w:szCs w:val="20"/>
        </w:rPr>
        <w:t xml:space="preserve"> </w:t>
      </w:r>
    </w:p>
    <w:p w14:paraId="45410C2F" w14:textId="0C6CCC85" w:rsidR="48C6E71B" w:rsidRDefault="48C6E71B" w:rsidP="6C54F3A7">
      <w:pPr>
        <w:spacing w:line="240" w:lineRule="auto"/>
        <w:rPr>
          <w:rFonts w:eastAsiaTheme="minorEastAsia"/>
          <w:b/>
          <w:bCs/>
          <w:sz w:val="20"/>
          <w:szCs w:val="20"/>
        </w:rPr>
      </w:pPr>
      <w:r w:rsidRPr="6C54F3A7">
        <w:rPr>
          <w:rFonts w:eastAsiaTheme="minorEastAsia"/>
          <w:b/>
          <w:bCs/>
          <w:sz w:val="20"/>
          <w:szCs w:val="20"/>
        </w:rPr>
        <w:t xml:space="preserve">5. Přeshraniční a mezinárodní projekty  </w:t>
      </w:r>
    </w:p>
    <w:p w14:paraId="3A2B6281" w14:textId="3277E4F7" w:rsidR="48C6E71B" w:rsidRDefault="48C6E71B" w:rsidP="6C54F3A7">
      <w:pPr>
        <w:spacing w:line="240" w:lineRule="auto"/>
        <w:rPr>
          <w:rFonts w:eastAsiaTheme="minorEastAsia"/>
          <w:sz w:val="20"/>
          <w:szCs w:val="20"/>
        </w:rPr>
      </w:pPr>
      <w:r w:rsidRPr="6C54F3A7">
        <w:rPr>
          <w:rFonts w:eastAsiaTheme="minorEastAsia"/>
          <w:sz w:val="20"/>
          <w:szCs w:val="20"/>
        </w:rPr>
        <w:t>Tato kapitola není pro danou komponentu relevantní.</w:t>
      </w:r>
    </w:p>
    <w:p w14:paraId="6B48117D" w14:textId="5A51D914" w:rsidR="5AD3009E" w:rsidRDefault="48C6E71B" w:rsidP="6C54F3A7">
      <w:pPr>
        <w:spacing w:line="240" w:lineRule="auto"/>
        <w:rPr>
          <w:rFonts w:eastAsiaTheme="minorEastAsia"/>
          <w:b/>
          <w:bCs/>
          <w:sz w:val="20"/>
          <w:szCs w:val="20"/>
        </w:rPr>
      </w:pPr>
      <w:r w:rsidRPr="6C54F3A7">
        <w:rPr>
          <w:rFonts w:eastAsiaTheme="minorEastAsia"/>
          <w:b/>
          <w:bCs/>
          <w:sz w:val="20"/>
          <w:szCs w:val="20"/>
        </w:rPr>
        <w:t xml:space="preserve"> </w:t>
      </w:r>
    </w:p>
    <w:p w14:paraId="09D9649A" w14:textId="61ACD7BC" w:rsidR="48C6E71B" w:rsidRDefault="48C6E71B" w:rsidP="6C54F3A7">
      <w:pPr>
        <w:spacing w:line="240" w:lineRule="auto"/>
        <w:rPr>
          <w:rFonts w:eastAsiaTheme="minorEastAsia"/>
          <w:b/>
          <w:bCs/>
          <w:sz w:val="20"/>
          <w:szCs w:val="20"/>
        </w:rPr>
      </w:pPr>
      <w:r w:rsidRPr="6C54F3A7">
        <w:rPr>
          <w:rFonts w:eastAsiaTheme="minorEastAsia"/>
          <w:b/>
          <w:bCs/>
          <w:sz w:val="20"/>
          <w:szCs w:val="20"/>
        </w:rPr>
        <w:t>6. </w:t>
      </w:r>
      <w:proofErr w:type="gramStart"/>
      <w:r w:rsidRPr="6C54F3A7">
        <w:rPr>
          <w:rFonts w:eastAsiaTheme="minorEastAsia"/>
          <w:b/>
          <w:bCs/>
          <w:sz w:val="20"/>
          <w:szCs w:val="20"/>
        </w:rPr>
        <w:t>Zelený</w:t>
      </w:r>
      <w:proofErr w:type="gramEnd"/>
      <w:r w:rsidRPr="6C54F3A7">
        <w:rPr>
          <w:rFonts w:eastAsiaTheme="minorEastAsia"/>
          <w:b/>
          <w:bCs/>
          <w:sz w:val="20"/>
          <w:szCs w:val="20"/>
        </w:rPr>
        <w:t xml:space="preserve"> rozměr komponenty  </w:t>
      </w:r>
    </w:p>
    <w:p w14:paraId="75AB57CF" w14:textId="64CCBF2C" w:rsidR="48C6E71B" w:rsidRDefault="48C6E71B"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b/>
          <w:bCs/>
          <w:color w:val="000000" w:themeColor="text1"/>
          <w:sz w:val="20"/>
          <w:szCs w:val="20"/>
        </w:rPr>
        <w:t xml:space="preserve"> </w:t>
      </w:r>
      <w:r w:rsidR="2317B50D" w:rsidRPr="6C54F3A7">
        <w:rPr>
          <w:rFonts w:asciiTheme="minorHAnsi" w:eastAsiaTheme="minorEastAsia" w:hAnsiTheme="minorHAnsi" w:cstheme="minorBidi"/>
          <w:i w:val="0"/>
          <w:iCs w:val="0"/>
          <w:color w:val="auto"/>
          <w:sz w:val="20"/>
          <w:szCs w:val="20"/>
        </w:rPr>
        <w:t xml:space="preserve">Komponenta není primárně zaměřena na tuto oblast. </w:t>
      </w:r>
    </w:p>
    <w:p w14:paraId="0C461E0A" w14:textId="7D082FFD" w:rsidR="2317B50D" w:rsidRDefault="2317B50D"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 xml:space="preserve">Cílem investice je tvorba nových výsledků výzkumu v prioritních oblastech </w:t>
      </w:r>
      <w:proofErr w:type="spellStart"/>
      <w:r w:rsidRPr="6C54F3A7">
        <w:rPr>
          <w:rFonts w:asciiTheme="minorHAnsi" w:eastAsiaTheme="minorEastAsia" w:hAnsiTheme="minorHAnsi" w:cstheme="minorBidi"/>
          <w:i w:val="0"/>
          <w:iCs w:val="0"/>
          <w:color w:val="auto"/>
          <w:sz w:val="20"/>
          <w:szCs w:val="20"/>
        </w:rPr>
        <w:t>VaV</w:t>
      </w:r>
      <w:proofErr w:type="spellEnd"/>
      <w:r w:rsidRPr="6C54F3A7">
        <w:rPr>
          <w:rFonts w:asciiTheme="minorHAnsi" w:eastAsiaTheme="minorEastAsia" w:hAnsiTheme="minorHAnsi" w:cstheme="minorBidi"/>
          <w:i w:val="0"/>
          <w:iCs w:val="0"/>
          <w:color w:val="auto"/>
          <w:sz w:val="20"/>
          <w:szCs w:val="20"/>
        </w:rPr>
        <w:t xml:space="preserve">, výše úzce a specificky vymezených </w:t>
      </w:r>
      <w:proofErr w:type="gramStart"/>
      <w:r w:rsidRPr="6C54F3A7">
        <w:rPr>
          <w:rFonts w:asciiTheme="minorHAnsi" w:eastAsiaTheme="minorEastAsia" w:hAnsiTheme="minorHAnsi" w:cstheme="minorBidi"/>
          <w:i w:val="0"/>
          <w:iCs w:val="0"/>
          <w:color w:val="auto"/>
          <w:sz w:val="20"/>
          <w:szCs w:val="20"/>
        </w:rPr>
        <w:t>v  medicínských</w:t>
      </w:r>
      <w:proofErr w:type="gramEnd"/>
      <w:r w:rsidRPr="6C54F3A7">
        <w:rPr>
          <w:rFonts w:asciiTheme="minorHAnsi" w:eastAsiaTheme="minorEastAsia" w:hAnsiTheme="minorHAnsi" w:cstheme="minorBidi"/>
          <w:i w:val="0"/>
          <w:iCs w:val="0"/>
          <w:color w:val="auto"/>
          <w:sz w:val="20"/>
          <w:szCs w:val="20"/>
        </w:rPr>
        <w:t xml:space="preserve"> oborech a souvisejícím sociálně ekonomickém oboru. </w:t>
      </w:r>
    </w:p>
    <w:p w14:paraId="54E3014E" w14:textId="44F9967E" w:rsidR="2317B50D" w:rsidRDefault="2317B50D"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Podpora projektů výzkumu a vývoje v této investici nemá přímou souvislost s </w:t>
      </w:r>
      <w:proofErr w:type="spellStart"/>
      <w:r w:rsidRPr="6C54F3A7">
        <w:rPr>
          <w:rFonts w:asciiTheme="minorHAnsi" w:eastAsiaTheme="minorEastAsia" w:hAnsiTheme="minorHAnsi" w:cstheme="minorBidi"/>
          <w:i w:val="0"/>
          <w:iCs w:val="0"/>
          <w:color w:val="auto"/>
          <w:sz w:val="20"/>
          <w:szCs w:val="20"/>
        </w:rPr>
        <w:t>mitigací</w:t>
      </w:r>
      <w:proofErr w:type="spellEnd"/>
      <w:r w:rsidRPr="6C54F3A7">
        <w:rPr>
          <w:rFonts w:asciiTheme="minorHAnsi" w:eastAsiaTheme="minorEastAsia" w:hAnsiTheme="minorHAnsi" w:cstheme="minorBidi"/>
          <w:i w:val="0"/>
          <w:iCs w:val="0"/>
          <w:color w:val="auto"/>
          <w:sz w:val="20"/>
          <w:szCs w:val="20"/>
        </w:rPr>
        <w:t xml:space="preserve"> a související změnou klimatu, ani s adaptací na změnu klimatu, ani s ochranou biologické rozmanitosti a ekosystémů, ochranou životního prostředí jako takového, ani s ochranou vod a vodních </w:t>
      </w:r>
      <w:proofErr w:type="gramStart"/>
      <w:r w:rsidRPr="6C54F3A7">
        <w:rPr>
          <w:rFonts w:asciiTheme="minorHAnsi" w:eastAsiaTheme="minorEastAsia" w:hAnsiTheme="minorHAnsi" w:cstheme="minorBidi"/>
          <w:i w:val="0"/>
          <w:iCs w:val="0"/>
          <w:color w:val="auto"/>
          <w:sz w:val="20"/>
          <w:szCs w:val="20"/>
        </w:rPr>
        <w:t>zdrojů</w:t>
      </w:r>
      <w:proofErr w:type="gramEnd"/>
      <w:r w:rsidRPr="6C54F3A7">
        <w:rPr>
          <w:rFonts w:asciiTheme="minorHAnsi" w:eastAsiaTheme="minorEastAsia" w:hAnsiTheme="minorHAnsi" w:cstheme="minorBidi"/>
          <w:i w:val="0"/>
          <w:iCs w:val="0"/>
          <w:color w:val="auto"/>
          <w:sz w:val="20"/>
          <w:szCs w:val="20"/>
        </w:rPr>
        <w:t xml:space="preserve"> a to i při zohlednění přímých i nepřímých dopadů z pohledu celého životního cyklu komponenty. Investice do fosilních paliv jsou zde vyloučeny. Investice není spojena se zvýšením přímých emisí skleníkových plynů. Individuální projektové investice nesmí bránit adaptaci jinde ani jinde zvyšovat rizika spojená s dopady na změnu klimatu. Rovněž "DNSH taxonomy </w:t>
      </w:r>
      <w:proofErr w:type="spellStart"/>
      <w:r w:rsidRPr="6C54F3A7">
        <w:rPr>
          <w:rFonts w:asciiTheme="minorHAnsi" w:eastAsiaTheme="minorEastAsia" w:hAnsiTheme="minorHAnsi" w:cstheme="minorBidi"/>
          <w:i w:val="0"/>
          <w:iCs w:val="0"/>
          <w:color w:val="auto"/>
          <w:sz w:val="20"/>
          <w:szCs w:val="20"/>
        </w:rPr>
        <w:t>criteria</w:t>
      </w:r>
      <w:proofErr w:type="spellEnd"/>
      <w:r w:rsidRPr="6C54F3A7">
        <w:rPr>
          <w:rFonts w:asciiTheme="minorHAnsi" w:eastAsiaTheme="minorEastAsia" w:hAnsiTheme="minorHAnsi" w:cstheme="minorBidi"/>
          <w:i w:val="0"/>
          <w:iCs w:val="0"/>
          <w:color w:val="auto"/>
          <w:sz w:val="20"/>
          <w:szCs w:val="20"/>
        </w:rPr>
        <w:t xml:space="preserve">“ neindikují v rámci "Professional, </w:t>
      </w:r>
      <w:proofErr w:type="spellStart"/>
      <w:r w:rsidRPr="6C54F3A7">
        <w:rPr>
          <w:rFonts w:asciiTheme="minorHAnsi" w:eastAsiaTheme="minorEastAsia" w:hAnsiTheme="minorHAnsi" w:cstheme="minorBidi"/>
          <w:i w:val="0"/>
          <w:iCs w:val="0"/>
          <w:color w:val="auto"/>
          <w:sz w:val="20"/>
          <w:szCs w:val="20"/>
        </w:rPr>
        <w:t>scientific</w:t>
      </w:r>
      <w:proofErr w:type="spellEnd"/>
      <w:r w:rsidRPr="6C54F3A7">
        <w:rPr>
          <w:rFonts w:asciiTheme="minorHAnsi" w:eastAsiaTheme="minorEastAsia" w:hAnsiTheme="minorHAnsi" w:cstheme="minorBidi"/>
          <w:i w:val="0"/>
          <w:iCs w:val="0"/>
          <w:color w:val="auto"/>
          <w:sz w:val="20"/>
          <w:szCs w:val="20"/>
        </w:rPr>
        <w:t xml:space="preserve"> and </w:t>
      </w:r>
      <w:proofErr w:type="spellStart"/>
      <w:r w:rsidRPr="6C54F3A7">
        <w:rPr>
          <w:rFonts w:asciiTheme="minorHAnsi" w:eastAsiaTheme="minorEastAsia" w:hAnsiTheme="minorHAnsi" w:cstheme="minorBidi"/>
          <w:i w:val="0"/>
          <w:iCs w:val="0"/>
          <w:color w:val="auto"/>
          <w:sz w:val="20"/>
          <w:szCs w:val="20"/>
        </w:rPr>
        <w:t>technical</w:t>
      </w:r>
      <w:proofErr w:type="spellEnd"/>
      <w:r w:rsidRPr="6C54F3A7">
        <w:rPr>
          <w:rFonts w:asciiTheme="minorHAnsi" w:eastAsiaTheme="minorEastAsia" w:hAnsiTheme="minorHAnsi" w:cstheme="minorBidi"/>
          <w:i w:val="0"/>
          <w:iCs w:val="0"/>
          <w:color w:val="auto"/>
          <w:sz w:val="20"/>
          <w:szCs w:val="20"/>
        </w:rPr>
        <w:t xml:space="preserve"> </w:t>
      </w:r>
      <w:proofErr w:type="spellStart"/>
      <w:r w:rsidRPr="6C54F3A7">
        <w:rPr>
          <w:rFonts w:asciiTheme="minorHAnsi" w:eastAsiaTheme="minorEastAsia" w:hAnsiTheme="minorHAnsi" w:cstheme="minorBidi"/>
          <w:i w:val="0"/>
          <w:iCs w:val="0"/>
          <w:color w:val="auto"/>
          <w:sz w:val="20"/>
          <w:szCs w:val="20"/>
        </w:rPr>
        <w:t>activities</w:t>
      </w:r>
      <w:proofErr w:type="spellEnd"/>
      <w:r w:rsidRPr="6C54F3A7">
        <w:rPr>
          <w:rFonts w:asciiTheme="minorHAnsi" w:eastAsiaTheme="minorEastAsia" w:hAnsiTheme="minorHAnsi" w:cstheme="minorBidi"/>
          <w:i w:val="0"/>
          <w:iCs w:val="0"/>
          <w:color w:val="auto"/>
          <w:sz w:val="20"/>
          <w:szCs w:val="20"/>
        </w:rPr>
        <w:t xml:space="preserve">" relevantní vazbu na tuto oblast z hlediska </w:t>
      </w:r>
      <w:proofErr w:type="spellStart"/>
      <w:r w:rsidRPr="6C54F3A7">
        <w:rPr>
          <w:rFonts w:asciiTheme="minorHAnsi" w:eastAsiaTheme="minorEastAsia" w:hAnsiTheme="minorHAnsi" w:cstheme="minorBidi"/>
          <w:i w:val="0"/>
          <w:iCs w:val="0"/>
          <w:color w:val="auto"/>
          <w:sz w:val="20"/>
          <w:szCs w:val="20"/>
        </w:rPr>
        <w:t>Climate</w:t>
      </w:r>
      <w:proofErr w:type="spellEnd"/>
      <w:r w:rsidRPr="6C54F3A7">
        <w:rPr>
          <w:rFonts w:asciiTheme="minorHAnsi" w:eastAsiaTheme="minorEastAsia" w:hAnsiTheme="minorHAnsi" w:cstheme="minorBidi"/>
          <w:i w:val="0"/>
          <w:iCs w:val="0"/>
          <w:color w:val="auto"/>
          <w:sz w:val="20"/>
          <w:szCs w:val="20"/>
        </w:rPr>
        <w:t xml:space="preserve"> </w:t>
      </w:r>
      <w:proofErr w:type="spellStart"/>
      <w:r w:rsidRPr="6C54F3A7">
        <w:rPr>
          <w:rFonts w:asciiTheme="minorHAnsi" w:eastAsiaTheme="minorEastAsia" w:hAnsiTheme="minorHAnsi" w:cstheme="minorBidi"/>
          <w:i w:val="0"/>
          <w:iCs w:val="0"/>
          <w:color w:val="auto"/>
          <w:sz w:val="20"/>
          <w:szCs w:val="20"/>
        </w:rPr>
        <w:t>change</w:t>
      </w:r>
      <w:proofErr w:type="spellEnd"/>
      <w:r w:rsidRPr="6C54F3A7">
        <w:rPr>
          <w:rFonts w:asciiTheme="minorHAnsi" w:eastAsiaTheme="minorEastAsia" w:hAnsiTheme="minorHAnsi" w:cstheme="minorBidi"/>
          <w:i w:val="0"/>
          <w:iCs w:val="0"/>
          <w:color w:val="auto"/>
          <w:sz w:val="20"/>
          <w:szCs w:val="20"/>
        </w:rPr>
        <w:t xml:space="preserve"> </w:t>
      </w:r>
      <w:proofErr w:type="spellStart"/>
      <w:r w:rsidRPr="6C54F3A7">
        <w:rPr>
          <w:rFonts w:asciiTheme="minorHAnsi" w:eastAsiaTheme="minorEastAsia" w:hAnsiTheme="minorHAnsi" w:cstheme="minorBidi"/>
          <w:i w:val="0"/>
          <w:iCs w:val="0"/>
          <w:color w:val="auto"/>
          <w:sz w:val="20"/>
          <w:szCs w:val="20"/>
        </w:rPr>
        <w:t>mitigation</w:t>
      </w:r>
      <w:proofErr w:type="spellEnd"/>
      <w:r w:rsidRPr="6C54F3A7">
        <w:rPr>
          <w:rFonts w:asciiTheme="minorHAnsi" w:eastAsiaTheme="minorEastAsia" w:hAnsiTheme="minorHAnsi" w:cstheme="minorBidi"/>
          <w:i w:val="0"/>
          <w:iCs w:val="0"/>
          <w:color w:val="auto"/>
          <w:sz w:val="20"/>
          <w:szCs w:val="20"/>
        </w:rPr>
        <w:t xml:space="preserve">, </w:t>
      </w:r>
      <w:proofErr w:type="spellStart"/>
      <w:r w:rsidRPr="6C54F3A7">
        <w:rPr>
          <w:rFonts w:asciiTheme="minorHAnsi" w:eastAsiaTheme="minorEastAsia" w:hAnsiTheme="minorHAnsi" w:cstheme="minorBidi"/>
          <w:i w:val="0"/>
          <w:iCs w:val="0"/>
          <w:color w:val="auto"/>
          <w:sz w:val="20"/>
          <w:szCs w:val="20"/>
        </w:rPr>
        <w:t>Climate</w:t>
      </w:r>
      <w:proofErr w:type="spellEnd"/>
      <w:r w:rsidRPr="6C54F3A7">
        <w:rPr>
          <w:rFonts w:asciiTheme="minorHAnsi" w:eastAsiaTheme="minorEastAsia" w:hAnsiTheme="minorHAnsi" w:cstheme="minorBidi"/>
          <w:i w:val="0"/>
          <w:iCs w:val="0"/>
          <w:color w:val="auto"/>
          <w:sz w:val="20"/>
          <w:szCs w:val="20"/>
        </w:rPr>
        <w:t xml:space="preserve"> </w:t>
      </w:r>
      <w:proofErr w:type="spellStart"/>
      <w:r w:rsidRPr="6C54F3A7">
        <w:rPr>
          <w:rFonts w:asciiTheme="minorHAnsi" w:eastAsiaTheme="minorEastAsia" w:hAnsiTheme="minorHAnsi" w:cstheme="minorBidi"/>
          <w:i w:val="0"/>
          <w:iCs w:val="0"/>
          <w:color w:val="auto"/>
          <w:sz w:val="20"/>
          <w:szCs w:val="20"/>
        </w:rPr>
        <w:t>change</w:t>
      </w:r>
      <w:proofErr w:type="spellEnd"/>
      <w:r w:rsidRPr="6C54F3A7">
        <w:rPr>
          <w:rFonts w:asciiTheme="minorHAnsi" w:eastAsiaTheme="minorEastAsia" w:hAnsiTheme="minorHAnsi" w:cstheme="minorBidi"/>
          <w:i w:val="0"/>
          <w:iCs w:val="0"/>
          <w:color w:val="auto"/>
          <w:sz w:val="20"/>
          <w:szCs w:val="20"/>
        </w:rPr>
        <w:t xml:space="preserve"> </w:t>
      </w:r>
      <w:proofErr w:type="spellStart"/>
      <w:r w:rsidRPr="6C54F3A7">
        <w:rPr>
          <w:rFonts w:asciiTheme="minorHAnsi" w:eastAsiaTheme="minorEastAsia" w:hAnsiTheme="minorHAnsi" w:cstheme="minorBidi"/>
          <w:i w:val="0"/>
          <w:iCs w:val="0"/>
          <w:color w:val="auto"/>
          <w:sz w:val="20"/>
          <w:szCs w:val="20"/>
        </w:rPr>
        <w:t>adaptation</w:t>
      </w:r>
      <w:proofErr w:type="spellEnd"/>
      <w:r w:rsidRPr="6C54F3A7">
        <w:rPr>
          <w:rFonts w:asciiTheme="minorHAnsi" w:eastAsiaTheme="minorEastAsia" w:hAnsiTheme="minorHAnsi" w:cstheme="minorBidi"/>
          <w:i w:val="0"/>
          <w:iCs w:val="0"/>
          <w:color w:val="auto"/>
          <w:sz w:val="20"/>
          <w:szCs w:val="20"/>
        </w:rPr>
        <w:t xml:space="preserve">, </w:t>
      </w:r>
      <w:proofErr w:type="spellStart"/>
      <w:r w:rsidRPr="6C54F3A7">
        <w:rPr>
          <w:rFonts w:asciiTheme="minorHAnsi" w:eastAsiaTheme="minorEastAsia" w:hAnsiTheme="minorHAnsi" w:cstheme="minorBidi"/>
          <w:i w:val="0"/>
          <w:iCs w:val="0"/>
          <w:color w:val="auto"/>
          <w:sz w:val="20"/>
          <w:szCs w:val="20"/>
        </w:rPr>
        <w:t>The</w:t>
      </w:r>
      <w:proofErr w:type="spellEnd"/>
      <w:r w:rsidRPr="6C54F3A7">
        <w:rPr>
          <w:rFonts w:asciiTheme="minorHAnsi" w:eastAsiaTheme="minorEastAsia" w:hAnsiTheme="minorHAnsi" w:cstheme="minorBidi"/>
          <w:i w:val="0"/>
          <w:iCs w:val="0"/>
          <w:color w:val="auto"/>
          <w:sz w:val="20"/>
          <w:szCs w:val="20"/>
        </w:rPr>
        <w:t xml:space="preserve"> </w:t>
      </w:r>
      <w:proofErr w:type="spellStart"/>
      <w:r w:rsidRPr="6C54F3A7">
        <w:rPr>
          <w:rFonts w:asciiTheme="minorHAnsi" w:eastAsiaTheme="minorEastAsia" w:hAnsiTheme="minorHAnsi" w:cstheme="minorBidi"/>
          <w:i w:val="0"/>
          <w:iCs w:val="0"/>
          <w:color w:val="auto"/>
          <w:sz w:val="20"/>
          <w:szCs w:val="20"/>
        </w:rPr>
        <w:t>sustainable</w:t>
      </w:r>
      <w:proofErr w:type="spellEnd"/>
      <w:r w:rsidRPr="6C54F3A7">
        <w:rPr>
          <w:rFonts w:asciiTheme="minorHAnsi" w:eastAsiaTheme="minorEastAsia" w:hAnsiTheme="minorHAnsi" w:cstheme="minorBidi"/>
          <w:i w:val="0"/>
          <w:iCs w:val="0"/>
          <w:color w:val="auto"/>
          <w:sz w:val="20"/>
          <w:szCs w:val="20"/>
        </w:rPr>
        <w:t xml:space="preserve"> use and </w:t>
      </w:r>
      <w:proofErr w:type="spellStart"/>
      <w:r w:rsidRPr="6C54F3A7">
        <w:rPr>
          <w:rFonts w:asciiTheme="minorHAnsi" w:eastAsiaTheme="minorEastAsia" w:hAnsiTheme="minorHAnsi" w:cstheme="minorBidi"/>
          <w:i w:val="0"/>
          <w:iCs w:val="0"/>
          <w:color w:val="auto"/>
          <w:sz w:val="20"/>
          <w:szCs w:val="20"/>
        </w:rPr>
        <w:t>protection</w:t>
      </w:r>
      <w:proofErr w:type="spellEnd"/>
      <w:r w:rsidRPr="6C54F3A7">
        <w:rPr>
          <w:rFonts w:asciiTheme="minorHAnsi" w:eastAsiaTheme="minorEastAsia" w:hAnsiTheme="minorHAnsi" w:cstheme="minorBidi"/>
          <w:i w:val="0"/>
          <w:iCs w:val="0"/>
          <w:color w:val="auto"/>
          <w:sz w:val="20"/>
          <w:szCs w:val="20"/>
        </w:rPr>
        <w:t xml:space="preserve"> </w:t>
      </w:r>
      <w:proofErr w:type="spellStart"/>
      <w:r w:rsidRPr="6C54F3A7">
        <w:rPr>
          <w:rFonts w:asciiTheme="minorHAnsi" w:eastAsiaTheme="minorEastAsia" w:hAnsiTheme="minorHAnsi" w:cstheme="minorBidi"/>
          <w:i w:val="0"/>
          <w:iCs w:val="0"/>
          <w:color w:val="auto"/>
          <w:sz w:val="20"/>
          <w:szCs w:val="20"/>
        </w:rPr>
        <w:t>for</w:t>
      </w:r>
      <w:proofErr w:type="spellEnd"/>
      <w:r w:rsidRPr="6C54F3A7">
        <w:rPr>
          <w:rFonts w:asciiTheme="minorHAnsi" w:eastAsiaTheme="minorEastAsia" w:hAnsiTheme="minorHAnsi" w:cstheme="minorBidi"/>
          <w:i w:val="0"/>
          <w:iCs w:val="0"/>
          <w:color w:val="auto"/>
          <w:sz w:val="20"/>
          <w:szCs w:val="20"/>
        </w:rPr>
        <w:t xml:space="preserve"> </w:t>
      </w:r>
      <w:proofErr w:type="spellStart"/>
      <w:r w:rsidRPr="6C54F3A7">
        <w:rPr>
          <w:rFonts w:asciiTheme="minorHAnsi" w:eastAsiaTheme="minorEastAsia" w:hAnsiTheme="minorHAnsi" w:cstheme="minorBidi"/>
          <w:i w:val="0"/>
          <w:iCs w:val="0"/>
          <w:color w:val="auto"/>
          <w:sz w:val="20"/>
          <w:szCs w:val="20"/>
        </w:rPr>
        <w:t>water</w:t>
      </w:r>
      <w:proofErr w:type="spellEnd"/>
      <w:r w:rsidRPr="6C54F3A7">
        <w:rPr>
          <w:rFonts w:asciiTheme="minorHAnsi" w:eastAsiaTheme="minorEastAsia" w:hAnsiTheme="minorHAnsi" w:cstheme="minorBidi"/>
          <w:i w:val="0"/>
          <w:iCs w:val="0"/>
          <w:color w:val="auto"/>
          <w:sz w:val="20"/>
          <w:szCs w:val="20"/>
        </w:rPr>
        <w:t xml:space="preserve"> and </w:t>
      </w:r>
      <w:proofErr w:type="spellStart"/>
      <w:r w:rsidRPr="6C54F3A7">
        <w:rPr>
          <w:rFonts w:asciiTheme="minorHAnsi" w:eastAsiaTheme="minorEastAsia" w:hAnsiTheme="minorHAnsi" w:cstheme="minorBidi"/>
          <w:i w:val="0"/>
          <w:iCs w:val="0"/>
          <w:color w:val="auto"/>
          <w:sz w:val="20"/>
          <w:szCs w:val="20"/>
        </w:rPr>
        <w:t>marine</w:t>
      </w:r>
      <w:proofErr w:type="spellEnd"/>
      <w:r w:rsidRPr="6C54F3A7">
        <w:rPr>
          <w:rFonts w:asciiTheme="minorHAnsi" w:eastAsiaTheme="minorEastAsia" w:hAnsiTheme="minorHAnsi" w:cstheme="minorBidi"/>
          <w:i w:val="0"/>
          <w:iCs w:val="0"/>
          <w:color w:val="auto"/>
          <w:sz w:val="20"/>
          <w:szCs w:val="20"/>
        </w:rPr>
        <w:t xml:space="preserve"> </w:t>
      </w:r>
      <w:proofErr w:type="spellStart"/>
      <w:r w:rsidRPr="6C54F3A7">
        <w:rPr>
          <w:rFonts w:asciiTheme="minorHAnsi" w:eastAsiaTheme="minorEastAsia" w:hAnsiTheme="minorHAnsi" w:cstheme="minorBidi"/>
          <w:i w:val="0"/>
          <w:iCs w:val="0"/>
          <w:color w:val="auto"/>
          <w:sz w:val="20"/>
          <w:szCs w:val="20"/>
        </w:rPr>
        <w:t>resources</w:t>
      </w:r>
      <w:proofErr w:type="spellEnd"/>
      <w:r w:rsidRPr="6C54F3A7">
        <w:rPr>
          <w:rFonts w:asciiTheme="minorHAnsi" w:eastAsiaTheme="minorEastAsia" w:hAnsiTheme="minorHAnsi" w:cstheme="minorBidi"/>
          <w:i w:val="0"/>
          <w:iCs w:val="0"/>
          <w:color w:val="auto"/>
          <w:sz w:val="20"/>
          <w:szCs w:val="20"/>
        </w:rPr>
        <w:t xml:space="preserve"> ani z pohledu </w:t>
      </w:r>
      <w:proofErr w:type="spellStart"/>
      <w:r w:rsidRPr="6C54F3A7">
        <w:rPr>
          <w:rFonts w:asciiTheme="minorHAnsi" w:eastAsiaTheme="minorEastAsia" w:hAnsiTheme="minorHAnsi" w:cstheme="minorBidi"/>
          <w:i w:val="0"/>
          <w:iCs w:val="0"/>
          <w:color w:val="auto"/>
          <w:sz w:val="20"/>
          <w:szCs w:val="20"/>
        </w:rPr>
        <w:t>The</w:t>
      </w:r>
      <w:proofErr w:type="spellEnd"/>
      <w:r w:rsidRPr="6C54F3A7">
        <w:rPr>
          <w:rFonts w:asciiTheme="minorHAnsi" w:eastAsiaTheme="minorEastAsia" w:hAnsiTheme="minorHAnsi" w:cstheme="minorBidi"/>
          <w:i w:val="0"/>
          <w:iCs w:val="0"/>
          <w:color w:val="auto"/>
          <w:sz w:val="20"/>
          <w:szCs w:val="20"/>
        </w:rPr>
        <w:t xml:space="preserve"> </w:t>
      </w:r>
      <w:proofErr w:type="spellStart"/>
      <w:r w:rsidRPr="6C54F3A7">
        <w:rPr>
          <w:rFonts w:asciiTheme="minorHAnsi" w:eastAsiaTheme="minorEastAsia" w:hAnsiTheme="minorHAnsi" w:cstheme="minorBidi"/>
          <w:i w:val="0"/>
          <w:iCs w:val="0"/>
          <w:color w:val="auto"/>
          <w:sz w:val="20"/>
          <w:szCs w:val="20"/>
        </w:rPr>
        <w:t>protection</w:t>
      </w:r>
      <w:proofErr w:type="spellEnd"/>
      <w:r w:rsidRPr="6C54F3A7">
        <w:rPr>
          <w:rFonts w:asciiTheme="minorHAnsi" w:eastAsiaTheme="minorEastAsia" w:hAnsiTheme="minorHAnsi" w:cstheme="minorBidi"/>
          <w:i w:val="0"/>
          <w:iCs w:val="0"/>
          <w:color w:val="auto"/>
          <w:sz w:val="20"/>
          <w:szCs w:val="20"/>
        </w:rPr>
        <w:t xml:space="preserve"> and </w:t>
      </w:r>
      <w:proofErr w:type="spellStart"/>
      <w:r w:rsidRPr="6C54F3A7">
        <w:rPr>
          <w:rFonts w:asciiTheme="minorHAnsi" w:eastAsiaTheme="minorEastAsia" w:hAnsiTheme="minorHAnsi" w:cstheme="minorBidi"/>
          <w:i w:val="0"/>
          <w:iCs w:val="0"/>
          <w:color w:val="auto"/>
          <w:sz w:val="20"/>
          <w:szCs w:val="20"/>
        </w:rPr>
        <w:t>restoration</w:t>
      </w:r>
      <w:proofErr w:type="spellEnd"/>
      <w:r w:rsidRPr="6C54F3A7">
        <w:rPr>
          <w:rFonts w:asciiTheme="minorHAnsi" w:eastAsiaTheme="minorEastAsia" w:hAnsiTheme="minorHAnsi" w:cstheme="minorBidi"/>
          <w:i w:val="0"/>
          <w:iCs w:val="0"/>
          <w:color w:val="auto"/>
          <w:sz w:val="20"/>
          <w:szCs w:val="20"/>
        </w:rPr>
        <w:t xml:space="preserve"> </w:t>
      </w:r>
      <w:proofErr w:type="spellStart"/>
      <w:r w:rsidRPr="6C54F3A7">
        <w:rPr>
          <w:rFonts w:asciiTheme="minorHAnsi" w:eastAsiaTheme="minorEastAsia" w:hAnsiTheme="minorHAnsi" w:cstheme="minorBidi"/>
          <w:i w:val="0"/>
          <w:iCs w:val="0"/>
          <w:color w:val="auto"/>
          <w:sz w:val="20"/>
          <w:szCs w:val="20"/>
        </w:rPr>
        <w:t>of</w:t>
      </w:r>
      <w:proofErr w:type="spellEnd"/>
      <w:r w:rsidRPr="6C54F3A7">
        <w:rPr>
          <w:rFonts w:asciiTheme="minorHAnsi" w:eastAsiaTheme="minorEastAsia" w:hAnsiTheme="minorHAnsi" w:cstheme="minorBidi"/>
          <w:i w:val="0"/>
          <w:iCs w:val="0"/>
          <w:color w:val="auto"/>
          <w:sz w:val="20"/>
          <w:szCs w:val="20"/>
        </w:rPr>
        <w:t xml:space="preserve"> biodiversity and </w:t>
      </w:r>
      <w:proofErr w:type="spellStart"/>
      <w:r w:rsidRPr="6C54F3A7">
        <w:rPr>
          <w:rFonts w:asciiTheme="minorHAnsi" w:eastAsiaTheme="minorEastAsia" w:hAnsiTheme="minorHAnsi" w:cstheme="minorBidi"/>
          <w:i w:val="0"/>
          <w:iCs w:val="0"/>
          <w:color w:val="auto"/>
          <w:sz w:val="20"/>
          <w:szCs w:val="20"/>
        </w:rPr>
        <w:t>ecosystems</w:t>
      </w:r>
      <w:proofErr w:type="spellEnd"/>
      <w:r w:rsidRPr="6C54F3A7">
        <w:rPr>
          <w:rFonts w:asciiTheme="minorHAnsi" w:eastAsiaTheme="minorEastAsia" w:hAnsiTheme="minorHAnsi" w:cstheme="minorBidi"/>
          <w:i w:val="0"/>
          <w:iCs w:val="0"/>
          <w:color w:val="auto"/>
          <w:sz w:val="20"/>
          <w:szCs w:val="20"/>
        </w:rPr>
        <w:t xml:space="preserve">. </w:t>
      </w:r>
    </w:p>
    <w:p w14:paraId="519C2F14" w14:textId="6C59B81A" w:rsidR="2317B50D" w:rsidRDefault="2317B50D"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V této komponentě se primárně nepočítá ani se stavebními investicemi. Způsobilé mohou být jen minimální stavební úpravy stávajících výzkumných prostor nezbytné pro instalace potřebných, modernějších výzkumných zařízení. Pokud dojde v projektech výzkumu a vývoje k nezbytné individuální renovaci části stávajících budov, může jít jen o ojedinělé a jednotkové počty místností nebo jejich částí spojené pouze s instalací nových vědeckých zařízení vyšší třídy a kvality, a to i ve vztahu k ochraně osob a přírody. Respektování zásady „nepůsobit podstatnou škodu“ bude zajištěno tím, že v případě nezbytnosti investic do úprav staveb a budov národní legislativa striktně vyžaduje studie proveditelnosti a studie dopadů na životní prostředí.</w:t>
      </w:r>
    </w:p>
    <w:p w14:paraId="7EF3BE4C" w14:textId="77777777" w:rsidR="2317B50D" w:rsidRDefault="2317B50D"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 xml:space="preserve">Podpora projektů výzkumu a vývoje v této investici ani podpořené aktivity jednotlivých projektů nebudou mít dopad na stávající vodní útvary, vodu v krajině ani na dostupnost vody, ani nebudou nezvyšovat odběr povrchových či podzemních vod, nebo mít vliv na vodní režim. "DNSH taxonomy </w:t>
      </w:r>
      <w:proofErr w:type="spellStart"/>
      <w:r w:rsidRPr="6C54F3A7">
        <w:rPr>
          <w:rFonts w:asciiTheme="minorHAnsi" w:eastAsiaTheme="minorEastAsia" w:hAnsiTheme="minorHAnsi" w:cstheme="minorBidi"/>
          <w:i w:val="0"/>
          <w:iCs w:val="0"/>
          <w:color w:val="auto"/>
          <w:sz w:val="20"/>
          <w:szCs w:val="20"/>
        </w:rPr>
        <w:t>criteria</w:t>
      </w:r>
      <w:proofErr w:type="spellEnd"/>
      <w:r w:rsidRPr="6C54F3A7">
        <w:rPr>
          <w:rFonts w:asciiTheme="minorHAnsi" w:eastAsiaTheme="minorEastAsia" w:hAnsiTheme="minorHAnsi" w:cstheme="minorBidi"/>
          <w:i w:val="0"/>
          <w:iCs w:val="0"/>
          <w:color w:val="auto"/>
          <w:sz w:val="20"/>
          <w:szCs w:val="20"/>
        </w:rPr>
        <w:t xml:space="preserve">“ zde také neindikují v rámci "Professional, </w:t>
      </w:r>
      <w:proofErr w:type="spellStart"/>
      <w:r w:rsidRPr="6C54F3A7">
        <w:rPr>
          <w:rFonts w:asciiTheme="minorHAnsi" w:eastAsiaTheme="minorEastAsia" w:hAnsiTheme="minorHAnsi" w:cstheme="minorBidi"/>
          <w:i w:val="0"/>
          <w:iCs w:val="0"/>
          <w:color w:val="auto"/>
          <w:sz w:val="20"/>
          <w:szCs w:val="20"/>
        </w:rPr>
        <w:t>scientific</w:t>
      </w:r>
      <w:proofErr w:type="spellEnd"/>
      <w:r w:rsidRPr="6C54F3A7">
        <w:rPr>
          <w:rFonts w:asciiTheme="minorHAnsi" w:eastAsiaTheme="minorEastAsia" w:hAnsiTheme="minorHAnsi" w:cstheme="minorBidi"/>
          <w:i w:val="0"/>
          <w:iCs w:val="0"/>
          <w:color w:val="auto"/>
          <w:sz w:val="20"/>
          <w:szCs w:val="20"/>
        </w:rPr>
        <w:t xml:space="preserve"> and </w:t>
      </w:r>
      <w:proofErr w:type="spellStart"/>
      <w:r w:rsidRPr="6C54F3A7">
        <w:rPr>
          <w:rFonts w:asciiTheme="minorHAnsi" w:eastAsiaTheme="minorEastAsia" w:hAnsiTheme="minorHAnsi" w:cstheme="minorBidi"/>
          <w:i w:val="0"/>
          <w:iCs w:val="0"/>
          <w:color w:val="auto"/>
          <w:sz w:val="20"/>
          <w:szCs w:val="20"/>
        </w:rPr>
        <w:t>technical</w:t>
      </w:r>
      <w:proofErr w:type="spellEnd"/>
      <w:r w:rsidRPr="6C54F3A7">
        <w:rPr>
          <w:rFonts w:asciiTheme="minorHAnsi" w:eastAsiaTheme="minorEastAsia" w:hAnsiTheme="minorHAnsi" w:cstheme="minorBidi"/>
          <w:i w:val="0"/>
          <w:iCs w:val="0"/>
          <w:color w:val="auto"/>
          <w:sz w:val="20"/>
          <w:szCs w:val="20"/>
        </w:rPr>
        <w:t xml:space="preserve"> </w:t>
      </w:r>
      <w:proofErr w:type="spellStart"/>
      <w:r w:rsidRPr="6C54F3A7">
        <w:rPr>
          <w:rFonts w:asciiTheme="minorHAnsi" w:eastAsiaTheme="minorEastAsia" w:hAnsiTheme="minorHAnsi" w:cstheme="minorBidi"/>
          <w:i w:val="0"/>
          <w:iCs w:val="0"/>
          <w:color w:val="auto"/>
          <w:sz w:val="20"/>
          <w:szCs w:val="20"/>
        </w:rPr>
        <w:t>activities</w:t>
      </w:r>
      <w:proofErr w:type="spellEnd"/>
      <w:r w:rsidRPr="6C54F3A7">
        <w:rPr>
          <w:rFonts w:asciiTheme="minorHAnsi" w:eastAsiaTheme="minorEastAsia" w:hAnsiTheme="minorHAnsi" w:cstheme="minorBidi"/>
          <w:i w:val="0"/>
          <w:iCs w:val="0"/>
          <w:color w:val="auto"/>
          <w:sz w:val="20"/>
          <w:szCs w:val="20"/>
        </w:rPr>
        <w:t xml:space="preserve">" relevantní vazbu na tuto oblast. </w:t>
      </w:r>
    </w:p>
    <w:p w14:paraId="23E0E63E" w14:textId="25EF33B6" w:rsidR="2317B50D" w:rsidRDefault="2317B50D"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 xml:space="preserve">Nepředpokládá se zde žádný na stávající systém odpadních vod nebo odpadové </w:t>
      </w:r>
      <w:proofErr w:type="gramStart"/>
      <w:r w:rsidRPr="6C54F3A7">
        <w:rPr>
          <w:rFonts w:asciiTheme="minorHAnsi" w:eastAsiaTheme="minorEastAsia" w:hAnsiTheme="minorHAnsi" w:cstheme="minorBidi"/>
          <w:i w:val="0"/>
          <w:iCs w:val="0"/>
          <w:color w:val="auto"/>
          <w:sz w:val="20"/>
          <w:szCs w:val="20"/>
        </w:rPr>
        <w:t>hospodářství</w:t>
      </w:r>
      <w:proofErr w:type="gramEnd"/>
      <w:r w:rsidRPr="6C54F3A7">
        <w:rPr>
          <w:rFonts w:asciiTheme="minorHAnsi" w:eastAsiaTheme="minorEastAsia" w:hAnsiTheme="minorHAnsi" w:cstheme="minorBidi"/>
          <w:i w:val="0"/>
          <w:iCs w:val="0"/>
          <w:color w:val="auto"/>
          <w:sz w:val="20"/>
          <w:szCs w:val="20"/>
        </w:rPr>
        <w:t xml:space="preserve"> a to i při zohlednění přímých i nepřímých dopadů z pohledu celého životního cyklu komponenty. Investice v ojedinělém případě může mít jen velmi zanedbatelný vliv na vznik minimálního množství odpadních vod, biologických nebo chemických odpadů, ale musí být vždy i každým příjemcem podpory splněny adekvátní požadavky na manipulaci s nimi i na jejich likvidaci v rámci sdílené infrastruktury nebo příslušných platných oprávnění k takové činnosti, zároveň se nesmí projektovými aktivitami zvyšovat nároky na tuto infrastrukturu, jinak podpora v rámci komponenty nebude poskytnuta.</w:t>
      </w:r>
    </w:p>
    <w:p w14:paraId="47316BD0" w14:textId="7C55DEDC" w:rsidR="00B839FB" w:rsidRDefault="00B839FB">
      <w:pPr>
        <w:spacing w:after="200" w:line="276" w:lineRule="auto"/>
        <w:rPr>
          <w:rFonts w:eastAsiaTheme="minorEastAsia"/>
          <w:b/>
          <w:bCs/>
          <w:sz w:val="20"/>
          <w:szCs w:val="20"/>
        </w:rPr>
      </w:pPr>
      <w:r>
        <w:rPr>
          <w:rFonts w:eastAsiaTheme="minorEastAsia"/>
          <w:b/>
          <w:bCs/>
          <w:sz w:val="20"/>
          <w:szCs w:val="20"/>
        </w:rPr>
        <w:br w:type="page"/>
      </w:r>
    </w:p>
    <w:p w14:paraId="05539117" w14:textId="77777777" w:rsidR="5AD3009E" w:rsidRDefault="5AD3009E" w:rsidP="6C54F3A7">
      <w:pPr>
        <w:spacing w:line="240" w:lineRule="auto"/>
        <w:rPr>
          <w:rFonts w:eastAsiaTheme="minorEastAsia"/>
          <w:b/>
          <w:bCs/>
          <w:sz w:val="20"/>
          <w:szCs w:val="20"/>
        </w:rPr>
      </w:pPr>
    </w:p>
    <w:p w14:paraId="53455BB1" w14:textId="2F7021A8" w:rsidR="48C6E71B" w:rsidRDefault="48C6E71B" w:rsidP="6C54F3A7">
      <w:pPr>
        <w:spacing w:line="240" w:lineRule="auto"/>
        <w:rPr>
          <w:rFonts w:eastAsiaTheme="minorEastAsia"/>
          <w:b/>
          <w:bCs/>
          <w:sz w:val="20"/>
          <w:szCs w:val="20"/>
        </w:rPr>
      </w:pPr>
      <w:r w:rsidRPr="6C54F3A7">
        <w:rPr>
          <w:rFonts w:eastAsiaTheme="minorEastAsia"/>
          <w:b/>
          <w:bCs/>
          <w:sz w:val="20"/>
          <w:szCs w:val="20"/>
        </w:rPr>
        <w:t xml:space="preserve">7. Digitální rozměr komponenty  </w:t>
      </w:r>
    </w:p>
    <w:p w14:paraId="5ACA5611" w14:textId="19D8D53F" w:rsidR="13B4C6F3" w:rsidRDefault="13B4C6F3"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 xml:space="preserve">Komponenta není primárně zaměřena ani na digitální technologie nebo digitální infrastruktury. Nicméně výzkum a vývoj se v současné době rychlého rozvoje ITC bez digitálních technologií neobejde a technologicky vyspělá moderní informační infrastruktura výzkumu je jeho nedílnou a nezbytnou součástí. Akademická páteřní síť CESNET se v ČR aktivně připravuje na generaci 5G sítí. Tyto i další v ČR již fungující e-infrastruktury včetně veřejné správy budou ale komplementárně k tomuto opatření podporovány z jiných komponent Národního plánu obnovy a z dalších národních dotačních titulů nebo z operačních programů. V této komponentě bude způsobilý pouze náklad přímo spojený s nezbytnou konektivitou nově pořizovaných výzkumných zařízení v komponentě 5.1 a užíváním nových digitálních technologií pro zpracování a zpřístupňování vědeckých dat z těchto zařízení. Tyto výdaje mohou být způsobilé pouze po kontrole způsobilosti a úplném vyloučení případných duplicit. Jednou z podstatných podmínek fungování nových národních autorit v podpořených prioritních oblastech je poskytovat státní správě, odborné veřejnosti a dalším zájemcům interoperabilní a uživatelsky vstřícné digitální veřejné služby </w:t>
      </w:r>
      <w:proofErr w:type="gramStart"/>
      <w:r w:rsidRPr="6C54F3A7">
        <w:rPr>
          <w:rFonts w:asciiTheme="minorHAnsi" w:eastAsiaTheme="minorEastAsia" w:hAnsiTheme="minorHAnsi" w:cstheme="minorBidi"/>
          <w:i w:val="0"/>
          <w:iCs w:val="0"/>
          <w:color w:val="auto"/>
          <w:sz w:val="20"/>
          <w:szCs w:val="20"/>
        </w:rPr>
        <w:t>v  oblastech</w:t>
      </w:r>
      <w:proofErr w:type="gramEnd"/>
      <w:r w:rsidRPr="6C54F3A7">
        <w:rPr>
          <w:rFonts w:asciiTheme="minorHAnsi" w:eastAsiaTheme="minorEastAsia" w:hAnsiTheme="minorHAnsi" w:cstheme="minorBidi"/>
          <w:i w:val="0"/>
          <w:iCs w:val="0"/>
          <w:color w:val="auto"/>
          <w:sz w:val="20"/>
          <w:szCs w:val="20"/>
        </w:rPr>
        <w:t xml:space="preserve"> svěřených kompetencí.</w:t>
      </w:r>
    </w:p>
    <w:p w14:paraId="48A305B9" w14:textId="5EB54211" w:rsidR="13B4C6F3" w:rsidRDefault="13B4C6F3"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 xml:space="preserve">Individuální projektové aktivity podpořené v této komponentě mohou tedy zahrnovat nezbytný nákup spotřební elektroniky a IT jako nezbytné součásti laboratorního vybavení, ale to není stěžejním jádrem investice ani nepůjde o početné nákupy, ale jen o ojedinělé a individuální. V rámci investice se bude využívat pouze na trhu dostupných energeticky účinných zařízení, produktů a služeb, které nevyvolávají významný nárůst spotřeby energií v souladu s cíli Národního akčního plánu energetické účinnosti, politikou ochrany klimatu i cíli vnitrostátního plánu pro oblast energetiky a klimatu. U modernizace zařízení jsou vždy upřednostňovány aktuálně vyšší kategorie energetické účinnosti i u IT vybavení apod., s přihlédnutím na jejich dostupnost na trhu. </w:t>
      </w:r>
    </w:p>
    <w:p w14:paraId="0958B369" w14:textId="19BC4877" w:rsidR="13B4C6F3" w:rsidRDefault="13B4C6F3" w:rsidP="6C54F3A7">
      <w:pPr>
        <w:pStyle w:val="K-TextInfo"/>
        <w:rPr>
          <w:rFonts w:asciiTheme="minorHAnsi" w:eastAsiaTheme="minorEastAsia" w:hAnsiTheme="minorHAnsi" w:cstheme="minorBidi"/>
          <w:i w:val="0"/>
          <w:iCs w:val="0"/>
          <w:color w:val="auto"/>
          <w:sz w:val="20"/>
          <w:szCs w:val="20"/>
        </w:rPr>
      </w:pPr>
      <w:r w:rsidRPr="6C54F3A7">
        <w:rPr>
          <w:rFonts w:asciiTheme="minorHAnsi" w:eastAsiaTheme="minorEastAsia" w:hAnsiTheme="minorHAnsi" w:cstheme="minorBidi"/>
          <w:i w:val="0"/>
          <w:iCs w:val="0"/>
          <w:color w:val="auto"/>
          <w:sz w:val="20"/>
          <w:szCs w:val="20"/>
        </w:rPr>
        <w:t xml:space="preserve">Projektové aktivity a projekty podpořené v této komponentě musí vždy splňovat platné národní i evropské předpisy, nesmí zvyšovat rizika a musí být v souladu se sektorovými, regionálními a národními strategiemi, jinak nebude podpora v rámci komponenty jejímu konečnému příjemci poskytnuta. Poskytovatel zajistí </w:t>
      </w:r>
      <w:proofErr w:type="gramStart"/>
      <w:r w:rsidRPr="6C54F3A7">
        <w:rPr>
          <w:rFonts w:asciiTheme="minorHAnsi" w:eastAsiaTheme="minorEastAsia" w:hAnsiTheme="minorHAnsi" w:cstheme="minorBidi"/>
          <w:i w:val="0"/>
          <w:iCs w:val="0"/>
          <w:color w:val="auto"/>
          <w:sz w:val="20"/>
          <w:szCs w:val="20"/>
        </w:rPr>
        <w:t>ex- ante</w:t>
      </w:r>
      <w:proofErr w:type="gramEnd"/>
      <w:r w:rsidRPr="6C54F3A7">
        <w:rPr>
          <w:rFonts w:asciiTheme="minorHAnsi" w:eastAsiaTheme="minorEastAsia" w:hAnsiTheme="minorHAnsi" w:cstheme="minorBidi"/>
          <w:i w:val="0"/>
          <w:iCs w:val="0"/>
          <w:color w:val="auto"/>
          <w:sz w:val="20"/>
          <w:szCs w:val="20"/>
        </w:rPr>
        <w:t xml:space="preserve"> hodnocení i věcného zaměření projektů v rámci veřejné soutěže a dále kontroly věcného plnění cílů a projektových aktivit v průběhu i po ukončení řešení v rozsahu dříve zmíněného zák. č. 130/2002 Sb.</w:t>
      </w:r>
    </w:p>
    <w:p w14:paraId="36ADE7C9" w14:textId="5995AECA" w:rsidR="5AD3009E" w:rsidRDefault="5AD3009E" w:rsidP="6C54F3A7">
      <w:pPr>
        <w:spacing w:line="240" w:lineRule="auto"/>
        <w:rPr>
          <w:rFonts w:eastAsiaTheme="minorEastAsia"/>
          <w:b/>
          <w:bCs/>
          <w:sz w:val="20"/>
          <w:szCs w:val="20"/>
        </w:rPr>
      </w:pPr>
    </w:p>
    <w:p w14:paraId="0F75F09E" w14:textId="5456B93C" w:rsidR="48C6E71B" w:rsidRDefault="48C6E71B" w:rsidP="6C54F3A7">
      <w:pPr>
        <w:spacing w:line="240" w:lineRule="auto"/>
        <w:rPr>
          <w:rFonts w:eastAsiaTheme="minorEastAsia"/>
          <w:b/>
          <w:bCs/>
          <w:sz w:val="20"/>
          <w:szCs w:val="20"/>
        </w:rPr>
      </w:pPr>
      <w:r w:rsidRPr="6C54F3A7">
        <w:rPr>
          <w:rFonts w:eastAsiaTheme="minorEastAsia"/>
          <w:b/>
          <w:bCs/>
          <w:sz w:val="20"/>
          <w:szCs w:val="20"/>
        </w:rPr>
        <w:t xml:space="preserve">8. Uplatnění zásady „významně nepoškozovat“ </w:t>
      </w:r>
    </w:p>
    <w:p w14:paraId="6F373357" w14:textId="23278277" w:rsidR="48C6E71B" w:rsidRDefault="48C6E71B" w:rsidP="6C54F3A7">
      <w:pPr>
        <w:spacing w:line="240" w:lineRule="auto"/>
        <w:jc w:val="both"/>
        <w:rPr>
          <w:rFonts w:eastAsiaTheme="minorEastAsia"/>
          <w:sz w:val="20"/>
          <w:szCs w:val="20"/>
        </w:rPr>
      </w:pPr>
      <w:r w:rsidRPr="6C54F3A7">
        <w:rPr>
          <w:rFonts w:eastAsiaTheme="minorEastAsia"/>
          <w:sz w:val="20"/>
          <w:szCs w:val="20"/>
        </w:rPr>
        <w:t xml:space="preserve">Princip DNSH je popsán v příloze. </w:t>
      </w:r>
    </w:p>
    <w:p w14:paraId="1E0AAAAF" w14:textId="715DB475" w:rsidR="48C6E71B" w:rsidRDefault="48C6E71B" w:rsidP="6C54F3A7">
      <w:pPr>
        <w:spacing w:line="240" w:lineRule="auto"/>
        <w:jc w:val="both"/>
        <w:rPr>
          <w:rFonts w:eastAsiaTheme="minorEastAsia"/>
          <w:sz w:val="20"/>
          <w:szCs w:val="20"/>
        </w:rPr>
      </w:pPr>
      <w:r w:rsidRPr="6C54F3A7">
        <w:rPr>
          <w:rFonts w:eastAsiaTheme="minorEastAsia"/>
          <w:sz w:val="20"/>
          <w:szCs w:val="20"/>
        </w:rPr>
        <w:t xml:space="preserve"> </w:t>
      </w:r>
    </w:p>
    <w:p w14:paraId="2E5BBCB5" w14:textId="6F3047C1" w:rsidR="48C6E71B" w:rsidRDefault="48C6E71B" w:rsidP="6C54F3A7">
      <w:pPr>
        <w:spacing w:line="240" w:lineRule="auto"/>
        <w:rPr>
          <w:rFonts w:eastAsiaTheme="minorEastAsia"/>
          <w:b/>
          <w:bCs/>
          <w:sz w:val="20"/>
          <w:szCs w:val="20"/>
        </w:rPr>
      </w:pPr>
      <w:r w:rsidRPr="6C54F3A7">
        <w:rPr>
          <w:rFonts w:eastAsiaTheme="minorEastAsia"/>
          <w:b/>
          <w:bCs/>
          <w:sz w:val="20"/>
          <w:szCs w:val="20"/>
        </w:rPr>
        <w:t xml:space="preserve">9. Milníky, cíle a harmonogram  </w:t>
      </w:r>
    </w:p>
    <w:p w14:paraId="1C2BDACF" w14:textId="7EF958CB" w:rsidR="48C6E71B" w:rsidRDefault="48C6E71B" w:rsidP="6C54F3A7">
      <w:pPr>
        <w:spacing w:line="240" w:lineRule="auto"/>
        <w:jc w:val="both"/>
        <w:rPr>
          <w:rFonts w:eastAsiaTheme="minorEastAsia"/>
          <w:sz w:val="20"/>
          <w:szCs w:val="20"/>
        </w:rPr>
      </w:pPr>
      <w:r w:rsidRPr="6C54F3A7">
        <w:rPr>
          <w:rFonts w:eastAsiaTheme="minorEastAsia"/>
          <w:sz w:val="20"/>
          <w:szCs w:val="20"/>
        </w:rPr>
        <w:t xml:space="preserve">Milníky, cíle a časová osa jsou popsány v tabulce v příloze. </w:t>
      </w:r>
    </w:p>
    <w:p w14:paraId="4F09BD5D" w14:textId="3ED24BD5" w:rsidR="48C6E71B" w:rsidRDefault="48C6E71B" w:rsidP="6C54F3A7">
      <w:pPr>
        <w:spacing w:line="240" w:lineRule="auto"/>
        <w:jc w:val="both"/>
        <w:rPr>
          <w:rFonts w:eastAsiaTheme="minorEastAsia"/>
          <w:sz w:val="20"/>
          <w:szCs w:val="20"/>
        </w:rPr>
      </w:pPr>
      <w:r w:rsidRPr="6C54F3A7">
        <w:rPr>
          <w:rFonts w:eastAsiaTheme="minorEastAsia"/>
          <w:sz w:val="20"/>
          <w:szCs w:val="20"/>
        </w:rPr>
        <w:t xml:space="preserve"> </w:t>
      </w:r>
    </w:p>
    <w:p w14:paraId="64D4FB7B" w14:textId="4B5175EE" w:rsidR="48C6E71B" w:rsidRDefault="48C6E71B" w:rsidP="6C54F3A7">
      <w:pPr>
        <w:spacing w:line="240" w:lineRule="auto"/>
        <w:rPr>
          <w:rFonts w:eastAsiaTheme="minorEastAsia"/>
          <w:b/>
          <w:bCs/>
          <w:sz w:val="20"/>
          <w:szCs w:val="20"/>
        </w:rPr>
      </w:pPr>
      <w:r w:rsidRPr="6C54F3A7">
        <w:rPr>
          <w:rFonts w:eastAsiaTheme="minorEastAsia"/>
          <w:b/>
          <w:bCs/>
          <w:sz w:val="20"/>
          <w:szCs w:val="20"/>
        </w:rPr>
        <w:t>10. Financování a </w:t>
      </w:r>
      <w:proofErr w:type="spellStart"/>
      <w:r w:rsidRPr="6C54F3A7">
        <w:rPr>
          <w:rFonts w:eastAsiaTheme="minorEastAsia"/>
          <w:b/>
          <w:bCs/>
          <w:sz w:val="20"/>
          <w:szCs w:val="20"/>
        </w:rPr>
        <w:t>costing</w:t>
      </w:r>
      <w:proofErr w:type="spellEnd"/>
      <w:r w:rsidRPr="6C54F3A7">
        <w:rPr>
          <w:rFonts w:eastAsiaTheme="minorEastAsia"/>
          <w:b/>
          <w:bCs/>
          <w:sz w:val="20"/>
          <w:szCs w:val="20"/>
        </w:rPr>
        <w:t xml:space="preserve">  </w:t>
      </w:r>
    </w:p>
    <w:p w14:paraId="6D5D7701" w14:textId="6A78A0D9" w:rsidR="48C6E71B" w:rsidRDefault="48C6E71B" w:rsidP="6C54F3A7">
      <w:pPr>
        <w:spacing w:line="240" w:lineRule="auto"/>
        <w:jc w:val="both"/>
        <w:rPr>
          <w:rFonts w:eastAsiaTheme="minorEastAsia"/>
          <w:sz w:val="20"/>
          <w:szCs w:val="20"/>
        </w:rPr>
      </w:pPr>
      <w:r w:rsidRPr="6C54F3A7">
        <w:rPr>
          <w:rFonts w:eastAsiaTheme="minorEastAsia"/>
          <w:sz w:val="20"/>
          <w:szCs w:val="20"/>
        </w:rPr>
        <w:t>Financování a náklady jsou popsány v tabulce v příloze.</w:t>
      </w:r>
    </w:p>
    <w:p w14:paraId="7E0939D4" w14:textId="11631855" w:rsidR="5AD3009E" w:rsidRDefault="5AD3009E" w:rsidP="6C54F3A7">
      <w:pPr>
        <w:pStyle w:val="K-TextInfo"/>
        <w:rPr>
          <w:rFonts w:asciiTheme="minorHAnsi" w:eastAsiaTheme="minorEastAsia" w:hAnsiTheme="minorHAnsi" w:cstheme="minorBidi"/>
          <w:color w:val="2196FF" w:themeColor="accent2" w:themeTint="99"/>
          <w:sz w:val="20"/>
          <w:szCs w:val="20"/>
        </w:rPr>
      </w:pPr>
    </w:p>
    <w:p w14:paraId="34D6AA48" w14:textId="4E9DAB48" w:rsidR="007C0788" w:rsidRPr="00992741" w:rsidRDefault="007C0788" w:rsidP="6C54F3A7">
      <w:pPr>
        <w:pStyle w:val="K-TextInfo"/>
        <w:rPr>
          <w:rFonts w:asciiTheme="minorHAnsi" w:eastAsiaTheme="minorEastAsia" w:hAnsiTheme="minorHAnsi" w:cstheme="minorBidi"/>
          <w:i w:val="0"/>
          <w:iCs w:val="0"/>
          <w:color w:val="auto"/>
          <w:sz w:val="20"/>
          <w:szCs w:val="20"/>
        </w:rPr>
      </w:pPr>
    </w:p>
    <w:sectPr w:rsidR="007C0788" w:rsidRPr="00992741" w:rsidSect="00CC5E40">
      <w:headerReference w:type="default" r:id="rId11"/>
      <w:footerReference w:type="default" r:id="rId1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3B4D1" w14:textId="77777777" w:rsidR="00DA7A2C" w:rsidRDefault="00DA7A2C" w:rsidP="00677FE0">
      <w:pPr>
        <w:spacing w:after="0" w:line="240" w:lineRule="auto"/>
      </w:pPr>
      <w:r>
        <w:separator/>
      </w:r>
    </w:p>
  </w:endnote>
  <w:endnote w:type="continuationSeparator" w:id="0">
    <w:p w14:paraId="0B5C2711" w14:textId="77777777" w:rsidR="00DA7A2C" w:rsidRDefault="00DA7A2C"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5AD3009E" w14:paraId="2582F852" w14:textId="77777777" w:rsidTr="5AD3009E">
      <w:tc>
        <w:tcPr>
          <w:tcW w:w="3210" w:type="dxa"/>
        </w:tcPr>
        <w:p w14:paraId="6CE3A104" w14:textId="6630125E" w:rsidR="5AD3009E" w:rsidRDefault="5AD3009E" w:rsidP="5AD3009E">
          <w:pPr>
            <w:pStyle w:val="Zhlav"/>
            <w:ind w:left="-115"/>
          </w:pPr>
        </w:p>
      </w:tc>
      <w:tc>
        <w:tcPr>
          <w:tcW w:w="3210" w:type="dxa"/>
        </w:tcPr>
        <w:p w14:paraId="03129154" w14:textId="69023CD1" w:rsidR="5AD3009E" w:rsidRDefault="5AD3009E" w:rsidP="5AD3009E">
          <w:pPr>
            <w:pStyle w:val="Zhlav"/>
            <w:jc w:val="center"/>
          </w:pPr>
        </w:p>
        <w:p w14:paraId="60D462DD" w14:textId="510D031F" w:rsidR="5AD3009E" w:rsidRDefault="5AD3009E" w:rsidP="5AD3009E">
          <w:pPr>
            <w:pStyle w:val="Zhlav"/>
            <w:jc w:val="center"/>
          </w:pPr>
          <w:r w:rsidRPr="5AD3009E">
            <w:fldChar w:fldCharType="begin"/>
          </w:r>
          <w:r>
            <w:instrText>PAGE</w:instrText>
          </w:r>
          <w:r w:rsidRPr="5AD3009E">
            <w:fldChar w:fldCharType="separate"/>
          </w:r>
          <w:r w:rsidR="00B839FB">
            <w:rPr>
              <w:noProof/>
            </w:rPr>
            <w:t>1</w:t>
          </w:r>
          <w:r w:rsidRPr="5AD3009E">
            <w:fldChar w:fldCharType="end"/>
          </w:r>
        </w:p>
      </w:tc>
      <w:tc>
        <w:tcPr>
          <w:tcW w:w="3210" w:type="dxa"/>
        </w:tcPr>
        <w:p w14:paraId="448AE200" w14:textId="526CA352" w:rsidR="5AD3009E" w:rsidRDefault="5AD3009E" w:rsidP="5AD3009E">
          <w:pPr>
            <w:pStyle w:val="Zhlav"/>
            <w:ind w:right="-115"/>
            <w:jc w:val="right"/>
          </w:pPr>
        </w:p>
      </w:tc>
    </w:tr>
  </w:tbl>
  <w:p w14:paraId="24A2BDAA" w14:textId="22330E4B" w:rsidR="5AD3009E" w:rsidRDefault="5AD3009E" w:rsidP="5AD300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A26BA" w14:textId="77777777" w:rsidR="00DA7A2C" w:rsidRDefault="00DA7A2C" w:rsidP="00677FE0">
      <w:pPr>
        <w:spacing w:after="0" w:line="240" w:lineRule="auto"/>
      </w:pPr>
      <w:r>
        <w:separator/>
      </w:r>
    </w:p>
  </w:footnote>
  <w:footnote w:type="continuationSeparator" w:id="0">
    <w:p w14:paraId="3F00110F" w14:textId="77777777" w:rsidR="00DA7A2C" w:rsidRDefault="00DA7A2C" w:rsidP="00677FE0">
      <w:pPr>
        <w:spacing w:after="0" w:line="240" w:lineRule="auto"/>
      </w:pPr>
      <w:r>
        <w:continuationSeparator/>
      </w:r>
    </w:p>
  </w:footnote>
  <w:footnote w:id="1">
    <w:p w14:paraId="4F912EA7" w14:textId="4D813428" w:rsidR="71E36747" w:rsidRDefault="71E36747" w:rsidP="6C54F3A7">
      <w:pPr>
        <w:pStyle w:val="Textpoznpodarou"/>
      </w:pPr>
    </w:p>
    <w:p w14:paraId="0DF54BF6" w14:textId="52AD7613" w:rsidR="71E36747" w:rsidRDefault="6C54F3A7" w:rsidP="6C54F3A7">
      <w:pPr>
        <w:pStyle w:val="Textpoznpodarou"/>
      </w:pPr>
      <w:r w:rsidRPr="6C54F3A7">
        <w:rPr>
          <w:rFonts w:ascii="Calibri" w:eastAsia="Calibri" w:hAnsi="Calibri" w:cs="Calibri"/>
          <w:sz w:val="16"/>
          <w:szCs w:val="16"/>
        </w:rPr>
        <w:t>)</w:t>
      </w:r>
      <w:r w:rsidR="71E36747">
        <w:tab/>
      </w:r>
      <w:r w:rsidRPr="6C54F3A7">
        <w:rPr>
          <w:rFonts w:ascii="Calibri" w:eastAsia="Calibri" w:hAnsi="Calibri" w:cs="Calibri"/>
          <w:noProof/>
          <w:sz w:val="16"/>
          <w:szCs w:val="16"/>
          <w:lang w:eastAsia="ko-KR"/>
        </w:rPr>
        <w:t xml:space="preserve">Vondrák, T., Kučera Zd.., Pazour M.: Posouzení zaměření zdravotního VaV na základě bibliometrické analýzy publikací ve vybraných lékařských a příbuzných oborech. Technologické centrum AV ČR, únor 2021, </w:t>
      </w:r>
      <w:r w:rsidRPr="6C54F3A7">
        <w:rPr>
          <w:rFonts w:ascii="Calibri" w:eastAsia="Calibri" w:hAnsi="Calibri" w:cs="Calibri"/>
          <w:sz w:val="16"/>
          <w:szCs w:val="16"/>
        </w:rPr>
        <w:t xml:space="preserve">Kučera </w:t>
      </w:r>
      <w:proofErr w:type="spellStart"/>
      <w:r w:rsidRPr="6C54F3A7">
        <w:rPr>
          <w:rFonts w:ascii="Calibri" w:eastAsia="Calibri" w:hAnsi="Calibri" w:cs="Calibri"/>
          <w:sz w:val="16"/>
          <w:szCs w:val="16"/>
        </w:rPr>
        <w:t>Zd</w:t>
      </w:r>
      <w:proofErr w:type="spellEnd"/>
      <w:r w:rsidRPr="6C54F3A7">
        <w:rPr>
          <w:rFonts w:ascii="Calibri" w:eastAsia="Calibri" w:hAnsi="Calibri" w:cs="Calibri"/>
          <w:sz w:val="16"/>
          <w:szCs w:val="16"/>
        </w:rPr>
        <w:t xml:space="preserve">., Vondrák T., Pecha O.: Posouzení kapacit a zaměření zdravotního </w:t>
      </w:r>
      <w:proofErr w:type="spellStart"/>
      <w:r w:rsidRPr="6C54F3A7">
        <w:rPr>
          <w:rFonts w:ascii="Calibri" w:eastAsia="Calibri" w:hAnsi="Calibri" w:cs="Calibri"/>
          <w:sz w:val="16"/>
          <w:szCs w:val="16"/>
        </w:rPr>
        <w:t>VaV</w:t>
      </w:r>
      <w:proofErr w:type="spellEnd"/>
      <w:r w:rsidRPr="6C54F3A7">
        <w:rPr>
          <w:rFonts w:ascii="Calibri" w:eastAsia="Calibri" w:hAnsi="Calibri" w:cs="Calibri"/>
          <w:sz w:val="16"/>
          <w:szCs w:val="16"/>
        </w:rPr>
        <w:t xml:space="preserve"> na základě analýzy účasti v národních programech </w:t>
      </w:r>
      <w:proofErr w:type="spellStart"/>
      <w:r w:rsidRPr="6C54F3A7">
        <w:rPr>
          <w:rFonts w:ascii="Calibri" w:eastAsia="Calibri" w:hAnsi="Calibri" w:cs="Calibri"/>
          <w:sz w:val="16"/>
          <w:szCs w:val="16"/>
        </w:rPr>
        <w:t>VaV</w:t>
      </w:r>
      <w:proofErr w:type="spellEnd"/>
      <w:r w:rsidRPr="6C54F3A7">
        <w:rPr>
          <w:rFonts w:ascii="Calibri" w:eastAsia="Calibri" w:hAnsi="Calibri" w:cs="Calibri"/>
          <w:sz w:val="16"/>
          <w:szCs w:val="16"/>
        </w:rPr>
        <w:t xml:space="preserve"> a Horizontu 2020. Technologické centrum AV ČR, listopad 2020</w:t>
      </w:r>
    </w:p>
  </w:footnote>
  <w:footnote w:id="2">
    <w:p w14:paraId="39F78B6C" w14:textId="7A6B4CC2" w:rsidR="71E36747" w:rsidRDefault="71E36747" w:rsidP="6C54F3A7">
      <w:pPr>
        <w:pStyle w:val="Textpoznpodarou"/>
        <w:jc w:val="both"/>
        <w:rPr>
          <w:sz w:val="18"/>
          <w:szCs w:val="18"/>
        </w:rPr>
      </w:pPr>
      <w:r w:rsidRPr="6C54F3A7">
        <w:rPr>
          <w:rStyle w:val="Znakapoznpodarou"/>
          <w:rFonts w:ascii="Calibri" w:eastAsia="Calibri" w:hAnsi="Calibri" w:cs="Calibri"/>
          <w:sz w:val="16"/>
          <w:szCs w:val="16"/>
        </w:rPr>
        <w:footnoteRef/>
      </w:r>
      <w:r w:rsidR="6C54F3A7" w:rsidRPr="6C54F3A7">
        <w:rPr>
          <w:rFonts w:ascii="Calibri" w:eastAsia="Calibri" w:hAnsi="Calibri" w:cs="Calibri"/>
          <w:sz w:val="16"/>
          <w:szCs w:val="16"/>
        </w:rPr>
        <w:t>)</w:t>
      </w:r>
      <w:r>
        <w:tab/>
      </w:r>
      <w:r w:rsidR="6C54F3A7" w:rsidRPr="6C54F3A7">
        <w:rPr>
          <w:rStyle w:val="K-TextInfoChar"/>
          <w:rFonts w:ascii="Calibri" w:eastAsia="Calibri" w:hAnsi="Calibri" w:cs="Calibri"/>
          <w:i w:val="0"/>
          <w:iCs w:val="0"/>
          <w:color w:val="auto"/>
          <w:sz w:val="16"/>
          <w:szCs w:val="16"/>
        </w:rPr>
        <w:t xml:space="preserve">Statistická data o vývoji denního počtu zemřelých v letech </w:t>
      </w:r>
      <w:proofErr w:type="gramStart"/>
      <w:r w:rsidR="6C54F3A7" w:rsidRPr="6C54F3A7">
        <w:rPr>
          <w:rStyle w:val="K-TextInfoChar"/>
          <w:rFonts w:ascii="Calibri" w:eastAsia="Calibri" w:hAnsi="Calibri" w:cs="Calibri"/>
          <w:i w:val="0"/>
          <w:iCs w:val="0"/>
          <w:color w:val="auto"/>
          <w:sz w:val="16"/>
          <w:szCs w:val="16"/>
        </w:rPr>
        <w:t>2015 – 2020</w:t>
      </w:r>
      <w:proofErr w:type="gramEnd"/>
      <w:r w:rsidR="6C54F3A7" w:rsidRPr="6C54F3A7">
        <w:rPr>
          <w:rStyle w:val="K-TextInfoChar"/>
          <w:rFonts w:ascii="Calibri" w:eastAsia="Calibri" w:hAnsi="Calibri" w:cs="Calibri"/>
          <w:i w:val="0"/>
          <w:iCs w:val="0"/>
          <w:color w:val="auto"/>
          <w:sz w:val="16"/>
          <w:szCs w:val="16"/>
        </w:rPr>
        <w:t xml:space="preserve"> ukazují výrazný nárůst v souvislosti s probíhající pandemií Covid-19 (ČSÚ. V roce 2020 zemřelo přes 129 tisíc obyvatel Česka. Dostupné z </w:t>
      </w:r>
      <w:hyperlink r:id="rId1">
        <w:r w:rsidR="6C54F3A7" w:rsidRPr="6C54F3A7">
          <w:rPr>
            <w:rStyle w:val="K-TextInfoChar"/>
            <w:rFonts w:ascii="Calibri" w:eastAsia="Calibri" w:hAnsi="Calibri" w:cs="Calibri"/>
            <w:i w:val="0"/>
            <w:iCs w:val="0"/>
            <w:color w:val="auto"/>
            <w:sz w:val="16"/>
            <w:szCs w:val="16"/>
          </w:rPr>
          <w:t>https://www.czso.cz/csu/czso/v-roce-2020-zemrelo-pres-129-tisic-obyvatel-ceska</w:t>
        </w:r>
      </w:hyperlink>
      <w:r w:rsidR="6C54F3A7" w:rsidRPr="6C54F3A7">
        <w:rPr>
          <w:rStyle w:val="K-TextInfoChar"/>
          <w:rFonts w:ascii="Calibri" w:eastAsia="Calibri" w:hAnsi="Calibri" w:cs="Calibri"/>
          <w:i w:val="0"/>
          <w:iCs w:val="0"/>
          <w:color w:val="auto"/>
          <w:sz w:val="16"/>
          <w:szCs w:val="16"/>
        </w:rPr>
        <w:t>. MZ ČR. Data o celkové mortalitě a o příčinách úmrtí pacientů s COVID-19. Dostupné z https://koronavirus.mzcr.cz/wp-content/uploads/2020/11/Data-o-celkov%C3%A9-mortalit%C4%9B-a-o-p%C5%99%C3%AD%C4%8Din%C3%A1ch-%C3%BAmrt%C3%AD-pacient%C5%AF-s-covid-19.pdf, s. 14. ČSÚ uvádí zemřelé podle seznamu příčin smrti, pohlaví a věku v ČR, krajích a okresech – 2010-2019. Dostupné z </w:t>
      </w:r>
      <w:hyperlink r:id="rId2">
        <w:r w:rsidR="6C54F3A7" w:rsidRPr="6C54F3A7">
          <w:rPr>
            <w:rStyle w:val="K-TextInfoChar"/>
            <w:rFonts w:ascii="Calibri" w:eastAsia="Calibri" w:hAnsi="Calibri" w:cs="Calibri"/>
            <w:i w:val="0"/>
            <w:iCs w:val="0"/>
            <w:color w:val="auto"/>
            <w:sz w:val="16"/>
            <w:szCs w:val="16"/>
          </w:rPr>
          <w:t>https://www.czso.cz/csu/czso/ceska-republika-podle-pohlavi-a-veku-2010-2019</w:t>
        </w:r>
      </w:hyperlink>
      <w:r w:rsidR="6C54F3A7" w:rsidRPr="6C54F3A7">
        <w:rPr>
          <w:rStyle w:val="K-TextInfoChar"/>
          <w:rFonts w:ascii="Calibri" w:eastAsia="Calibri" w:hAnsi="Calibri" w:cs="Calibri"/>
          <w:i w:val="0"/>
          <w:iCs w:val="0"/>
          <w:color w:val="auto"/>
          <w:sz w:val="16"/>
          <w:szCs w:val="16"/>
        </w:rPr>
        <w:t xml:space="preserve">. Studie z roku 2013 aplikující data z rozsáhlé evropské studie </w:t>
      </w:r>
      <w:proofErr w:type="spellStart"/>
      <w:r w:rsidR="6C54F3A7" w:rsidRPr="6C54F3A7">
        <w:rPr>
          <w:rStyle w:val="K-TextInfoChar"/>
          <w:rFonts w:ascii="Calibri" w:eastAsia="Calibri" w:hAnsi="Calibri" w:cs="Calibri"/>
          <w:i w:val="0"/>
          <w:iCs w:val="0"/>
          <w:color w:val="auto"/>
          <w:sz w:val="16"/>
          <w:szCs w:val="16"/>
        </w:rPr>
        <w:t>Cost</w:t>
      </w:r>
      <w:proofErr w:type="spellEnd"/>
      <w:r w:rsidR="6C54F3A7" w:rsidRPr="6C54F3A7">
        <w:rPr>
          <w:rStyle w:val="K-TextInfoChar"/>
          <w:rFonts w:ascii="Calibri" w:eastAsia="Calibri" w:hAnsi="Calibri" w:cs="Calibri"/>
          <w:i w:val="0"/>
          <w:iCs w:val="0"/>
          <w:color w:val="auto"/>
          <w:sz w:val="16"/>
          <w:szCs w:val="16"/>
        </w:rPr>
        <w:t xml:space="preserve"> </w:t>
      </w:r>
      <w:proofErr w:type="spellStart"/>
      <w:r w:rsidR="6C54F3A7" w:rsidRPr="6C54F3A7">
        <w:rPr>
          <w:rStyle w:val="K-TextInfoChar"/>
          <w:rFonts w:ascii="Calibri" w:eastAsia="Calibri" w:hAnsi="Calibri" w:cs="Calibri"/>
          <w:i w:val="0"/>
          <w:iCs w:val="0"/>
          <w:color w:val="auto"/>
          <w:sz w:val="16"/>
          <w:szCs w:val="16"/>
        </w:rPr>
        <w:t>of</w:t>
      </w:r>
      <w:proofErr w:type="spellEnd"/>
      <w:r w:rsidR="6C54F3A7" w:rsidRPr="6C54F3A7">
        <w:rPr>
          <w:rStyle w:val="K-TextInfoChar"/>
          <w:rFonts w:ascii="Calibri" w:eastAsia="Calibri" w:hAnsi="Calibri" w:cs="Calibri"/>
          <w:i w:val="0"/>
          <w:iCs w:val="0"/>
          <w:color w:val="auto"/>
          <w:sz w:val="16"/>
          <w:szCs w:val="16"/>
        </w:rPr>
        <w:t xml:space="preserve"> </w:t>
      </w:r>
      <w:proofErr w:type="spellStart"/>
      <w:r w:rsidR="6C54F3A7" w:rsidRPr="6C54F3A7">
        <w:rPr>
          <w:rStyle w:val="K-TextInfoChar"/>
          <w:rFonts w:ascii="Calibri" w:eastAsia="Calibri" w:hAnsi="Calibri" w:cs="Calibri"/>
          <w:i w:val="0"/>
          <w:iCs w:val="0"/>
          <w:color w:val="auto"/>
          <w:sz w:val="16"/>
          <w:szCs w:val="16"/>
        </w:rPr>
        <w:t>Disorders</w:t>
      </w:r>
      <w:proofErr w:type="spellEnd"/>
      <w:r w:rsidR="6C54F3A7" w:rsidRPr="6C54F3A7">
        <w:rPr>
          <w:rStyle w:val="K-TextInfoChar"/>
          <w:rFonts w:ascii="Calibri" w:eastAsia="Calibri" w:hAnsi="Calibri" w:cs="Calibri"/>
          <w:i w:val="0"/>
          <w:iCs w:val="0"/>
          <w:color w:val="auto"/>
          <w:sz w:val="16"/>
          <w:szCs w:val="16"/>
        </w:rPr>
        <w:t xml:space="preserve"> </w:t>
      </w:r>
      <w:proofErr w:type="spellStart"/>
      <w:r w:rsidR="6C54F3A7" w:rsidRPr="6C54F3A7">
        <w:rPr>
          <w:rStyle w:val="K-TextInfoChar"/>
          <w:rFonts w:ascii="Calibri" w:eastAsia="Calibri" w:hAnsi="Calibri" w:cs="Calibri"/>
          <w:i w:val="0"/>
          <w:iCs w:val="0"/>
          <w:color w:val="auto"/>
          <w:sz w:val="16"/>
          <w:szCs w:val="16"/>
        </w:rPr>
        <w:t>of</w:t>
      </w:r>
      <w:proofErr w:type="spellEnd"/>
      <w:r w:rsidR="6C54F3A7" w:rsidRPr="6C54F3A7">
        <w:rPr>
          <w:rStyle w:val="K-TextInfoChar"/>
          <w:rFonts w:ascii="Calibri" w:eastAsia="Calibri" w:hAnsi="Calibri" w:cs="Calibri"/>
          <w:i w:val="0"/>
          <w:iCs w:val="0"/>
          <w:color w:val="auto"/>
          <w:sz w:val="16"/>
          <w:szCs w:val="16"/>
        </w:rPr>
        <w:t xml:space="preserve"> </w:t>
      </w:r>
      <w:proofErr w:type="spellStart"/>
      <w:r w:rsidR="6C54F3A7" w:rsidRPr="6C54F3A7">
        <w:rPr>
          <w:rStyle w:val="K-TextInfoChar"/>
          <w:rFonts w:ascii="Calibri" w:eastAsia="Calibri" w:hAnsi="Calibri" w:cs="Calibri"/>
          <w:i w:val="0"/>
          <w:iCs w:val="0"/>
          <w:color w:val="auto"/>
          <w:sz w:val="16"/>
          <w:szCs w:val="16"/>
        </w:rPr>
        <w:t>the</w:t>
      </w:r>
      <w:proofErr w:type="spellEnd"/>
      <w:r w:rsidR="6C54F3A7" w:rsidRPr="6C54F3A7">
        <w:rPr>
          <w:rStyle w:val="K-TextInfoChar"/>
          <w:rFonts w:ascii="Calibri" w:eastAsia="Calibri" w:hAnsi="Calibri" w:cs="Calibri"/>
          <w:i w:val="0"/>
          <w:iCs w:val="0"/>
          <w:color w:val="auto"/>
          <w:sz w:val="16"/>
          <w:szCs w:val="16"/>
        </w:rPr>
        <w:t xml:space="preserve"> Brain in </w:t>
      </w:r>
      <w:proofErr w:type="spellStart"/>
      <w:r w:rsidR="6C54F3A7" w:rsidRPr="6C54F3A7">
        <w:rPr>
          <w:rStyle w:val="K-TextInfoChar"/>
          <w:rFonts w:ascii="Calibri" w:eastAsia="Calibri" w:hAnsi="Calibri" w:cs="Calibri"/>
          <w:i w:val="0"/>
          <w:iCs w:val="0"/>
          <w:color w:val="auto"/>
          <w:sz w:val="16"/>
          <w:szCs w:val="16"/>
        </w:rPr>
        <w:t>Europe</w:t>
      </w:r>
      <w:proofErr w:type="spellEnd"/>
      <w:r w:rsidR="6C54F3A7" w:rsidRPr="6C54F3A7">
        <w:rPr>
          <w:rStyle w:val="K-TextInfoChar"/>
          <w:rFonts w:ascii="Calibri" w:eastAsia="Calibri" w:hAnsi="Calibri" w:cs="Calibri"/>
          <w:i w:val="0"/>
          <w:iCs w:val="0"/>
          <w:color w:val="auto"/>
          <w:sz w:val="16"/>
          <w:szCs w:val="16"/>
        </w:rPr>
        <w:t xml:space="preserve"> na ČR uvádí, že zahrnutí socioekonomického břemene do celkové kalkulace nákladů spojených s jednotlivými skupinami chorob činí skupinu poruch mozku nejnákladnější. (</w:t>
      </w:r>
      <w:proofErr w:type="spellStart"/>
      <w:r w:rsidR="6C54F3A7" w:rsidRPr="6C54F3A7">
        <w:rPr>
          <w:rStyle w:val="K-TextInfoChar"/>
          <w:rFonts w:ascii="Calibri" w:eastAsia="Calibri" w:hAnsi="Calibri" w:cs="Calibri"/>
          <w:i w:val="0"/>
          <w:iCs w:val="0"/>
          <w:color w:val="auto"/>
          <w:sz w:val="16"/>
          <w:szCs w:val="16"/>
        </w:rPr>
        <w:t>Ehler</w:t>
      </w:r>
      <w:proofErr w:type="spellEnd"/>
      <w:r w:rsidR="6C54F3A7" w:rsidRPr="6C54F3A7">
        <w:rPr>
          <w:rStyle w:val="K-TextInfoChar"/>
          <w:rFonts w:ascii="Calibri" w:eastAsia="Calibri" w:hAnsi="Calibri" w:cs="Calibri"/>
          <w:i w:val="0"/>
          <w:iCs w:val="0"/>
          <w:color w:val="auto"/>
          <w:sz w:val="16"/>
          <w:szCs w:val="16"/>
        </w:rPr>
        <w:t xml:space="preserve">, E., </w:t>
      </w:r>
      <w:proofErr w:type="gramStart"/>
      <w:r w:rsidR="6C54F3A7" w:rsidRPr="6C54F3A7">
        <w:rPr>
          <w:rStyle w:val="K-TextInfoChar"/>
          <w:rFonts w:ascii="Calibri" w:eastAsia="Calibri" w:hAnsi="Calibri" w:cs="Calibri"/>
          <w:i w:val="0"/>
          <w:iCs w:val="0"/>
          <w:color w:val="auto"/>
          <w:sz w:val="16"/>
          <w:szCs w:val="16"/>
        </w:rPr>
        <w:t>Bednařík,  J.</w:t>
      </w:r>
      <w:proofErr w:type="gramEnd"/>
      <w:r w:rsidR="6C54F3A7" w:rsidRPr="6C54F3A7">
        <w:rPr>
          <w:rStyle w:val="K-TextInfoChar"/>
          <w:rFonts w:ascii="Calibri" w:eastAsia="Calibri" w:hAnsi="Calibri" w:cs="Calibri"/>
          <w:i w:val="0"/>
          <w:iCs w:val="0"/>
          <w:color w:val="auto"/>
          <w:sz w:val="16"/>
          <w:szCs w:val="16"/>
        </w:rPr>
        <w:t xml:space="preserve">, </w:t>
      </w:r>
      <w:proofErr w:type="spellStart"/>
      <w:r w:rsidR="6C54F3A7" w:rsidRPr="6C54F3A7">
        <w:rPr>
          <w:rStyle w:val="K-TextInfoChar"/>
          <w:rFonts w:ascii="Calibri" w:eastAsia="Calibri" w:hAnsi="Calibri" w:cs="Calibri"/>
          <w:i w:val="0"/>
          <w:iCs w:val="0"/>
          <w:color w:val="auto"/>
          <w:sz w:val="16"/>
          <w:szCs w:val="16"/>
        </w:rPr>
        <w:t>Höschl</w:t>
      </w:r>
      <w:proofErr w:type="spellEnd"/>
      <w:r w:rsidR="6C54F3A7" w:rsidRPr="6C54F3A7">
        <w:rPr>
          <w:rStyle w:val="K-TextInfoChar"/>
          <w:rFonts w:ascii="Calibri" w:eastAsia="Calibri" w:hAnsi="Calibri" w:cs="Calibri"/>
          <w:i w:val="0"/>
          <w:iCs w:val="0"/>
          <w:color w:val="auto"/>
          <w:sz w:val="16"/>
          <w:szCs w:val="16"/>
        </w:rPr>
        <w:t xml:space="preserve"> C., Winkler, P., Suchý M. a Pátá, M.: Náklady na poruchy mozku v České republice. In: Česká a slovenská neurologie a neurochirurgie, 2013; 76/109(3): 282–291). Podle údajů ČZÚ jsou nemoci nervové soustavy jednou ze tří diagnóz, u nichž v letech 2010-2017 došlo procentuálně k nejvyššímu růstu výdajů na léčbu (o 70 %) (Výsledky zdravotnických účtů ČR </w:t>
      </w:r>
      <w:proofErr w:type="gramStart"/>
      <w:r w:rsidR="6C54F3A7" w:rsidRPr="6C54F3A7">
        <w:rPr>
          <w:rStyle w:val="K-TextInfoChar"/>
          <w:rFonts w:ascii="Calibri" w:eastAsia="Calibri" w:hAnsi="Calibri" w:cs="Calibri"/>
          <w:i w:val="0"/>
          <w:iCs w:val="0"/>
          <w:color w:val="auto"/>
          <w:sz w:val="16"/>
          <w:szCs w:val="16"/>
        </w:rPr>
        <w:t>2010 – 2017</w:t>
      </w:r>
      <w:proofErr w:type="gramEnd"/>
      <w:r w:rsidR="6C54F3A7" w:rsidRPr="6C54F3A7">
        <w:rPr>
          <w:rStyle w:val="K-TextInfoChar"/>
          <w:rFonts w:ascii="Calibri" w:eastAsia="Calibri" w:hAnsi="Calibri" w:cs="Calibri"/>
          <w:i w:val="0"/>
          <w:iCs w:val="0"/>
          <w:color w:val="auto"/>
          <w:sz w:val="16"/>
          <w:szCs w:val="16"/>
        </w:rPr>
        <w:t xml:space="preserve">. Výdaje zdravotních pojišťoven. Dostupné z </w:t>
      </w:r>
      <w:hyperlink r:id="rId3">
        <w:r w:rsidR="6C54F3A7" w:rsidRPr="6C54F3A7">
          <w:rPr>
            <w:rStyle w:val="K-TextInfoChar"/>
            <w:rFonts w:ascii="Calibri" w:eastAsia="Calibri" w:hAnsi="Calibri" w:cs="Calibri"/>
            <w:i w:val="0"/>
            <w:iCs w:val="0"/>
            <w:color w:val="auto"/>
            <w:sz w:val="16"/>
            <w:szCs w:val="16"/>
          </w:rPr>
          <w:t>https://www.czso.cz/documents/10180/90577099/26000519k3_1.pdf/90c9db8f-65b4-4cf2-9f44-d26228d62a5e?version=1.0</w:t>
        </w:r>
      </w:hyperlink>
      <w:r w:rsidR="6C54F3A7" w:rsidRPr="6C54F3A7">
        <w:rPr>
          <w:rStyle w:val="K-TextInfoChar"/>
          <w:rFonts w:ascii="Calibri" w:eastAsia="Calibri" w:hAnsi="Calibri" w:cs="Calibri"/>
          <w:i w:val="0"/>
          <w:iCs w:val="0"/>
          <w:color w:val="auto"/>
          <w:sz w:val="16"/>
          <w:szCs w:val="16"/>
        </w:rPr>
        <w:t xml:space="preserve">, str. 5.) </w:t>
      </w:r>
    </w:p>
  </w:footnote>
  <w:footnote w:id="3">
    <w:p w14:paraId="0D817258" w14:textId="77777777" w:rsidR="71E36747" w:rsidRDefault="71E36747" w:rsidP="6C54F3A7">
      <w:pPr>
        <w:pStyle w:val="Textpoznpodarou"/>
        <w:jc w:val="both"/>
      </w:pPr>
      <w:r w:rsidRPr="6C54F3A7">
        <w:rPr>
          <w:rStyle w:val="Znakapoznpodarou"/>
          <w:rFonts w:ascii="Calibri" w:eastAsia="Calibri" w:hAnsi="Calibri" w:cs="Calibri"/>
          <w:sz w:val="16"/>
          <w:szCs w:val="16"/>
        </w:rPr>
        <w:footnoteRef/>
      </w:r>
      <w:r w:rsidR="6C54F3A7" w:rsidRPr="6C54F3A7">
        <w:rPr>
          <w:rFonts w:ascii="Calibri" w:eastAsia="Calibri" w:hAnsi="Calibri" w:cs="Calibri"/>
          <w:sz w:val="16"/>
          <w:szCs w:val="16"/>
        </w:rPr>
        <w:t>)</w:t>
      </w:r>
      <w:r>
        <w:tab/>
      </w:r>
      <w:r w:rsidR="6C54F3A7" w:rsidRPr="6C54F3A7">
        <w:rPr>
          <w:rFonts w:ascii="Calibri" w:eastAsia="Calibri" w:hAnsi="Calibri" w:cs="Calibri"/>
          <w:sz w:val="16"/>
          <w:szCs w:val="16"/>
        </w:rPr>
        <w:t xml:space="preserve">Strategický rámec ČR 2030 identifikuje nedostatečné využívání evidence </w:t>
      </w:r>
      <w:proofErr w:type="spellStart"/>
      <w:r w:rsidR="6C54F3A7" w:rsidRPr="6C54F3A7">
        <w:rPr>
          <w:rFonts w:ascii="Calibri" w:eastAsia="Calibri" w:hAnsi="Calibri" w:cs="Calibri"/>
          <w:sz w:val="16"/>
          <w:szCs w:val="16"/>
        </w:rPr>
        <w:t>based</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policy</w:t>
      </w:r>
      <w:proofErr w:type="spellEnd"/>
      <w:r w:rsidR="6C54F3A7" w:rsidRPr="6C54F3A7">
        <w:rPr>
          <w:rFonts w:ascii="Calibri" w:eastAsia="Calibri" w:hAnsi="Calibri" w:cs="Calibri"/>
          <w:sz w:val="16"/>
          <w:szCs w:val="16"/>
        </w:rPr>
        <w:t xml:space="preserve"> přístupu v rámci SWOT analýzy. Strategický rámec Česká republika 2030 [online]. Praha: Úřad vlády České republiky, Odbor pro udržitelný rozvoj, 2017 [cit. 2020-08-03], 23, A </w:t>
      </w:r>
      <w:proofErr w:type="spellStart"/>
      <w:r w:rsidR="6C54F3A7" w:rsidRPr="6C54F3A7">
        <w:rPr>
          <w:rFonts w:ascii="Calibri" w:eastAsia="Calibri" w:hAnsi="Calibri" w:cs="Calibri"/>
          <w:sz w:val="16"/>
          <w:szCs w:val="16"/>
        </w:rPr>
        <w:t>glossary</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of</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theories</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for</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understanding</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policymaking</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Author</w:t>
      </w:r>
      <w:proofErr w:type="spellEnd"/>
      <w:r w:rsidR="6C54F3A7" w:rsidRPr="6C54F3A7">
        <w:rPr>
          <w:rFonts w:ascii="Calibri" w:eastAsia="Calibri" w:hAnsi="Calibri" w:cs="Calibri"/>
          <w:sz w:val="16"/>
          <w:szCs w:val="16"/>
        </w:rPr>
        <w:t xml:space="preserve">(s): Katherine Elizabeth Smith and </w:t>
      </w:r>
      <w:proofErr w:type="spellStart"/>
      <w:r w:rsidR="6C54F3A7" w:rsidRPr="6C54F3A7">
        <w:rPr>
          <w:rFonts w:ascii="Calibri" w:eastAsia="Calibri" w:hAnsi="Calibri" w:cs="Calibri"/>
          <w:sz w:val="16"/>
          <w:szCs w:val="16"/>
        </w:rPr>
        <w:t>Srinivasa</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Vittal</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Katikireddi</w:t>
      </w:r>
      <w:proofErr w:type="spellEnd"/>
      <w:r w:rsidR="6C54F3A7" w:rsidRPr="6C54F3A7">
        <w:rPr>
          <w:rFonts w:ascii="Calibri" w:eastAsia="Calibri" w:hAnsi="Calibri" w:cs="Calibri"/>
          <w:sz w:val="16"/>
          <w:szCs w:val="16"/>
        </w:rPr>
        <w:t>, In: </w:t>
      </w:r>
      <w:proofErr w:type="spellStart"/>
      <w:r w:rsidR="6C54F3A7" w:rsidRPr="6C54F3A7">
        <w:rPr>
          <w:rFonts w:ascii="Calibri" w:eastAsia="Calibri" w:hAnsi="Calibri" w:cs="Calibri"/>
          <w:sz w:val="16"/>
          <w:szCs w:val="16"/>
        </w:rPr>
        <w:t>Journal</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of</w:t>
      </w:r>
      <w:proofErr w:type="spellEnd"/>
      <w:r w:rsidR="6C54F3A7" w:rsidRPr="6C54F3A7">
        <w:rPr>
          <w:rFonts w:ascii="Calibri" w:eastAsia="Calibri" w:hAnsi="Calibri" w:cs="Calibri"/>
          <w:sz w:val="16"/>
          <w:szCs w:val="16"/>
        </w:rPr>
        <w:t xml:space="preserve"> Epidemiology and </w:t>
      </w:r>
      <w:proofErr w:type="spellStart"/>
      <w:r w:rsidR="6C54F3A7" w:rsidRPr="6C54F3A7">
        <w:rPr>
          <w:rFonts w:ascii="Calibri" w:eastAsia="Calibri" w:hAnsi="Calibri" w:cs="Calibri"/>
          <w:color w:val="auto"/>
          <w:sz w:val="16"/>
          <w:szCs w:val="16"/>
        </w:rPr>
        <w:t>Community</w:t>
      </w:r>
      <w:proofErr w:type="spellEnd"/>
      <w:r w:rsidR="6C54F3A7" w:rsidRPr="6C54F3A7">
        <w:rPr>
          <w:rFonts w:ascii="Calibri" w:eastAsia="Calibri" w:hAnsi="Calibri" w:cs="Calibri"/>
          <w:color w:val="auto"/>
          <w:sz w:val="16"/>
          <w:szCs w:val="16"/>
        </w:rPr>
        <w:t xml:space="preserve"> </w:t>
      </w:r>
      <w:proofErr w:type="spellStart"/>
      <w:r w:rsidR="6C54F3A7" w:rsidRPr="6C54F3A7">
        <w:rPr>
          <w:rFonts w:ascii="Calibri" w:eastAsia="Calibri" w:hAnsi="Calibri" w:cs="Calibri"/>
          <w:color w:val="auto"/>
          <w:sz w:val="16"/>
          <w:szCs w:val="16"/>
        </w:rPr>
        <w:t>Health</w:t>
      </w:r>
      <w:proofErr w:type="spellEnd"/>
      <w:r w:rsidR="6C54F3A7" w:rsidRPr="6C54F3A7">
        <w:rPr>
          <w:rFonts w:ascii="Calibri" w:eastAsia="Calibri" w:hAnsi="Calibri" w:cs="Calibri"/>
          <w:color w:val="auto"/>
          <w:sz w:val="16"/>
          <w:szCs w:val="16"/>
        </w:rPr>
        <w:t xml:space="preserve"> (1979-), </w:t>
      </w:r>
      <w:proofErr w:type="spellStart"/>
      <w:r w:rsidR="6C54F3A7" w:rsidRPr="6C54F3A7">
        <w:rPr>
          <w:rFonts w:ascii="Calibri" w:eastAsia="Calibri" w:hAnsi="Calibri" w:cs="Calibri"/>
          <w:color w:val="auto"/>
          <w:sz w:val="16"/>
          <w:szCs w:val="16"/>
        </w:rPr>
        <w:t>February</w:t>
      </w:r>
      <w:proofErr w:type="spellEnd"/>
      <w:r w:rsidR="6C54F3A7" w:rsidRPr="6C54F3A7">
        <w:rPr>
          <w:rFonts w:ascii="Calibri" w:eastAsia="Calibri" w:hAnsi="Calibri" w:cs="Calibri"/>
          <w:color w:val="auto"/>
          <w:sz w:val="16"/>
          <w:szCs w:val="16"/>
        </w:rPr>
        <w:t xml:space="preserve"> 2013, Vol. 67, No. 2, pp. 198-202. K významu zpracování dat pro prevenci a fungování veřejného zdravotnictví např. </w:t>
      </w:r>
      <w:proofErr w:type="spellStart"/>
      <w:r w:rsidR="6C54F3A7" w:rsidRPr="6C54F3A7">
        <w:rPr>
          <w:rFonts w:ascii="Calibri" w:eastAsia="Calibri" w:hAnsi="Calibri" w:cs="Calibri"/>
          <w:color w:val="auto"/>
          <w:sz w:val="16"/>
          <w:szCs w:val="16"/>
        </w:rPr>
        <w:t>Budd</w:t>
      </w:r>
      <w:proofErr w:type="spellEnd"/>
      <w:r w:rsidR="6C54F3A7" w:rsidRPr="6C54F3A7">
        <w:rPr>
          <w:rFonts w:ascii="Calibri" w:eastAsia="Calibri" w:hAnsi="Calibri" w:cs="Calibri"/>
          <w:color w:val="auto"/>
          <w:sz w:val="16"/>
          <w:szCs w:val="16"/>
        </w:rPr>
        <w:t xml:space="preserve">, J., Miller, B.S., </w:t>
      </w:r>
      <w:proofErr w:type="spellStart"/>
      <w:r w:rsidR="6C54F3A7" w:rsidRPr="6C54F3A7">
        <w:rPr>
          <w:rFonts w:ascii="Calibri" w:eastAsia="Calibri" w:hAnsi="Calibri" w:cs="Calibri"/>
          <w:color w:val="auto"/>
          <w:sz w:val="16"/>
          <w:szCs w:val="16"/>
        </w:rPr>
        <w:t>Manning</w:t>
      </w:r>
      <w:proofErr w:type="spellEnd"/>
      <w:r w:rsidR="6C54F3A7" w:rsidRPr="6C54F3A7">
        <w:rPr>
          <w:rFonts w:ascii="Calibri" w:eastAsia="Calibri" w:hAnsi="Calibri" w:cs="Calibri"/>
          <w:color w:val="auto"/>
          <w:sz w:val="16"/>
          <w:szCs w:val="16"/>
        </w:rPr>
        <w:t xml:space="preserve">, E.M. et al. Digital </w:t>
      </w:r>
      <w:proofErr w:type="spellStart"/>
      <w:r w:rsidR="6C54F3A7" w:rsidRPr="6C54F3A7">
        <w:rPr>
          <w:rFonts w:ascii="Calibri" w:eastAsia="Calibri" w:hAnsi="Calibri" w:cs="Calibri"/>
          <w:color w:val="auto"/>
          <w:sz w:val="16"/>
          <w:szCs w:val="16"/>
        </w:rPr>
        <w:t>technologies</w:t>
      </w:r>
      <w:proofErr w:type="spellEnd"/>
      <w:r w:rsidR="6C54F3A7" w:rsidRPr="6C54F3A7">
        <w:rPr>
          <w:rFonts w:ascii="Calibri" w:eastAsia="Calibri" w:hAnsi="Calibri" w:cs="Calibri"/>
          <w:color w:val="auto"/>
          <w:sz w:val="16"/>
          <w:szCs w:val="16"/>
        </w:rPr>
        <w:t xml:space="preserve"> in </w:t>
      </w:r>
      <w:proofErr w:type="spellStart"/>
      <w:r w:rsidR="6C54F3A7" w:rsidRPr="6C54F3A7">
        <w:rPr>
          <w:rFonts w:ascii="Calibri" w:eastAsia="Calibri" w:hAnsi="Calibri" w:cs="Calibri"/>
          <w:color w:val="auto"/>
          <w:sz w:val="16"/>
          <w:szCs w:val="16"/>
        </w:rPr>
        <w:t>the</w:t>
      </w:r>
      <w:proofErr w:type="spellEnd"/>
      <w:r w:rsidR="6C54F3A7" w:rsidRPr="6C54F3A7">
        <w:rPr>
          <w:rFonts w:ascii="Calibri" w:eastAsia="Calibri" w:hAnsi="Calibri" w:cs="Calibri"/>
          <w:color w:val="auto"/>
          <w:sz w:val="16"/>
          <w:szCs w:val="16"/>
        </w:rPr>
        <w:t xml:space="preserve"> public-</w:t>
      </w:r>
      <w:proofErr w:type="spellStart"/>
      <w:r w:rsidR="6C54F3A7" w:rsidRPr="6C54F3A7">
        <w:rPr>
          <w:rFonts w:ascii="Calibri" w:eastAsia="Calibri" w:hAnsi="Calibri" w:cs="Calibri"/>
          <w:color w:val="auto"/>
          <w:sz w:val="16"/>
          <w:szCs w:val="16"/>
        </w:rPr>
        <w:t>health</w:t>
      </w:r>
      <w:proofErr w:type="spellEnd"/>
      <w:r w:rsidR="6C54F3A7" w:rsidRPr="6C54F3A7">
        <w:rPr>
          <w:rFonts w:ascii="Calibri" w:eastAsia="Calibri" w:hAnsi="Calibri" w:cs="Calibri"/>
          <w:color w:val="auto"/>
          <w:sz w:val="16"/>
          <w:szCs w:val="16"/>
        </w:rPr>
        <w:t xml:space="preserve"> response to COVID-19. </w:t>
      </w:r>
      <w:proofErr w:type="spellStart"/>
      <w:r w:rsidR="6C54F3A7" w:rsidRPr="6C54F3A7">
        <w:rPr>
          <w:rFonts w:ascii="Calibri" w:eastAsia="Calibri" w:hAnsi="Calibri" w:cs="Calibri"/>
          <w:color w:val="auto"/>
          <w:sz w:val="16"/>
          <w:szCs w:val="16"/>
        </w:rPr>
        <w:t>Nat</w:t>
      </w:r>
      <w:proofErr w:type="spellEnd"/>
      <w:r w:rsidR="6C54F3A7" w:rsidRPr="6C54F3A7">
        <w:rPr>
          <w:rFonts w:ascii="Calibri" w:eastAsia="Calibri" w:hAnsi="Calibri" w:cs="Calibri"/>
          <w:color w:val="auto"/>
          <w:sz w:val="16"/>
          <w:szCs w:val="16"/>
        </w:rPr>
        <w:t xml:space="preserve"> Med 26, 1183–1192 (2020). </w:t>
      </w:r>
      <w:hyperlink r:id="rId4">
        <w:r w:rsidR="6C54F3A7" w:rsidRPr="6C54F3A7">
          <w:rPr>
            <w:rStyle w:val="Hypertextovodkaz"/>
            <w:rFonts w:ascii="Calibri" w:eastAsia="Calibri" w:hAnsi="Calibri" w:cs="Calibri"/>
            <w:color w:val="auto"/>
            <w:sz w:val="16"/>
            <w:szCs w:val="16"/>
          </w:rPr>
          <w:t>https://doi.org/10.1038/s41591-020-1011-4</w:t>
        </w:r>
      </w:hyperlink>
      <w:r w:rsidR="6C54F3A7" w:rsidRPr="6C54F3A7">
        <w:rPr>
          <w:rFonts w:ascii="Calibri" w:eastAsia="Calibri" w:hAnsi="Calibri" w:cs="Calibri"/>
          <w:color w:val="auto"/>
          <w:sz w:val="16"/>
          <w:szCs w:val="16"/>
        </w:rPr>
        <w:t xml:space="preserve">, </w:t>
      </w:r>
      <w:proofErr w:type="spellStart"/>
      <w:r w:rsidR="6C54F3A7" w:rsidRPr="6C54F3A7">
        <w:rPr>
          <w:rFonts w:ascii="Calibri" w:eastAsia="Calibri" w:hAnsi="Calibri" w:cs="Calibri"/>
          <w:color w:val="auto"/>
          <w:sz w:val="16"/>
          <w:szCs w:val="16"/>
        </w:rPr>
        <w:t>Chapter</w:t>
      </w:r>
      <w:proofErr w:type="spellEnd"/>
      <w:r w:rsidR="6C54F3A7" w:rsidRPr="6C54F3A7">
        <w:rPr>
          <w:rFonts w:ascii="Calibri" w:eastAsia="Calibri" w:hAnsi="Calibri" w:cs="Calibri"/>
          <w:color w:val="auto"/>
          <w:sz w:val="16"/>
          <w:szCs w:val="16"/>
        </w:rPr>
        <w:t xml:space="preserve"> </w:t>
      </w:r>
      <w:proofErr w:type="spellStart"/>
      <w:r w:rsidR="6C54F3A7" w:rsidRPr="6C54F3A7">
        <w:rPr>
          <w:rFonts w:ascii="Calibri" w:eastAsia="Calibri" w:hAnsi="Calibri" w:cs="Calibri"/>
          <w:color w:val="auto"/>
          <w:sz w:val="16"/>
          <w:szCs w:val="16"/>
        </w:rPr>
        <w:t>Title</w:t>
      </w:r>
      <w:proofErr w:type="spellEnd"/>
      <w:r w:rsidR="6C54F3A7" w:rsidRPr="6C54F3A7">
        <w:rPr>
          <w:rFonts w:ascii="Calibri" w:eastAsia="Calibri" w:hAnsi="Calibri" w:cs="Calibri"/>
          <w:color w:val="auto"/>
          <w:sz w:val="16"/>
          <w:szCs w:val="16"/>
        </w:rPr>
        <w:t xml:space="preserve">: </w:t>
      </w:r>
      <w:proofErr w:type="spellStart"/>
      <w:r w:rsidR="6C54F3A7" w:rsidRPr="6C54F3A7">
        <w:rPr>
          <w:rFonts w:ascii="Calibri" w:eastAsia="Calibri" w:hAnsi="Calibri" w:cs="Calibri"/>
          <w:color w:val="auto"/>
          <w:sz w:val="16"/>
          <w:szCs w:val="16"/>
        </w:rPr>
        <w:t>Critic</w:t>
      </w:r>
      <w:proofErr w:type="spellEnd"/>
      <w:r w:rsidR="6C54F3A7" w:rsidRPr="6C54F3A7">
        <w:rPr>
          <w:rFonts w:ascii="Calibri" w:eastAsia="Calibri" w:hAnsi="Calibri" w:cs="Calibri"/>
          <w:color w:val="auto"/>
          <w:sz w:val="16"/>
          <w:szCs w:val="16"/>
        </w:rPr>
        <w:t xml:space="preserve">, </w:t>
      </w:r>
      <w:proofErr w:type="spellStart"/>
      <w:r w:rsidR="6C54F3A7" w:rsidRPr="6C54F3A7">
        <w:rPr>
          <w:rFonts w:ascii="Calibri" w:eastAsia="Calibri" w:hAnsi="Calibri" w:cs="Calibri"/>
          <w:color w:val="auto"/>
          <w:sz w:val="16"/>
          <w:szCs w:val="16"/>
        </w:rPr>
        <w:t>advocate</w:t>
      </w:r>
      <w:proofErr w:type="spellEnd"/>
      <w:r w:rsidR="6C54F3A7" w:rsidRPr="6C54F3A7">
        <w:rPr>
          <w:rFonts w:ascii="Calibri" w:eastAsia="Calibri" w:hAnsi="Calibri" w:cs="Calibri"/>
          <w:color w:val="auto"/>
          <w:sz w:val="16"/>
          <w:szCs w:val="16"/>
        </w:rPr>
        <w:t xml:space="preserve">, </w:t>
      </w:r>
      <w:proofErr w:type="spellStart"/>
      <w:r w:rsidR="6C54F3A7" w:rsidRPr="6C54F3A7">
        <w:rPr>
          <w:rFonts w:ascii="Calibri" w:eastAsia="Calibri" w:hAnsi="Calibri" w:cs="Calibri"/>
          <w:color w:val="auto"/>
          <w:sz w:val="16"/>
          <w:szCs w:val="16"/>
        </w:rPr>
        <w:t>enforcer</w:t>
      </w:r>
      <w:proofErr w:type="spellEnd"/>
      <w:r w:rsidR="6C54F3A7" w:rsidRPr="6C54F3A7">
        <w:rPr>
          <w:rFonts w:ascii="Calibri" w:eastAsia="Calibri" w:hAnsi="Calibri" w:cs="Calibri"/>
          <w:color w:val="auto"/>
          <w:sz w:val="16"/>
          <w:szCs w:val="16"/>
        </w:rPr>
        <w:t xml:space="preserve">: </w:t>
      </w:r>
      <w:proofErr w:type="spellStart"/>
      <w:r w:rsidR="6C54F3A7" w:rsidRPr="6C54F3A7">
        <w:rPr>
          <w:rFonts w:ascii="Calibri" w:eastAsia="Calibri" w:hAnsi="Calibri" w:cs="Calibri"/>
          <w:color w:val="auto"/>
          <w:sz w:val="16"/>
          <w:szCs w:val="16"/>
        </w:rPr>
        <w:t>the</w:t>
      </w:r>
      <w:proofErr w:type="spellEnd"/>
      <w:r w:rsidR="6C54F3A7" w:rsidRPr="6C54F3A7">
        <w:rPr>
          <w:rFonts w:ascii="Calibri" w:eastAsia="Calibri" w:hAnsi="Calibri" w:cs="Calibri"/>
          <w:color w:val="auto"/>
          <w:sz w:val="16"/>
          <w:szCs w:val="16"/>
        </w:rPr>
        <w:t xml:space="preserve"> </w:t>
      </w:r>
      <w:proofErr w:type="spellStart"/>
      <w:r w:rsidR="6C54F3A7" w:rsidRPr="6C54F3A7">
        <w:rPr>
          <w:rFonts w:ascii="Calibri" w:eastAsia="Calibri" w:hAnsi="Calibri" w:cs="Calibri"/>
          <w:color w:val="auto"/>
          <w:sz w:val="16"/>
          <w:szCs w:val="16"/>
        </w:rPr>
        <w:t>multiple</w:t>
      </w:r>
      <w:proofErr w:type="spellEnd"/>
      <w:r w:rsidR="6C54F3A7" w:rsidRPr="6C54F3A7">
        <w:rPr>
          <w:rFonts w:ascii="Calibri" w:eastAsia="Calibri" w:hAnsi="Calibri" w:cs="Calibri"/>
          <w:color w:val="auto"/>
          <w:sz w:val="16"/>
          <w:szCs w:val="16"/>
        </w:rPr>
        <w:t xml:space="preserve"> </w:t>
      </w:r>
      <w:proofErr w:type="spellStart"/>
      <w:r w:rsidR="6C54F3A7" w:rsidRPr="6C54F3A7">
        <w:rPr>
          <w:rFonts w:ascii="Calibri" w:eastAsia="Calibri" w:hAnsi="Calibri" w:cs="Calibri"/>
          <w:color w:val="auto"/>
          <w:sz w:val="16"/>
          <w:szCs w:val="16"/>
        </w:rPr>
        <w:t>roles</w:t>
      </w:r>
      <w:proofErr w:type="spellEnd"/>
      <w:r w:rsidR="6C54F3A7" w:rsidRPr="6C54F3A7">
        <w:rPr>
          <w:rFonts w:ascii="Calibri" w:eastAsia="Calibri" w:hAnsi="Calibri" w:cs="Calibri"/>
          <w:color w:val="auto"/>
          <w:sz w:val="16"/>
          <w:szCs w:val="16"/>
        </w:rPr>
        <w:t xml:space="preserve"> </w:t>
      </w:r>
      <w:proofErr w:type="spellStart"/>
      <w:r w:rsidR="6C54F3A7" w:rsidRPr="6C54F3A7">
        <w:rPr>
          <w:rFonts w:ascii="Calibri" w:eastAsia="Calibri" w:hAnsi="Calibri" w:cs="Calibri"/>
          <w:color w:val="auto"/>
          <w:sz w:val="16"/>
          <w:szCs w:val="16"/>
        </w:rPr>
        <w:t>of</w:t>
      </w:r>
      <w:proofErr w:type="spellEnd"/>
      <w:r w:rsidR="6C54F3A7" w:rsidRPr="6C54F3A7">
        <w:rPr>
          <w:rFonts w:ascii="Calibri" w:eastAsia="Calibri" w:hAnsi="Calibri" w:cs="Calibri"/>
          <w:color w:val="auto"/>
          <w:sz w:val="16"/>
          <w:szCs w:val="16"/>
        </w:rPr>
        <w:t xml:space="preserve"> </w:t>
      </w:r>
      <w:proofErr w:type="spellStart"/>
      <w:r w:rsidR="6C54F3A7" w:rsidRPr="6C54F3A7">
        <w:rPr>
          <w:rFonts w:ascii="Calibri" w:eastAsia="Calibri" w:hAnsi="Calibri" w:cs="Calibri"/>
          <w:color w:val="auto"/>
          <w:sz w:val="16"/>
          <w:szCs w:val="16"/>
        </w:rPr>
        <w:t>academics</w:t>
      </w:r>
      <w:proofErr w:type="spellEnd"/>
      <w:r w:rsidR="6C54F3A7" w:rsidRPr="6C54F3A7">
        <w:rPr>
          <w:rFonts w:ascii="Calibri" w:eastAsia="Calibri" w:hAnsi="Calibri" w:cs="Calibri"/>
          <w:color w:val="auto"/>
          <w:sz w:val="16"/>
          <w:szCs w:val="16"/>
        </w:rPr>
        <w:t xml:space="preserve"> in public </w:t>
      </w:r>
      <w:proofErr w:type="spellStart"/>
      <w:r w:rsidR="6C54F3A7" w:rsidRPr="6C54F3A7">
        <w:rPr>
          <w:rFonts w:ascii="Calibri" w:eastAsia="Calibri" w:hAnsi="Calibri" w:cs="Calibri"/>
          <w:color w:val="auto"/>
          <w:sz w:val="16"/>
          <w:szCs w:val="16"/>
        </w:rPr>
        <w:t>policy</w:t>
      </w:r>
      <w:proofErr w:type="spellEnd"/>
      <w:r w:rsidR="6C54F3A7" w:rsidRPr="6C54F3A7">
        <w:rPr>
          <w:rFonts w:ascii="Calibri" w:eastAsia="Calibri" w:hAnsi="Calibri" w:cs="Calibri"/>
          <w:color w:val="auto"/>
          <w:sz w:val="16"/>
          <w:szCs w:val="16"/>
        </w:rPr>
        <w:t xml:space="preserve">, </w:t>
      </w:r>
      <w:proofErr w:type="spellStart"/>
      <w:r w:rsidR="6C54F3A7" w:rsidRPr="6C54F3A7">
        <w:rPr>
          <w:rFonts w:ascii="Calibri" w:eastAsia="Calibri" w:hAnsi="Calibri" w:cs="Calibri"/>
          <w:color w:val="auto"/>
          <w:sz w:val="16"/>
          <w:szCs w:val="16"/>
        </w:rPr>
        <w:t>Chapter</w:t>
      </w:r>
      <w:proofErr w:type="spellEnd"/>
      <w:r w:rsidR="6C54F3A7" w:rsidRPr="6C54F3A7">
        <w:rPr>
          <w:rFonts w:ascii="Calibri" w:eastAsia="Calibri" w:hAnsi="Calibri" w:cs="Calibri"/>
          <w:color w:val="auto"/>
          <w:sz w:val="16"/>
          <w:szCs w:val="16"/>
        </w:rPr>
        <w:t xml:space="preserve"> </w:t>
      </w:r>
      <w:proofErr w:type="spellStart"/>
      <w:r w:rsidR="6C54F3A7" w:rsidRPr="6C54F3A7">
        <w:rPr>
          <w:rFonts w:ascii="Calibri" w:eastAsia="Calibri" w:hAnsi="Calibri" w:cs="Calibri"/>
          <w:color w:val="auto"/>
          <w:sz w:val="16"/>
          <w:szCs w:val="16"/>
        </w:rPr>
        <w:t>Author</w:t>
      </w:r>
      <w:proofErr w:type="spellEnd"/>
      <w:r w:rsidR="6C54F3A7" w:rsidRPr="6C54F3A7">
        <w:rPr>
          <w:rFonts w:ascii="Calibri" w:eastAsia="Calibri" w:hAnsi="Calibri" w:cs="Calibri"/>
          <w:color w:val="auto"/>
          <w:sz w:val="16"/>
          <w:szCs w:val="16"/>
        </w:rPr>
        <w:t xml:space="preserve">(s): John Paul </w:t>
      </w:r>
      <w:proofErr w:type="spellStart"/>
      <w:r w:rsidR="6C54F3A7" w:rsidRPr="6C54F3A7">
        <w:rPr>
          <w:rFonts w:ascii="Calibri" w:eastAsia="Calibri" w:hAnsi="Calibri" w:cs="Calibri"/>
          <w:color w:val="auto"/>
          <w:sz w:val="16"/>
          <w:szCs w:val="16"/>
        </w:rPr>
        <w:t>Catungal</w:t>
      </w:r>
      <w:proofErr w:type="spellEnd"/>
      <w:r w:rsidR="6C54F3A7" w:rsidRPr="6C54F3A7">
        <w:rPr>
          <w:rFonts w:ascii="Calibri" w:eastAsia="Calibri" w:hAnsi="Calibri" w:cs="Calibri"/>
          <w:color w:val="auto"/>
          <w:sz w:val="16"/>
          <w:szCs w:val="16"/>
        </w:rPr>
        <w:t xml:space="preserve">, </w:t>
      </w:r>
      <w:proofErr w:type="spellStart"/>
      <w:r w:rsidR="6C54F3A7" w:rsidRPr="6C54F3A7">
        <w:rPr>
          <w:rFonts w:ascii="Calibri" w:eastAsia="Calibri" w:hAnsi="Calibri" w:cs="Calibri"/>
          <w:color w:val="auto"/>
          <w:sz w:val="16"/>
          <w:szCs w:val="16"/>
        </w:rPr>
        <w:t>Book</w:t>
      </w:r>
      <w:proofErr w:type="spellEnd"/>
      <w:r w:rsidR="6C54F3A7" w:rsidRPr="6C54F3A7">
        <w:rPr>
          <w:rFonts w:ascii="Calibri" w:eastAsia="Calibri" w:hAnsi="Calibri" w:cs="Calibri"/>
          <w:color w:val="auto"/>
          <w:sz w:val="16"/>
          <w:szCs w:val="16"/>
        </w:rPr>
        <w:t xml:space="preserve"> </w:t>
      </w:r>
      <w:proofErr w:type="spellStart"/>
      <w:r w:rsidR="6C54F3A7" w:rsidRPr="6C54F3A7">
        <w:rPr>
          <w:rFonts w:ascii="Calibri" w:eastAsia="Calibri" w:hAnsi="Calibri" w:cs="Calibri"/>
          <w:color w:val="auto"/>
          <w:sz w:val="16"/>
          <w:szCs w:val="16"/>
        </w:rPr>
        <w:t>Title</w:t>
      </w:r>
      <w:proofErr w:type="spellEnd"/>
      <w:r w:rsidR="6C54F3A7" w:rsidRPr="6C54F3A7">
        <w:rPr>
          <w:rFonts w:ascii="Calibri" w:eastAsia="Calibri" w:hAnsi="Calibri" w:cs="Calibri"/>
          <w:color w:val="auto"/>
          <w:sz w:val="16"/>
          <w:szCs w:val="16"/>
        </w:rPr>
        <w:t xml:space="preserve">: </w:t>
      </w:r>
      <w:proofErr w:type="spellStart"/>
      <w:r w:rsidR="6C54F3A7" w:rsidRPr="6C54F3A7">
        <w:rPr>
          <w:rFonts w:ascii="Calibri" w:eastAsia="Calibri" w:hAnsi="Calibri" w:cs="Calibri"/>
          <w:color w:val="auto"/>
          <w:sz w:val="16"/>
          <w:szCs w:val="16"/>
        </w:rPr>
        <w:t>Engaging</w:t>
      </w:r>
      <w:proofErr w:type="spellEnd"/>
      <w:r w:rsidR="6C54F3A7" w:rsidRPr="6C54F3A7">
        <w:rPr>
          <w:rFonts w:ascii="Calibri" w:eastAsia="Calibri" w:hAnsi="Calibri" w:cs="Calibri"/>
          <w:color w:val="auto"/>
          <w:sz w:val="16"/>
          <w:szCs w:val="16"/>
        </w:rPr>
        <w:t xml:space="preserve"> </w:t>
      </w:r>
      <w:proofErr w:type="spellStart"/>
      <w:r w:rsidR="6C54F3A7" w:rsidRPr="6C54F3A7">
        <w:rPr>
          <w:rFonts w:ascii="Calibri" w:eastAsia="Calibri" w:hAnsi="Calibri" w:cs="Calibri"/>
          <w:color w:val="auto"/>
          <w:sz w:val="16"/>
          <w:szCs w:val="16"/>
        </w:rPr>
        <w:t>with</w:t>
      </w:r>
      <w:proofErr w:type="spellEnd"/>
      <w:r w:rsidR="6C54F3A7" w:rsidRPr="6C54F3A7">
        <w:rPr>
          <w:rFonts w:ascii="Calibri" w:eastAsia="Calibri" w:hAnsi="Calibri" w:cs="Calibri"/>
          <w:color w:val="auto"/>
          <w:sz w:val="16"/>
          <w:szCs w:val="16"/>
        </w:rPr>
        <w:t xml:space="preserve"> </w:t>
      </w:r>
      <w:proofErr w:type="spellStart"/>
      <w:r w:rsidR="6C54F3A7" w:rsidRPr="6C54F3A7">
        <w:rPr>
          <w:rFonts w:ascii="Calibri" w:eastAsia="Calibri" w:hAnsi="Calibri" w:cs="Calibri"/>
          <w:color w:val="auto"/>
          <w:sz w:val="16"/>
          <w:szCs w:val="16"/>
        </w:rPr>
        <w:t>Polic</w:t>
      </w:r>
      <w:r w:rsidR="6C54F3A7" w:rsidRPr="6C54F3A7">
        <w:rPr>
          <w:rFonts w:ascii="Calibri" w:eastAsia="Calibri" w:hAnsi="Calibri" w:cs="Calibri"/>
          <w:sz w:val="16"/>
          <w:szCs w:val="16"/>
        </w:rPr>
        <w:t>y</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Practice</w:t>
      </w:r>
      <w:proofErr w:type="spellEnd"/>
      <w:r w:rsidR="6C54F3A7" w:rsidRPr="6C54F3A7">
        <w:rPr>
          <w:rFonts w:ascii="Calibri" w:eastAsia="Calibri" w:hAnsi="Calibri" w:cs="Calibri"/>
          <w:sz w:val="16"/>
          <w:szCs w:val="16"/>
        </w:rPr>
        <w:t xml:space="preserve"> and </w:t>
      </w:r>
      <w:proofErr w:type="spellStart"/>
      <w:r w:rsidR="6C54F3A7" w:rsidRPr="6C54F3A7">
        <w:rPr>
          <w:rFonts w:ascii="Calibri" w:eastAsia="Calibri" w:hAnsi="Calibri" w:cs="Calibri"/>
          <w:sz w:val="16"/>
          <w:szCs w:val="16"/>
        </w:rPr>
        <w:t>Publics</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Book</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Subtitle</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Intersectionality</w:t>
      </w:r>
      <w:proofErr w:type="spellEnd"/>
      <w:r w:rsidR="6C54F3A7" w:rsidRPr="6C54F3A7">
        <w:rPr>
          <w:rFonts w:ascii="Calibri" w:eastAsia="Calibri" w:hAnsi="Calibri" w:cs="Calibri"/>
          <w:sz w:val="16"/>
          <w:szCs w:val="16"/>
        </w:rPr>
        <w:t xml:space="preserve"> and </w:t>
      </w:r>
      <w:proofErr w:type="spellStart"/>
      <w:r w:rsidR="6C54F3A7" w:rsidRPr="6C54F3A7">
        <w:rPr>
          <w:rFonts w:ascii="Calibri" w:eastAsia="Calibri" w:hAnsi="Calibri" w:cs="Calibri"/>
          <w:sz w:val="16"/>
          <w:szCs w:val="16"/>
        </w:rPr>
        <w:t>Impacts</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Book</w:t>
      </w:r>
      <w:proofErr w:type="spellEnd"/>
      <w:r w:rsidR="6C54F3A7" w:rsidRPr="6C54F3A7">
        <w:rPr>
          <w:rFonts w:ascii="Calibri" w:eastAsia="Calibri" w:hAnsi="Calibri" w:cs="Calibri"/>
          <w:sz w:val="16"/>
          <w:szCs w:val="16"/>
        </w:rPr>
        <w:t xml:space="preserve"> Editor(s): SARAH MARIE HALL, RALITSA HITEVA, </w:t>
      </w:r>
      <w:proofErr w:type="spellStart"/>
      <w:r w:rsidR="6C54F3A7" w:rsidRPr="6C54F3A7">
        <w:rPr>
          <w:rFonts w:ascii="Calibri" w:eastAsia="Calibri" w:hAnsi="Calibri" w:cs="Calibri"/>
          <w:sz w:val="16"/>
          <w:szCs w:val="16"/>
        </w:rPr>
        <w:t>Published</w:t>
      </w:r>
      <w:proofErr w:type="spellEnd"/>
      <w:r w:rsidR="6C54F3A7" w:rsidRPr="6C54F3A7">
        <w:rPr>
          <w:rFonts w:ascii="Calibri" w:eastAsia="Calibri" w:hAnsi="Calibri" w:cs="Calibri"/>
          <w:sz w:val="16"/>
          <w:szCs w:val="16"/>
        </w:rPr>
        <w:t xml:space="preserve"> by: Bristol University </w:t>
      </w:r>
      <w:proofErr w:type="spellStart"/>
      <w:r w:rsidR="6C54F3A7" w:rsidRPr="6C54F3A7">
        <w:rPr>
          <w:rFonts w:ascii="Calibri" w:eastAsia="Calibri" w:hAnsi="Calibri" w:cs="Calibri"/>
          <w:sz w:val="16"/>
          <w:szCs w:val="16"/>
        </w:rPr>
        <w:t>Press</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Policy</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Press</w:t>
      </w:r>
      <w:proofErr w:type="spellEnd"/>
      <w:r w:rsidR="6C54F3A7" w:rsidRPr="6C54F3A7">
        <w:rPr>
          <w:rFonts w:ascii="Calibri" w:eastAsia="Calibri" w:hAnsi="Calibri" w:cs="Calibri"/>
          <w:sz w:val="16"/>
          <w:szCs w:val="16"/>
        </w:rPr>
        <w:t xml:space="preserve">. (2020). K významu interpretace zdravotnických dat v komunikačních strategiích např. </w:t>
      </w:r>
      <w:proofErr w:type="spellStart"/>
      <w:r w:rsidR="6C54F3A7" w:rsidRPr="6C54F3A7">
        <w:rPr>
          <w:rFonts w:ascii="Calibri" w:eastAsia="Calibri" w:hAnsi="Calibri" w:cs="Calibri"/>
          <w:sz w:val="16"/>
          <w:szCs w:val="16"/>
        </w:rPr>
        <w:t>Naeem</w:t>
      </w:r>
      <w:proofErr w:type="spellEnd"/>
      <w:r w:rsidR="6C54F3A7" w:rsidRPr="6C54F3A7">
        <w:rPr>
          <w:rFonts w:ascii="Calibri" w:eastAsia="Calibri" w:hAnsi="Calibri" w:cs="Calibri"/>
          <w:sz w:val="16"/>
          <w:szCs w:val="16"/>
        </w:rPr>
        <w:t xml:space="preserve">, S.B. and </w:t>
      </w:r>
      <w:proofErr w:type="spellStart"/>
      <w:r w:rsidR="6C54F3A7" w:rsidRPr="6C54F3A7">
        <w:rPr>
          <w:rFonts w:ascii="Calibri" w:eastAsia="Calibri" w:hAnsi="Calibri" w:cs="Calibri"/>
          <w:sz w:val="16"/>
          <w:szCs w:val="16"/>
        </w:rPr>
        <w:t>Bhatti</w:t>
      </w:r>
      <w:proofErr w:type="spellEnd"/>
      <w:r w:rsidR="6C54F3A7" w:rsidRPr="6C54F3A7">
        <w:rPr>
          <w:rFonts w:ascii="Calibri" w:eastAsia="Calibri" w:hAnsi="Calibri" w:cs="Calibri"/>
          <w:sz w:val="16"/>
          <w:szCs w:val="16"/>
        </w:rPr>
        <w:t xml:space="preserve">, R. (2020), </w:t>
      </w:r>
      <w:proofErr w:type="spellStart"/>
      <w:r w:rsidR="6C54F3A7" w:rsidRPr="6C54F3A7">
        <w:rPr>
          <w:rFonts w:ascii="Calibri" w:eastAsia="Calibri" w:hAnsi="Calibri" w:cs="Calibri"/>
          <w:sz w:val="16"/>
          <w:szCs w:val="16"/>
        </w:rPr>
        <w:t>The</w:t>
      </w:r>
      <w:proofErr w:type="spellEnd"/>
      <w:r w:rsidR="6C54F3A7" w:rsidRPr="6C54F3A7">
        <w:rPr>
          <w:rFonts w:ascii="Calibri" w:eastAsia="Calibri" w:hAnsi="Calibri" w:cs="Calibri"/>
          <w:sz w:val="16"/>
          <w:szCs w:val="16"/>
        </w:rPr>
        <w:t xml:space="preserve"> Covid‐19 ‘</w:t>
      </w:r>
      <w:proofErr w:type="spellStart"/>
      <w:r w:rsidR="6C54F3A7" w:rsidRPr="6C54F3A7">
        <w:rPr>
          <w:rFonts w:ascii="Calibri" w:eastAsia="Calibri" w:hAnsi="Calibri" w:cs="Calibri"/>
          <w:sz w:val="16"/>
          <w:szCs w:val="16"/>
        </w:rPr>
        <w:t>infodemic</w:t>
      </w:r>
      <w:proofErr w:type="spellEnd"/>
      <w:r w:rsidR="6C54F3A7" w:rsidRPr="6C54F3A7">
        <w:rPr>
          <w:rFonts w:ascii="Calibri" w:eastAsia="Calibri" w:hAnsi="Calibri" w:cs="Calibri"/>
          <w:sz w:val="16"/>
          <w:szCs w:val="16"/>
        </w:rPr>
        <w:t xml:space="preserve">’: a </w:t>
      </w:r>
      <w:proofErr w:type="spellStart"/>
      <w:r w:rsidR="6C54F3A7" w:rsidRPr="6C54F3A7">
        <w:rPr>
          <w:rFonts w:ascii="Calibri" w:eastAsia="Calibri" w:hAnsi="Calibri" w:cs="Calibri"/>
          <w:sz w:val="16"/>
          <w:szCs w:val="16"/>
        </w:rPr>
        <w:t>new</w:t>
      </w:r>
      <w:proofErr w:type="spellEnd"/>
      <w:r w:rsidR="6C54F3A7" w:rsidRPr="6C54F3A7">
        <w:rPr>
          <w:rFonts w:ascii="Calibri" w:eastAsia="Calibri" w:hAnsi="Calibri" w:cs="Calibri"/>
          <w:sz w:val="16"/>
          <w:szCs w:val="16"/>
        </w:rPr>
        <w:t xml:space="preserve"> front </w:t>
      </w:r>
      <w:proofErr w:type="spellStart"/>
      <w:r w:rsidR="6C54F3A7" w:rsidRPr="6C54F3A7">
        <w:rPr>
          <w:rFonts w:ascii="Calibri" w:eastAsia="Calibri" w:hAnsi="Calibri" w:cs="Calibri"/>
          <w:sz w:val="16"/>
          <w:szCs w:val="16"/>
        </w:rPr>
        <w:t>for</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information</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professionals</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Health</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Info</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Libr</w:t>
      </w:r>
      <w:proofErr w:type="spellEnd"/>
      <w:r w:rsidR="6C54F3A7" w:rsidRPr="6C54F3A7">
        <w:rPr>
          <w:rFonts w:ascii="Calibri" w:eastAsia="Calibri" w:hAnsi="Calibri" w:cs="Calibri"/>
          <w:sz w:val="16"/>
          <w:szCs w:val="16"/>
        </w:rPr>
        <w:t xml:space="preserve"> J, 37: 233-239. </w:t>
      </w:r>
      <w:hyperlink r:id="rId5">
        <w:r w:rsidR="6C54F3A7" w:rsidRPr="6C54F3A7">
          <w:rPr>
            <w:rFonts w:ascii="Calibri" w:eastAsia="Calibri" w:hAnsi="Calibri" w:cs="Calibri"/>
            <w:sz w:val="16"/>
            <w:szCs w:val="16"/>
          </w:rPr>
          <w:t>https://doi.org/10.1111/hir.12311</w:t>
        </w:r>
      </w:hyperlink>
      <w:r w:rsidR="6C54F3A7" w:rsidRPr="6C54F3A7">
        <w:rPr>
          <w:rFonts w:ascii="Calibri" w:eastAsia="Calibri" w:hAnsi="Calibri" w:cs="Calibri"/>
          <w:sz w:val="16"/>
          <w:szCs w:val="16"/>
        </w:rPr>
        <w:t>..</w:t>
      </w:r>
    </w:p>
  </w:footnote>
  <w:footnote w:id="4">
    <w:p w14:paraId="7F122373" w14:textId="5B8A6880" w:rsidR="71E36747" w:rsidRDefault="71E36747" w:rsidP="6C54F3A7">
      <w:pPr>
        <w:pStyle w:val="Textpoznpodarou"/>
        <w:jc w:val="both"/>
        <w:rPr>
          <w:rFonts w:ascii="Times New Roman" w:hAnsi="Times New Roman" w:cs="Times New Roman"/>
          <w:sz w:val="18"/>
          <w:szCs w:val="18"/>
        </w:rPr>
      </w:pPr>
      <w:r w:rsidRPr="6C54F3A7">
        <w:rPr>
          <w:rStyle w:val="Znakapoznpodarou"/>
          <w:rFonts w:ascii="Calibri" w:eastAsia="Calibri" w:hAnsi="Calibri" w:cs="Calibri"/>
          <w:sz w:val="16"/>
          <w:szCs w:val="16"/>
        </w:rPr>
        <w:footnoteRef/>
      </w:r>
      <w:r w:rsidR="6C54F3A7" w:rsidRPr="6C54F3A7">
        <w:rPr>
          <w:rFonts w:ascii="Calibri" w:eastAsia="Calibri" w:hAnsi="Calibri" w:cs="Calibri"/>
          <w:sz w:val="16"/>
          <w:szCs w:val="16"/>
        </w:rPr>
        <w:t>)</w:t>
      </w:r>
      <w:r>
        <w:tab/>
      </w:r>
      <w:r w:rsidR="6C54F3A7" w:rsidRPr="6C54F3A7">
        <w:rPr>
          <w:rStyle w:val="K-TextInfoChar"/>
          <w:rFonts w:ascii="Calibri" w:eastAsia="Calibri" w:hAnsi="Calibri" w:cs="Calibri"/>
          <w:i w:val="0"/>
          <w:iCs w:val="0"/>
          <w:color w:val="auto"/>
          <w:sz w:val="16"/>
          <w:szCs w:val="16"/>
        </w:rPr>
        <w:t>Nový program implementující tuto komponentu nebude investovat do rozšiřování běžných provozních a mikrobiologických laboratoří nemocnic a léčebných zařízení, sloužící běžnému testování pacientů na základě požadavku lékařů, ani jejich personální kapacity. Ty jsou předmětem podpory jiných komponent a dotačních opatření zejména Ministerstva zdravotnictví.</w:t>
      </w:r>
      <w:r w:rsidR="6C54F3A7" w:rsidRPr="6C54F3A7">
        <w:rPr>
          <w:rFonts w:ascii="Calibri" w:eastAsia="Calibri" w:hAnsi="Calibri" w:cs="Calibri"/>
          <w:sz w:val="16"/>
          <w:szCs w:val="16"/>
        </w:rPr>
        <w:t xml:space="preserve"> </w:t>
      </w:r>
    </w:p>
  </w:footnote>
  <w:footnote w:id="5">
    <w:p w14:paraId="2C85D451" w14:textId="372103BC" w:rsidR="71E36747" w:rsidRDefault="71E36747" w:rsidP="6C54F3A7">
      <w:pPr>
        <w:pStyle w:val="Textkomente"/>
        <w:tabs>
          <w:tab w:val="left" w:pos="284"/>
        </w:tabs>
        <w:spacing w:after="0"/>
        <w:jc w:val="both"/>
      </w:pPr>
      <w:r w:rsidRPr="6C54F3A7">
        <w:rPr>
          <w:rStyle w:val="Znakapoznpodarou"/>
          <w:rFonts w:ascii="Calibri" w:eastAsia="Calibri" w:hAnsi="Calibri" w:cs="Calibri"/>
          <w:sz w:val="16"/>
          <w:szCs w:val="16"/>
        </w:rPr>
        <w:footnoteRef/>
      </w:r>
      <w:r w:rsidR="6C54F3A7" w:rsidRPr="6C54F3A7">
        <w:rPr>
          <w:rFonts w:ascii="Calibri" w:eastAsia="Calibri" w:hAnsi="Calibri" w:cs="Calibri"/>
          <w:sz w:val="16"/>
          <w:szCs w:val="16"/>
        </w:rPr>
        <w:t>)</w:t>
      </w:r>
      <w:r>
        <w:tab/>
      </w:r>
      <w:r w:rsidR="6C54F3A7" w:rsidRPr="6C54F3A7">
        <w:rPr>
          <w:rStyle w:val="K-TextInfoChar"/>
          <w:rFonts w:ascii="Calibri" w:eastAsia="Calibri" w:hAnsi="Calibri" w:cs="Calibri"/>
          <w:i w:val="0"/>
          <w:iCs w:val="0"/>
          <w:color w:val="auto"/>
          <w:sz w:val="16"/>
          <w:szCs w:val="16"/>
        </w:rPr>
        <w:t>Primárně jde však stále o budování vědecké základny, nikoli o informační servis směřovaný pouze k pacientům. Výstupy, výsledky výzkumu a informace o nich s uplatněním FAIR principů všude tam, kde je to možné, by měly být obdobně jako v jiných vědních oborech dostupné zájemcům z řad širší odborné veřejnosti.</w:t>
      </w:r>
      <w:r w:rsidR="6C54F3A7" w:rsidRPr="6C54F3A7">
        <w:rPr>
          <w:rFonts w:ascii="Calibri" w:eastAsia="Calibri" w:hAnsi="Calibri" w:cs="Calibri"/>
          <w:sz w:val="16"/>
          <w:szCs w:val="16"/>
        </w:rPr>
        <w:t xml:space="preserve"> Proto investice může omezeně také směřovat do propojování a sdílení výzkumných a socioekonomických dat pro výzkumné účely.</w:t>
      </w:r>
    </w:p>
  </w:footnote>
  <w:footnote w:id="6">
    <w:p w14:paraId="6AC79576" w14:textId="2BF7A2BB" w:rsidR="001F3CAF" w:rsidRPr="00742093" w:rsidRDefault="001F3CAF" w:rsidP="6C54F3A7">
      <w:pPr>
        <w:pStyle w:val="Textpoznpodarou"/>
        <w:jc w:val="both"/>
        <w:rPr>
          <w:rFonts w:ascii="Times New Roman" w:hAnsi="Times New Roman" w:cs="Times New Roman"/>
          <w:sz w:val="18"/>
          <w:szCs w:val="18"/>
        </w:rPr>
      </w:pPr>
      <w:r w:rsidRPr="6C54F3A7">
        <w:rPr>
          <w:rStyle w:val="Znakapoznpodarou"/>
          <w:rFonts w:ascii="Calibri" w:eastAsia="Calibri" w:hAnsi="Calibri" w:cs="Calibri"/>
          <w:sz w:val="16"/>
          <w:szCs w:val="16"/>
        </w:rPr>
        <w:footnoteRef/>
      </w:r>
      <w:r w:rsidR="6C54F3A7" w:rsidRPr="6C54F3A7">
        <w:rPr>
          <w:rFonts w:ascii="Calibri" w:eastAsia="Calibri" w:hAnsi="Calibri" w:cs="Calibri"/>
          <w:sz w:val="16"/>
          <w:szCs w:val="16"/>
        </w:rPr>
        <w:t xml:space="preserve"> )</w:t>
      </w:r>
      <w:r w:rsidRPr="00742093">
        <w:rPr>
          <w:rFonts w:ascii="Times New Roman" w:hAnsi="Times New Roman" w:cs="Times New Roman"/>
          <w:sz w:val="18"/>
          <w:szCs w:val="18"/>
        </w:rPr>
        <w:tab/>
      </w:r>
      <w:r w:rsidR="6C54F3A7" w:rsidRPr="6C54F3A7">
        <w:rPr>
          <w:rFonts w:ascii="Calibri" w:eastAsia="Calibri" w:hAnsi="Calibri" w:cs="Calibri"/>
          <w:color w:val="auto"/>
          <w:sz w:val="16"/>
          <w:szCs w:val="16"/>
        </w:rPr>
        <w:t xml:space="preserve">Data o zmíněných programech NPUII/LQ, NPU I/LO i o jednotlivých projektech jsou veřejně dostupná v informačním systému IS </w:t>
      </w:r>
      <w:proofErr w:type="spellStart"/>
      <w:r w:rsidR="6C54F3A7" w:rsidRPr="6C54F3A7">
        <w:rPr>
          <w:rFonts w:ascii="Calibri" w:eastAsia="Calibri" w:hAnsi="Calibri" w:cs="Calibri"/>
          <w:color w:val="auto"/>
          <w:sz w:val="16"/>
          <w:szCs w:val="16"/>
        </w:rPr>
        <w:t>VaVaI</w:t>
      </w:r>
      <w:proofErr w:type="spellEnd"/>
      <w:r w:rsidR="6C54F3A7" w:rsidRPr="6C54F3A7">
        <w:rPr>
          <w:rFonts w:ascii="Calibri" w:eastAsia="Calibri" w:hAnsi="Calibri" w:cs="Calibri"/>
          <w:color w:val="auto"/>
          <w:sz w:val="16"/>
          <w:szCs w:val="16"/>
        </w:rPr>
        <w:t xml:space="preserve"> </w:t>
      </w:r>
      <w:proofErr w:type="gramStart"/>
      <w:r w:rsidR="6C54F3A7" w:rsidRPr="6C54F3A7">
        <w:rPr>
          <w:rFonts w:ascii="Calibri" w:eastAsia="Calibri" w:hAnsi="Calibri" w:cs="Calibri"/>
          <w:color w:val="auto"/>
          <w:sz w:val="16"/>
          <w:szCs w:val="16"/>
        </w:rPr>
        <w:t>( např.</w:t>
      </w:r>
      <w:proofErr w:type="gramEnd"/>
      <w:r w:rsidR="6C54F3A7" w:rsidRPr="6C54F3A7">
        <w:rPr>
          <w:rFonts w:ascii="Calibri" w:eastAsia="Calibri" w:hAnsi="Calibri" w:cs="Calibri"/>
          <w:color w:val="auto"/>
          <w:sz w:val="16"/>
          <w:szCs w:val="16"/>
        </w:rPr>
        <w:t xml:space="preserve"> </w:t>
      </w:r>
      <w:hyperlink r:id="rId6" w:history="1">
        <w:r w:rsidR="6C54F3A7" w:rsidRPr="6C54F3A7">
          <w:rPr>
            <w:rStyle w:val="Hypertextovodkaz"/>
            <w:rFonts w:ascii="Calibri" w:eastAsia="Calibri" w:hAnsi="Calibri" w:cs="Calibri"/>
            <w:color w:val="auto"/>
            <w:sz w:val="16"/>
            <w:szCs w:val="16"/>
          </w:rPr>
          <w:t>https://www.isvavai.cz/cea?s=programy&amp;ss=detail&amp;n=0&amp;h=LQ</w:t>
        </w:r>
      </w:hyperlink>
      <w:r w:rsidR="6C54F3A7" w:rsidRPr="6C54F3A7">
        <w:rPr>
          <w:rFonts w:ascii="Calibri" w:eastAsia="Calibri" w:hAnsi="Calibri" w:cs="Calibri"/>
          <w:color w:val="auto"/>
          <w:sz w:val="16"/>
          <w:szCs w:val="16"/>
        </w:rPr>
        <w:t xml:space="preserve"> )</w:t>
      </w:r>
    </w:p>
  </w:footnote>
  <w:footnote w:id="7">
    <w:p w14:paraId="0D0E4143" w14:textId="4F179C5D" w:rsidR="002E0D11" w:rsidRPr="00A302AB" w:rsidRDefault="002E0D11" w:rsidP="6C54F3A7">
      <w:pPr>
        <w:pStyle w:val="Textpoznpodarou"/>
        <w:jc w:val="both"/>
        <w:rPr>
          <w:rFonts w:ascii="Times New Roman" w:hAnsi="Times New Roman" w:cs="Times New Roman"/>
          <w:color w:val="auto"/>
          <w:sz w:val="18"/>
          <w:szCs w:val="18"/>
        </w:rPr>
      </w:pPr>
      <w:r w:rsidRPr="6C54F3A7">
        <w:rPr>
          <w:rStyle w:val="Znakapoznpodarou"/>
          <w:rFonts w:ascii="Calibri" w:eastAsia="Calibri" w:hAnsi="Calibri" w:cs="Calibri"/>
          <w:color w:val="auto"/>
          <w:sz w:val="16"/>
          <w:szCs w:val="16"/>
        </w:rPr>
        <w:footnoteRef/>
      </w:r>
      <w:r w:rsidR="6C54F3A7" w:rsidRPr="6C54F3A7">
        <w:rPr>
          <w:rFonts w:ascii="Calibri" w:eastAsia="Calibri" w:hAnsi="Calibri" w:cs="Calibri"/>
          <w:color w:val="auto"/>
          <w:sz w:val="16"/>
          <w:szCs w:val="16"/>
        </w:rPr>
        <w:t xml:space="preserve">) </w:t>
      </w:r>
      <w:r>
        <w:tab/>
      </w:r>
      <w:r w:rsidR="6C54F3A7" w:rsidRPr="6C54F3A7">
        <w:rPr>
          <w:rFonts w:ascii="Calibri" w:eastAsia="Calibri" w:hAnsi="Calibri" w:cs="Calibri"/>
          <w:color w:val="auto"/>
          <w:sz w:val="16"/>
          <w:szCs w:val="16"/>
        </w:rPr>
        <w:t xml:space="preserve">Viz např. </w:t>
      </w:r>
      <w:hyperlink r:id="rId7" w:history="1">
        <w:r w:rsidR="6C54F3A7" w:rsidRPr="6C54F3A7">
          <w:rPr>
            <w:rStyle w:val="Hypertextovodkaz"/>
            <w:rFonts w:ascii="Calibri" w:eastAsia="Calibri" w:hAnsi="Calibri" w:cs="Calibri"/>
            <w:color w:val="auto"/>
            <w:sz w:val="16"/>
            <w:szCs w:val="16"/>
          </w:rPr>
          <w:t>https://www.isvavai.cz/cep?s=jednoduche-vyhledavani&amp;ss=detail&amp;n=0&amp;h=LQ1601</w:t>
        </w:r>
      </w:hyperlink>
      <w:r w:rsidR="6C54F3A7" w:rsidRPr="6C54F3A7">
        <w:rPr>
          <w:rFonts w:ascii="Calibri" w:eastAsia="Calibri" w:hAnsi="Calibri" w:cs="Calibri"/>
          <w:color w:val="auto"/>
          <w:sz w:val="16"/>
          <w:szCs w:val="16"/>
        </w:rPr>
        <w:t xml:space="preserve"> nebo </w:t>
      </w:r>
      <w:hyperlink r:id="rId8" w:history="1">
        <w:r w:rsidR="6C54F3A7" w:rsidRPr="6C54F3A7">
          <w:rPr>
            <w:rStyle w:val="Hypertextovodkaz"/>
            <w:rFonts w:ascii="Calibri" w:eastAsia="Calibri" w:hAnsi="Calibri" w:cs="Calibri"/>
            <w:color w:val="auto"/>
            <w:sz w:val="16"/>
            <w:szCs w:val="16"/>
          </w:rPr>
          <w:t>https://www.ceitec.eu/</w:t>
        </w:r>
      </w:hyperlink>
      <w:r w:rsidR="6C54F3A7" w:rsidRPr="6C54F3A7">
        <w:rPr>
          <w:rFonts w:ascii="Calibri" w:eastAsia="Calibri" w:hAnsi="Calibri" w:cs="Calibri"/>
          <w:color w:val="auto"/>
          <w:sz w:val="16"/>
          <w:szCs w:val="16"/>
        </w:rPr>
        <w:t xml:space="preserve"> nebo </w:t>
      </w:r>
      <w:hyperlink r:id="rId9" w:history="1">
        <w:r w:rsidR="6C54F3A7" w:rsidRPr="6C54F3A7">
          <w:rPr>
            <w:rStyle w:val="Hypertextovodkaz"/>
            <w:rFonts w:ascii="Calibri" w:eastAsia="Calibri" w:hAnsi="Calibri" w:cs="Calibri"/>
            <w:color w:val="auto"/>
            <w:sz w:val="16"/>
            <w:szCs w:val="16"/>
          </w:rPr>
          <w:t>https://www.ceitec.cz/</w:t>
        </w:r>
      </w:hyperlink>
      <w:r w:rsidR="6C54F3A7" w:rsidRPr="6C54F3A7">
        <w:rPr>
          <w:rFonts w:ascii="Calibri" w:eastAsia="Calibri" w:hAnsi="Calibri" w:cs="Calibri"/>
          <w:color w:val="auto"/>
          <w:sz w:val="16"/>
          <w:szCs w:val="16"/>
        </w:rPr>
        <w:t xml:space="preserve"> )</w:t>
      </w:r>
    </w:p>
  </w:footnote>
  <w:footnote w:id="8">
    <w:p w14:paraId="27BA8192" w14:textId="32B0A7A9" w:rsidR="002E0D11" w:rsidRPr="00A302AB" w:rsidRDefault="002E0D11" w:rsidP="6C54F3A7">
      <w:pPr>
        <w:pStyle w:val="Textpoznpodarou"/>
        <w:jc w:val="both"/>
        <w:rPr>
          <w:rFonts w:ascii="Times New Roman" w:hAnsi="Times New Roman" w:cs="Times New Roman"/>
          <w:color w:val="auto"/>
          <w:sz w:val="18"/>
          <w:szCs w:val="18"/>
        </w:rPr>
      </w:pPr>
      <w:r w:rsidRPr="6C54F3A7">
        <w:rPr>
          <w:rStyle w:val="Znakapoznpodarou"/>
          <w:rFonts w:ascii="Calibri" w:eastAsia="Calibri" w:hAnsi="Calibri" w:cs="Calibri"/>
          <w:color w:val="auto"/>
          <w:sz w:val="16"/>
          <w:szCs w:val="16"/>
        </w:rPr>
        <w:footnoteRef/>
      </w:r>
      <w:r w:rsidR="6C54F3A7" w:rsidRPr="6C54F3A7">
        <w:rPr>
          <w:rFonts w:ascii="Calibri" w:eastAsia="Calibri" w:hAnsi="Calibri" w:cs="Calibri"/>
          <w:color w:val="auto"/>
          <w:sz w:val="16"/>
          <w:szCs w:val="16"/>
        </w:rPr>
        <w:t>)</w:t>
      </w:r>
      <w:r>
        <w:tab/>
      </w:r>
      <w:r w:rsidR="6C54F3A7" w:rsidRPr="6C54F3A7">
        <w:rPr>
          <w:rFonts w:ascii="Calibri" w:eastAsia="Calibri" w:hAnsi="Calibri" w:cs="Calibri"/>
          <w:color w:val="auto"/>
          <w:sz w:val="16"/>
          <w:szCs w:val="16"/>
        </w:rPr>
        <w:t xml:space="preserve">viz např. </w:t>
      </w:r>
      <w:hyperlink r:id="rId10" w:history="1">
        <w:r w:rsidR="6C54F3A7" w:rsidRPr="6C54F3A7">
          <w:rPr>
            <w:rStyle w:val="Hypertextovodkaz"/>
            <w:rFonts w:ascii="Calibri" w:eastAsia="Calibri" w:hAnsi="Calibri" w:cs="Calibri"/>
            <w:color w:val="auto"/>
            <w:sz w:val="16"/>
            <w:szCs w:val="16"/>
          </w:rPr>
          <w:t>https://www.isvavai.cz/cep?s=jednoduche-vyhledavani&amp;ss=detail&amp;n=0&amp;h=LQ1605</w:t>
        </w:r>
      </w:hyperlink>
      <w:r w:rsidR="6C54F3A7" w:rsidRPr="6C54F3A7">
        <w:rPr>
          <w:rFonts w:ascii="Calibri" w:eastAsia="Calibri" w:hAnsi="Calibri" w:cs="Calibri"/>
          <w:color w:val="auto"/>
          <w:sz w:val="16"/>
          <w:szCs w:val="16"/>
        </w:rPr>
        <w:t xml:space="preserve"> nebo https://www.fnusa-icrc.org/cz/ nebo https://www.fnusa-icrc.org/en</w:t>
      </w:r>
    </w:p>
  </w:footnote>
  <w:footnote w:id="9">
    <w:p w14:paraId="3F2EBFFD" w14:textId="77777777" w:rsidR="008A42B9" w:rsidRPr="007C342A" w:rsidRDefault="008A42B9" w:rsidP="6C54F3A7">
      <w:pPr>
        <w:pStyle w:val="Textpoznpodarou"/>
        <w:jc w:val="both"/>
        <w:rPr>
          <w:rFonts w:ascii="Times New Roman" w:hAnsi="Times New Roman" w:cs="Times New Roman"/>
          <w:sz w:val="18"/>
          <w:szCs w:val="18"/>
        </w:rPr>
      </w:pPr>
      <w:r w:rsidRPr="6C54F3A7">
        <w:rPr>
          <w:rStyle w:val="Znakapoznpodarou"/>
          <w:rFonts w:ascii="Calibri" w:eastAsia="Calibri" w:hAnsi="Calibri" w:cs="Calibri"/>
          <w:sz w:val="16"/>
          <w:szCs w:val="16"/>
        </w:rPr>
        <w:footnoteRef/>
      </w:r>
      <w:r w:rsidR="6C54F3A7" w:rsidRPr="6C54F3A7">
        <w:rPr>
          <w:rFonts w:ascii="Calibri" w:eastAsia="Calibri" w:hAnsi="Calibri" w:cs="Calibri"/>
          <w:sz w:val="16"/>
          <w:szCs w:val="16"/>
        </w:rPr>
        <w:t>)</w:t>
      </w:r>
      <w:r w:rsidRPr="007C342A">
        <w:rPr>
          <w:rFonts w:ascii="Times New Roman" w:hAnsi="Times New Roman" w:cs="Times New Roman"/>
          <w:sz w:val="18"/>
          <w:szCs w:val="18"/>
        </w:rPr>
        <w:tab/>
      </w:r>
      <w:r w:rsidR="6C54F3A7" w:rsidRPr="6C54F3A7">
        <w:rPr>
          <w:rFonts w:ascii="Calibri" w:eastAsia="Calibri" w:hAnsi="Calibri" w:cs="Calibri"/>
          <w:color w:val="auto"/>
          <w:sz w:val="16"/>
          <w:szCs w:val="16"/>
        </w:rPr>
        <w:t xml:space="preserve">Data o realizovaných programech i o projektech jsou k dispozici ve veřejně dostupném národním informačním systému IS </w:t>
      </w:r>
      <w:proofErr w:type="spellStart"/>
      <w:r w:rsidR="6C54F3A7" w:rsidRPr="6C54F3A7">
        <w:rPr>
          <w:rFonts w:ascii="Calibri" w:eastAsia="Calibri" w:hAnsi="Calibri" w:cs="Calibri"/>
          <w:color w:val="auto"/>
          <w:sz w:val="16"/>
          <w:szCs w:val="16"/>
        </w:rPr>
        <w:t>VaVaI</w:t>
      </w:r>
      <w:proofErr w:type="spellEnd"/>
      <w:r w:rsidR="6C54F3A7" w:rsidRPr="6C54F3A7">
        <w:rPr>
          <w:rFonts w:ascii="Calibri" w:eastAsia="Calibri" w:hAnsi="Calibri" w:cs="Calibri"/>
          <w:color w:val="auto"/>
          <w:sz w:val="16"/>
          <w:szCs w:val="16"/>
        </w:rPr>
        <w:t xml:space="preserve"> </w:t>
      </w:r>
      <w:hyperlink r:id="rId11" w:history="1">
        <w:r w:rsidR="6C54F3A7" w:rsidRPr="6C54F3A7">
          <w:rPr>
            <w:rStyle w:val="Hypertextovodkaz"/>
            <w:rFonts w:ascii="Calibri" w:eastAsia="Calibri" w:hAnsi="Calibri" w:cs="Calibri"/>
            <w:color w:val="auto"/>
            <w:sz w:val="16"/>
            <w:szCs w:val="16"/>
          </w:rPr>
          <w:t>https://www.isvavai.cz/</w:t>
        </w:r>
      </w:hyperlink>
      <w:r w:rsidR="6C54F3A7" w:rsidRPr="6C54F3A7">
        <w:rPr>
          <w:rFonts w:ascii="Calibri" w:eastAsia="Calibri" w:hAnsi="Calibri" w:cs="Calibri"/>
          <w:color w:val="auto"/>
          <w:sz w:val="16"/>
          <w:szCs w:val="16"/>
        </w:rPr>
        <w:t xml:space="preserve">   </w:t>
      </w:r>
    </w:p>
  </w:footnote>
  <w:footnote w:id="10">
    <w:p w14:paraId="79C3AE27" w14:textId="49BFF0D6" w:rsidR="0037455E" w:rsidRPr="0037455E" w:rsidRDefault="0037455E" w:rsidP="6C54F3A7">
      <w:pPr>
        <w:pStyle w:val="Textpoznpodarou"/>
        <w:jc w:val="both"/>
        <w:rPr>
          <w:rFonts w:ascii="Times New Roman" w:hAnsi="Times New Roman" w:cs="Times New Roman"/>
          <w:sz w:val="18"/>
          <w:szCs w:val="18"/>
        </w:rPr>
      </w:pPr>
      <w:r w:rsidRPr="6C54F3A7">
        <w:rPr>
          <w:rStyle w:val="Znakapoznpodarou"/>
          <w:rFonts w:ascii="Calibri" w:eastAsia="Calibri" w:hAnsi="Calibri" w:cs="Calibri"/>
          <w:sz w:val="16"/>
          <w:szCs w:val="16"/>
        </w:rPr>
        <w:footnoteRef/>
      </w:r>
      <w:r w:rsidR="6C54F3A7" w:rsidRPr="6C54F3A7">
        <w:rPr>
          <w:rFonts w:ascii="Calibri" w:eastAsia="Calibri" w:hAnsi="Calibri" w:cs="Calibri"/>
          <w:sz w:val="16"/>
          <w:szCs w:val="16"/>
        </w:rPr>
        <w:t>)</w:t>
      </w:r>
      <w:r>
        <w:tab/>
      </w:r>
      <w:r w:rsidR="6C54F3A7" w:rsidRPr="6C54F3A7">
        <w:rPr>
          <w:rFonts w:ascii="Calibri" w:eastAsia="Calibri" w:hAnsi="Calibri" w:cs="Calibri"/>
          <w:sz w:val="16"/>
          <w:szCs w:val="16"/>
        </w:rPr>
        <w:t xml:space="preserve">Vondrák, T., Kučera </w:t>
      </w:r>
      <w:proofErr w:type="spellStart"/>
      <w:proofErr w:type="gramStart"/>
      <w:r w:rsidR="6C54F3A7" w:rsidRPr="6C54F3A7">
        <w:rPr>
          <w:rFonts w:ascii="Calibri" w:eastAsia="Calibri" w:hAnsi="Calibri" w:cs="Calibri"/>
          <w:sz w:val="16"/>
          <w:szCs w:val="16"/>
        </w:rPr>
        <w:t>Zd</w:t>
      </w:r>
      <w:proofErr w:type="spellEnd"/>
      <w:r w:rsidR="6C54F3A7" w:rsidRPr="6C54F3A7">
        <w:rPr>
          <w:rFonts w:ascii="Calibri" w:eastAsia="Calibri" w:hAnsi="Calibri" w:cs="Calibri"/>
          <w:sz w:val="16"/>
          <w:szCs w:val="16"/>
        </w:rPr>
        <w:t>..</w:t>
      </w:r>
      <w:proofErr w:type="gramEnd"/>
      <w:r w:rsidR="6C54F3A7" w:rsidRPr="6C54F3A7">
        <w:rPr>
          <w:rFonts w:ascii="Calibri" w:eastAsia="Calibri" w:hAnsi="Calibri" w:cs="Calibri"/>
          <w:sz w:val="16"/>
          <w:szCs w:val="16"/>
        </w:rPr>
        <w:t xml:space="preserve">, Pazour M.: Posouzení zaměření zdravotního </w:t>
      </w:r>
      <w:proofErr w:type="spellStart"/>
      <w:r w:rsidR="6C54F3A7" w:rsidRPr="6C54F3A7">
        <w:rPr>
          <w:rFonts w:ascii="Calibri" w:eastAsia="Calibri" w:hAnsi="Calibri" w:cs="Calibri"/>
          <w:sz w:val="16"/>
          <w:szCs w:val="16"/>
        </w:rPr>
        <w:t>VaV</w:t>
      </w:r>
      <w:proofErr w:type="spellEnd"/>
      <w:r w:rsidR="6C54F3A7" w:rsidRPr="6C54F3A7">
        <w:rPr>
          <w:rFonts w:ascii="Calibri" w:eastAsia="Calibri" w:hAnsi="Calibri" w:cs="Calibri"/>
          <w:sz w:val="16"/>
          <w:szCs w:val="16"/>
        </w:rPr>
        <w:t xml:space="preserve"> na základě </w:t>
      </w:r>
      <w:proofErr w:type="spellStart"/>
      <w:r w:rsidR="6C54F3A7" w:rsidRPr="6C54F3A7">
        <w:rPr>
          <w:rFonts w:ascii="Calibri" w:eastAsia="Calibri" w:hAnsi="Calibri" w:cs="Calibri"/>
          <w:sz w:val="16"/>
          <w:szCs w:val="16"/>
        </w:rPr>
        <w:t>bibliometrické</w:t>
      </w:r>
      <w:proofErr w:type="spellEnd"/>
      <w:r w:rsidR="6C54F3A7" w:rsidRPr="6C54F3A7">
        <w:rPr>
          <w:rFonts w:ascii="Calibri" w:eastAsia="Calibri" w:hAnsi="Calibri" w:cs="Calibri"/>
          <w:sz w:val="16"/>
          <w:szCs w:val="16"/>
        </w:rPr>
        <w:t xml:space="preserve"> analýzy publikací ve vybraných lékařských a příbuzných oborech. Technologické centrum AV ČR, únor 2021. </w:t>
      </w:r>
      <w:bookmarkStart w:id="1" w:name="_Hlk66214747"/>
      <w:r w:rsidR="6C54F3A7" w:rsidRPr="6C54F3A7">
        <w:rPr>
          <w:rFonts w:ascii="Calibri" w:eastAsia="Calibri" w:hAnsi="Calibri" w:cs="Calibri"/>
          <w:sz w:val="16"/>
          <w:szCs w:val="16"/>
        </w:rPr>
        <w:t xml:space="preserve">Kučera </w:t>
      </w:r>
      <w:proofErr w:type="spellStart"/>
      <w:r w:rsidR="6C54F3A7" w:rsidRPr="6C54F3A7">
        <w:rPr>
          <w:rFonts w:ascii="Calibri" w:eastAsia="Calibri" w:hAnsi="Calibri" w:cs="Calibri"/>
          <w:sz w:val="16"/>
          <w:szCs w:val="16"/>
        </w:rPr>
        <w:t>Zd</w:t>
      </w:r>
      <w:proofErr w:type="spellEnd"/>
      <w:r w:rsidR="6C54F3A7" w:rsidRPr="6C54F3A7">
        <w:rPr>
          <w:rFonts w:ascii="Calibri" w:eastAsia="Calibri" w:hAnsi="Calibri" w:cs="Calibri"/>
          <w:sz w:val="16"/>
          <w:szCs w:val="16"/>
        </w:rPr>
        <w:t xml:space="preserve">., Vondrák T., Pecha O.: Posouzení kapacit a zaměření zdravotního </w:t>
      </w:r>
      <w:proofErr w:type="spellStart"/>
      <w:r w:rsidR="6C54F3A7" w:rsidRPr="6C54F3A7">
        <w:rPr>
          <w:rFonts w:ascii="Calibri" w:eastAsia="Calibri" w:hAnsi="Calibri" w:cs="Calibri"/>
          <w:sz w:val="16"/>
          <w:szCs w:val="16"/>
        </w:rPr>
        <w:t>VaV</w:t>
      </w:r>
      <w:proofErr w:type="spellEnd"/>
      <w:r w:rsidR="6C54F3A7" w:rsidRPr="6C54F3A7">
        <w:rPr>
          <w:rFonts w:ascii="Calibri" w:eastAsia="Calibri" w:hAnsi="Calibri" w:cs="Calibri"/>
          <w:sz w:val="16"/>
          <w:szCs w:val="16"/>
        </w:rPr>
        <w:t xml:space="preserve"> na základě analýzy účasti v národních programech </w:t>
      </w:r>
      <w:proofErr w:type="spellStart"/>
      <w:r w:rsidR="6C54F3A7" w:rsidRPr="6C54F3A7">
        <w:rPr>
          <w:rFonts w:ascii="Calibri" w:eastAsia="Calibri" w:hAnsi="Calibri" w:cs="Calibri"/>
          <w:sz w:val="16"/>
          <w:szCs w:val="16"/>
        </w:rPr>
        <w:t>VaV</w:t>
      </w:r>
      <w:proofErr w:type="spellEnd"/>
      <w:r w:rsidR="6C54F3A7" w:rsidRPr="6C54F3A7">
        <w:rPr>
          <w:rFonts w:ascii="Calibri" w:eastAsia="Calibri" w:hAnsi="Calibri" w:cs="Calibri"/>
          <w:sz w:val="16"/>
          <w:szCs w:val="16"/>
        </w:rPr>
        <w:t xml:space="preserve"> a Horizontu 2020. Technologické centrum AV ČR, listopad 2020.</w:t>
      </w:r>
      <w:bookmarkEnd w:id="1"/>
    </w:p>
  </w:footnote>
  <w:footnote w:id="11">
    <w:p w14:paraId="24069C68" w14:textId="55A3265F" w:rsidR="008A42B9" w:rsidRPr="00992741" w:rsidRDefault="008A42B9" w:rsidP="6C54F3A7">
      <w:pPr>
        <w:pStyle w:val="Textpoznpodarou"/>
        <w:tabs>
          <w:tab w:val="left" w:pos="284"/>
        </w:tabs>
        <w:jc w:val="both"/>
        <w:rPr>
          <w:rFonts w:ascii="Times New Roman" w:hAnsi="Times New Roman" w:cs="Times New Roman"/>
          <w:sz w:val="18"/>
          <w:szCs w:val="18"/>
        </w:rPr>
      </w:pPr>
      <w:r w:rsidRPr="6C54F3A7">
        <w:rPr>
          <w:rStyle w:val="Znakapoznpodarou"/>
          <w:rFonts w:ascii="Calibri" w:eastAsia="Calibri" w:hAnsi="Calibri" w:cs="Calibri"/>
          <w:sz w:val="16"/>
          <w:szCs w:val="16"/>
        </w:rPr>
        <w:footnoteRef/>
      </w:r>
      <w:r w:rsidR="6C54F3A7" w:rsidRPr="6C54F3A7">
        <w:rPr>
          <w:rFonts w:ascii="Calibri" w:eastAsia="Calibri" w:hAnsi="Calibri" w:cs="Calibri"/>
          <w:sz w:val="16"/>
          <w:szCs w:val="16"/>
        </w:rPr>
        <w:t>)</w:t>
      </w:r>
      <w:r>
        <w:tab/>
      </w:r>
      <w:r w:rsidR="6C54F3A7" w:rsidRPr="6C54F3A7">
        <w:rPr>
          <w:rFonts w:ascii="Calibri" w:eastAsia="Calibri" w:hAnsi="Calibri" w:cs="Calibri"/>
          <w:sz w:val="16"/>
          <w:szCs w:val="16"/>
        </w:rPr>
        <w:t xml:space="preserve">Identifikace byla provedena </w:t>
      </w:r>
      <w:proofErr w:type="spellStart"/>
      <w:r w:rsidR="6C54F3A7" w:rsidRPr="6C54F3A7">
        <w:rPr>
          <w:rFonts w:ascii="Calibri" w:eastAsia="Calibri" w:hAnsi="Calibri" w:cs="Calibri"/>
          <w:sz w:val="16"/>
          <w:szCs w:val="16"/>
        </w:rPr>
        <w:t>bibliometrickými</w:t>
      </w:r>
      <w:proofErr w:type="spellEnd"/>
      <w:r w:rsidR="6C54F3A7" w:rsidRPr="6C54F3A7">
        <w:rPr>
          <w:rFonts w:ascii="Calibri" w:eastAsia="Calibri" w:hAnsi="Calibri" w:cs="Calibri"/>
          <w:sz w:val="16"/>
          <w:szCs w:val="16"/>
        </w:rPr>
        <w:t xml:space="preserve"> a analytickými studiemi technologickým centrem AV ČR (Vondrák, T., Kučera </w:t>
      </w:r>
      <w:proofErr w:type="spellStart"/>
      <w:proofErr w:type="gramStart"/>
      <w:r w:rsidR="6C54F3A7" w:rsidRPr="6C54F3A7">
        <w:rPr>
          <w:rFonts w:ascii="Calibri" w:eastAsia="Calibri" w:hAnsi="Calibri" w:cs="Calibri"/>
          <w:sz w:val="16"/>
          <w:szCs w:val="16"/>
        </w:rPr>
        <w:t>Zd</w:t>
      </w:r>
      <w:proofErr w:type="spellEnd"/>
      <w:r w:rsidR="6C54F3A7" w:rsidRPr="6C54F3A7">
        <w:rPr>
          <w:rFonts w:ascii="Calibri" w:eastAsia="Calibri" w:hAnsi="Calibri" w:cs="Calibri"/>
          <w:sz w:val="16"/>
          <w:szCs w:val="16"/>
        </w:rPr>
        <w:t>..</w:t>
      </w:r>
      <w:proofErr w:type="gramEnd"/>
      <w:r w:rsidR="6C54F3A7" w:rsidRPr="6C54F3A7">
        <w:rPr>
          <w:rFonts w:ascii="Calibri" w:eastAsia="Calibri" w:hAnsi="Calibri" w:cs="Calibri"/>
          <w:sz w:val="16"/>
          <w:szCs w:val="16"/>
        </w:rPr>
        <w:t xml:space="preserve">, Pazour M.: Posouzení zaměření zdravotního </w:t>
      </w:r>
      <w:proofErr w:type="spellStart"/>
      <w:r w:rsidR="6C54F3A7" w:rsidRPr="6C54F3A7">
        <w:rPr>
          <w:rFonts w:ascii="Calibri" w:eastAsia="Calibri" w:hAnsi="Calibri" w:cs="Calibri"/>
          <w:sz w:val="16"/>
          <w:szCs w:val="16"/>
        </w:rPr>
        <w:t>VaV</w:t>
      </w:r>
      <w:proofErr w:type="spellEnd"/>
      <w:r w:rsidR="6C54F3A7" w:rsidRPr="6C54F3A7">
        <w:rPr>
          <w:rFonts w:ascii="Calibri" w:eastAsia="Calibri" w:hAnsi="Calibri" w:cs="Calibri"/>
          <w:sz w:val="16"/>
          <w:szCs w:val="16"/>
        </w:rPr>
        <w:t xml:space="preserve"> na základě </w:t>
      </w:r>
      <w:proofErr w:type="spellStart"/>
      <w:r w:rsidR="6C54F3A7" w:rsidRPr="6C54F3A7">
        <w:rPr>
          <w:rFonts w:ascii="Calibri" w:eastAsia="Calibri" w:hAnsi="Calibri" w:cs="Calibri"/>
          <w:sz w:val="16"/>
          <w:szCs w:val="16"/>
        </w:rPr>
        <w:t>bibliometrické</w:t>
      </w:r>
      <w:proofErr w:type="spellEnd"/>
      <w:r w:rsidR="6C54F3A7" w:rsidRPr="6C54F3A7">
        <w:rPr>
          <w:rFonts w:ascii="Calibri" w:eastAsia="Calibri" w:hAnsi="Calibri" w:cs="Calibri"/>
          <w:sz w:val="16"/>
          <w:szCs w:val="16"/>
        </w:rPr>
        <w:t xml:space="preserve"> analýzy publikací ve vybraných lékařských a příbuzných oborech. Technologické centrum AV ČR, únor 2021, Kučera </w:t>
      </w:r>
      <w:proofErr w:type="spellStart"/>
      <w:r w:rsidR="6C54F3A7" w:rsidRPr="6C54F3A7">
        <w:rPr>
          <w:rFonts w:ascii="Calibri" w:eastAsia="Calibri" w:hAnsi="Calibri" w:cs="Calibri"/>
          <w:sz w:val="16"/>
          <w:szCs w:val="16"/>
        </w:rPr>
        <w:t>Zd</w:t>
      </w:r>
      <w:proofErr w:type="spellEnd"/>
      <w:r w:rsidR="6C54F3A7" w:rsidRPr="6C54F3A7">
        <w:rPr>
          <w:rFonts w:ascii="Calibri" w:eastAsia="Calibri" w:hAnsi="Calibri" w:cs="Calibri"/>
          <w:sz w:val="16"/>
          <w:szCs w:val="16"/>
        </w:rPr>
        <w:t xml:space="preserve">., Vondrák T., Pecha O.: Posouzení kapacit a zaměření zdravotního </w:t>
      </w:r>
      <w:proofErr w:type="spellStart"/>
      <w:r w:rsidR="6C54F3A7" w:rsidRPr="6C54F3A7">
        <w:rPr>
          <w:rFonts w:ascii="Calibri" w:eastAsia="Calibri" w:hAnsi="Calibri" w:cs="Calibri"/>
          <w:sz w:val="16"/>
          <w:szCs w:val="16"/>
        </w:rPr>
        <w:t>VaV</w:t>
      </w:r>
      <w:proofErr w:type="spellEnd"/>
      <w:r w:rsidR="6C54F3A7" w:rsidRPr="6C54F3A7">
        <w:rPr>
          <w:rFonts w:ascii="Calibri" w:eastAsia="Calibri" w:hAnsi="Calibri" w:cs="Calibri"/>
          <w:sz w:val="16"/>
          <w:szCs w:val="16"/>
        </w:rPr>
        <w:t xml:space="preserve"> na základě analýzy účasti v národních programech </w:t>
      </w:r>
      <w:proofErr w:type="spellStart"/>
      <w:r w:rsidR="6C54F3A7" w:rsidRPr="6C54F3A7">
        <w:rPr>
          <w:rFonts w:ascii="Calibri" w:eastAsia="Calibri" w:hAnsi="Calibri" w:cs="Calibri"/>
          <w:sz w:val="16"/>
          <w:szCs w:val="16"/>
        </w:rPr>
        <w:t>VaV</w:t>
      </w:r>
      <w:proofErr w:type="spellEnd"/>
      <w:r w:rsidR="6C54F3A7" w:rsidRPr="6C54F3A7">
        <w:rPr>
          <w:rFonts w:ascii="Calibri" w:eastAsia="Calibri" w:hAnsi="Calibri" w:cs="Calibri"/>
          <w:sz w:val="16"/>
          <w:szCs w:val="16"/>
        </w:rPr>
        <w:t xml:space="preserve"> a Horizontu 2020. Technologické centrum AV ČR, listopad 2020), dále na základě spoluautorství vyplývajících z </w:t>
      </w:r>
      <w:proofErr w:type="spellStart"/>
      <w:r w:rsidR="6C54F3A7" w:rsidRPr="6C54F3A7">
        <w:rPr>
          <w:rFonts w:ascii="Calibri" w:eastAsia="Calibri" w:hAnsi="Calibri" w:cs="Calibri"/>
          <w:sz w:val="16"/>
          <w:szCs w:val="16"/>
        </w:rPr>
        <w:t>bibliometrických</w:t>
      </w:r>
      <w:proofErr w:type="spellEnd"/>
      <w:r w:rsidR="6C54F3A7" w:rsidRPr="6C54F3A7">
        <w:rPr>
          <w:rFonts w:ascii="Calibri" w:eastAsia="Calibri" w:hAnsi="Calibri" w:cs="Calibri"/>
          <w:sz w:val="16"/>
          <w:szCs w:val="16"/>
        </w:rPr>
        <w:t xml:space="preserve"> dat Web </w:t>
      </w:r>
      <w:proofErr w:type="spellStart"/>
      <w:r w:rsidR="6C54F3A7" w:rsidRPr="6C54F3A7">
        <w:rPr>
          <w:rFonts w:ascii="Calibri" w:eastAsia="Calibri" w:hAnsi="Calibri" w:cs="Calibri"/>
          <w:sz w:val="16"/>
          <w:szCs w:val="16"/>
        </w:rPr>
        <w:t>of</w:t>
      </w:r>
      <w:proofErr w:type="spellEnd"/>
      <w:r w:rsidR="6C54F3A7" w:rsidRPr="6C54F3A7">
        <w:rPr>
          <w:rFonts w:ascii="Calibri" w:eastAsia="Calibri" w:hAnsi="Calibri" w:cs="Calibri"/>
          <w:sz w:val="16"/>
          <w:szCs w:val="16"/>
        </w:rPr>
        <w:t xml:space="preserve"> Science nebo z projektové spolupráce patrné z dat </w:t>
      </w:r>
      <w:proofErr w:type="spellStart"/>
      <w:r w:rsidR="6C54F3A7" w:rsidRPr="6C54F3A7">
        <w:rPr>
          <w:rFonts w:ascii="Calibri" w:eastAsia="Calibri" w:hAnsi="Calibri" w:cs="Calibri"/>
          <w:sz w:val="16"/>
          <w:szCs w:val="16"/>
        </w:rPr>
        <w:t>ISVaVaI</w:t>
      </w:r>
      <w:proofErr w:type="spellEnd"/>
      <w:r w:rsidR="6C54F3A7" w:rsidRPr="6C54F3A7">
        <w:rPr>
          <w:rFonts w:ascii="Calibri" w:eastAsia="Calibri" w:hAnsi="Calibri" w:cs="Calibri"/>
          <w:sz w:val="16"/>
          <w:szCs w:val="16"/>
        </w:rPr>
        <w:t xml:space="preserve"> (Informačního systému výzkumu a vývoje ČR spravovaného celostátně Radou vlády pro výzkum, vývoj a inovace www.isvavai.cz). Výroční „Analýza stavu </w:t>
      </w:r>
      <w:proofErr w:type="spellStart"/>
      <w:r w:rsidR="6C54F3A7" w:rsidRPr="6C54F3A7">
        <w:rPr>
          <w:rFonts w:ascii="Calibri" w:eastAsia="Calibri" w:hAnsi="Calibri" w:cs="Calibri"/>
          <w:sz w:val="16"/>
          <w:szCs w:val="16"/>
        </w:rPr>
        <w:t>VaVaI</w:t>
      </w:r>
      <w:proofErr w:type="spellEnd"/>
      <w:r w:rsidR="6C54F3A7" w:rsidRPr="6C54F3A7">
        <w:rPr>
          <w:rFonts w:ascii="Calibri" w:eastAsia="Calibri" w:hAnsi="Calibri" w:cs="Calibri"/>
          <w:sz w:val="16"/>
          <w:szCs w:val="16"/>
        </w:rPr>
        <w:t xml:space="preserve"> v ČR a jejich srovnání se zahraničím“, předkládaná RVVI vládě pro informaci lednu 2019 (https://www.vyzkum.cz/FrontClanek.aspx?idsekce=677142 ) nebo Zpráva o hodnocení plnění opatření NP </w:t>
      </w:r>
      <w:proofErr w:type="spellStart"/>
      <w:r w:rsidR="6C54F3A7" w:rsidRPr="6C54F3A7">
        <w:rPr>
          <w:rFonts w:ascii="Calibri" w:eastAsia="Calibri" w:hAnsi="Calibri" w:cs="Calibri"/>
          <w:sz w:val="16"/>
          <w:szCs w:val="16"/>
        </w:rPr>
        <w:t>VaVaI</w:t>
      </w:r>
      <w:proofErr w:type="spellEnd"/>
      <w:r w:rsidR="6C54F3A7" w:rsidRPr="6C54F3A7">
        <w:rPr>
          <w:rFonts w:ascii="Calibri" w:eastAsia="Calibri" w:hAnsi="Calibri" w:cs="Calibri"/>
          <w:sz w:val="16"/>
          <w:szCs w:val="16"/>
        </w:rPr>
        <w:t xml:space="preserve">, která byla schválena usnesením vlády ze dne 8. února 2019 č. 115. Viz též výsledky hodnocení RVVI podle Metodiky 17+ na národní úrovni (https://www.vyzkum.cz/FrontClanek.aspx?idsekce=847179 a https://hodnoceni18.rvvi.cz/www/biblio-obory) nebo vyhodnocení oborová publikační výkonnosti pracovišť výzkumných organizací v České republice v roce 2017 nástrojem CERGE „IDEA </w:t>
      </w:r>
      <w:proofErr w:type="spellStart"/>
      <w:r w:rsidR="6C54F3A7" w:rsidRPr="6C54F3A7">
        <w:rPr>
          <w:rFonts w:ascii="Calibri" w:eastAsia="Calibri" w:hAnsi="Calibri" w:cs="Calibri"/>
          <w:sz w:val="16"/>
          <w:szCs w:val="16"/>
        </w:rPr>
        <w:t>think</w:t>
      </w:r>
      <w:proofErr w:type="spellEnd"/>
      <w:r w:rsidR="6C54F3A7" w:rsidRPr="6C54F3A7">
        <w:rPr>
          <w:rFonts w:ascii="Calibri" w:eastAsia="Calibri" w:hAnsi="Calibri" w:cs="Calibri"/>
          <w:sz w:val="16"/>
          <w:szCs w:val="16"/>
        </w:rPr>
        <w:t xml:space="preserve">-tank“ (https://ideaapps.cerge-ei.cz/Performance2017/). </w:t>
      </w:r>
    </w:p>
  </w:footnote>
  <w:footnote w:id="12">
    <w:p w14:paraId="346C5F30" w14:textId="132AFAFE" w:rsidR="008A42B9" w:rsidRPr="00992741" w:rsidRDefault="008A42B9" w:rsidP="6C54F3A7">
      <w:pPr>
        <w:pStyle w:val="Textpoznpodarou"/>
        <w:jc w:val="both"/>
        <w:rPr>
          <w:rStyle w:val="Znakapoznpodarou"/>
          <w:rFonts w:ascii="Times New Roman" w:hAnsi="Times New Roman" w:cs="Times New Roman"/>
        </w:rPr>
      </w:pPr>
      <w:r w:rsidRPr="6C54F3A7">
        <w:rPr>
          <w:rStyle w:val="Znakapoznpodarou"/>
          <w:rFonts w:ascii="Calibri" w:eastAsia="Calibri" w:hAnsi="Calibri" w:cs="Calibri"/>
          <w:sz w:val="16"/>
          <w:szCs w:val="16"/>
        </w:rPr>
        <w:footnoteRef/>
      </w:r>
      <w:r w:rsidR="6C54F3A7" w:rsidRPr="6C54F3A7">
        <w:rPr>
          <w:rFonts w:ascii="Calibri" w:eastAsia="Calibri" w:hAnsi="Calibri" w:cs="Calibri"/>
          <w:sz w:val="16"/>
          <w:szCs w:val="16"/>
        </w:rPr>
        <w:t>)</w:t>
      </w:r>
      <w:r>
        <w:tab/>
      </w:r>
      <w:r w:rsidR="6C54F3A7" w:rsidRPr="6C54F3A7">
        <w:rPr>
          <w:rFonts w:ascii="Calibri" w:eastAsia="Calibri" w:hAnsi="Calibri" w:cs="Calibri"/>
          <w:sz w:val="16"/>
          <w:szCs w:val="16"/>
        </w:rPr>
        <w:t>Zákon č. 130/2002 Sb., o podpoře výzkumu, experimentálního vývoje a inovací z veřejných prostředků a o změně některých souvisejících zákonů (zákon o podpoře výzkumu, experimentálního vývoje a inovací), ve znění pozdějších předpisů (dále jen zák. č. 130/2002 Sb.)</w:t>
      </w:r>
      <w:r w:rsidR="6C54F3A7" w:rsidRPr="6C54F3A7">
        <w:rPr>
          <w:rStyle w:val="Znakapoznpodarou"/>
          <w:rFonts w:ascii="Calibri" w:eastAsia="Calibri" w:hAnsi="Calibri" w:cs="Calibri"/>
          <w:sz w:val="16"/>
          <w:szCs w:val="16"/>
        </w:rPr>
        <w:t xml:space="preserve"> </w:t>
      </w:r>
    </w:p>
  </w:footnote>
  <w:footnote w:id="13">
    <w:p w14:paraId="0D4CCE09" w14:textId="5393ADF6" w:rsidR="008A42B9" w:rsidRDefault="008A42B9" w:rsidP="6C54F3A7">
      <w:pPr>
        <w:pStyle w:val="Textpoznpodarou"/>
        <w:jc w:val="both"/>
      </w:pPr>
      <w:r w:rsidRPr="6C54F3A7">
        <w:rPr>
          <w:rStyle w:val="Znakapoznpodarou"/>
          <w:rFonts w:ascii="Calibri" w:eastAsia="Calibri" w:hAnsi="Calibri" w:cs="Calibri"/>
          <w:sz w:val="16"/>
          <w:szCs w:val="16"/>
        </w:rPr>
        <w:footnoteRef/>
      </w:r>
      <w:r w:rsidR="6C54F3A7" w:rsidRPr="6C54F3A7">
        <w:rPr>
          <w:rFonts w:ascii="Calibri" w:eastAsia="Calibri" w:hAnsi="Calibri" w:cs="Calibri"/>
          <w:sz w:val="16"/>
          <w:szCs w:val="16"/>
        </w:rPr>
        <w:t>)</w:t>
      </w:r>
      <w:r w:rsidRPr="00992741">
        <w:rPr>
          <w:rFonts w:ascii="Times New Roman" w:hAnsi="Times New Roman" w:cs="Times New Roman"/>
          <w:sz w:val="18"/>
          <w:szCs w:val="18"/>
        </w:rPr>
        <w:tab/>
      </w:r>
      <w:r w:rsidR="6C54F3A7" w:rsidRPr="6C54F3A7">
        <w:rPr>
          <w:rFonts w:ascii="Calibri" w:eastAsia="Calibri" w:hAnsi="Calibri" w:cs="Calibri"/>
          <w:sz w:val="16"/>
          <w:szCs w:val="16"/>
        </w:rPr>
        <w:t xml:space="preserve">Např. formou zřízení odborných vědeckých a dozorčích rad (International </w:t>
      </w:r>
      <w:proofErr w:type="spellStart"/>
      <w:r w:rsidR="6C54F3A7" w:rsidRPr="6C54F3A7">
        <w:rPr>
          <w:rFonts w:ascii="Calibri" w:eastAsia="Calibri" w:hAnsi="Calibri" w:cs="Calibri"/>
          <w:sz w:val="16"/>
          <w:szCs w:val="16"/>
        </w:rPr>
        <w:t>supervisory</w:t>
      </w:r>
      <w:proofErr w:type="spellEnd"/>
      <w:r w:rsidR="6C54F3A7" w:rsidRPr="6C54F3A7">
        <w:rPr>
          <w:rFonts w:ascii="Calibri" w:eastAsia="Calibri" w:hAnsi="Calibri" w:cs="Calibri"/>
          <w:sz w:val="16"/>
          <w:szCs w:val="16"/>
        </w:rPr>
        <w:t xml:space="preserve"> and </w:t>
      </w:r>
      <w:proofErr w:type="spellStart"/>
      <w:r w:rsidR="6C54F3A7" w:rsidRPr="6C54F3A7">
        <w:rPr>
          <w:rFonts w:ascii="Calibri" w:eastAsia="Calibri" w:hAnsi="Calibri" w:cs="Calibri"/>
          <w:sz w:val="16"/>
          <w:szCs w:val="16"/>
        </w:rPr>
        <w:t>advisory</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boards</w:t>
      </w:r>
      <w:proofErr w:type="spellEnd"/>
      <w:r w:rsidR="6C54F3A7" w:rsidRPr="6C54F3A7">
        <w:rPr>
          <w:rFonts w:ascii="Calibri" w:eastAsia="Calibri" w:hAnsi="Calibri" w:cs="Calibri"/>
          <w:sz w:val="16"/>
          <w:szCs w:val="16"/>
        </w:rPr>
        <w:t>).</w:t>
      </w:r>
    </w:p>
  </w:footnote>
  <w:footnote w:id="14">
    <w:p w14:paraId="690560EE" w14:textId="7B0645ED" w:rsidR="008A42B9" w:rsidRPr="00992741" w:rsidRDefault="008A42B9" w:rsidP="6C54F3A7">
      <w:pPr>
        <w:pStyle w:val="Textpoznpodarou"/>
        <w:jc w:val="both"/>
        <w:rPr>
          <w:rFonts w:ascii="Times New Roman" w:hAnsi="Times New Roman" w:cs="Times New Roman"/>
          <w:sz w:val="18"/>
          <w:szCs w:val="18"/>
        </w:rPr>
      </w:pPr>
      <w:r w:rsidRPr="6C54F3A7">
        <w:rPr>
          <w:rStyle w:val="Znakapoznpodarou"/>
          <w:rFonts w:ascii="Calibri" w:eastAsia="Calibri" w:hAnsi="Calibri" w:cs="Calibri"/>
          <w:sz w:val="16"/>
          <w:szCs w:val="16"/>
        </w:rPr>
        <w:footnoteRef/>
      </w:r>
      <w:r w:rsidR="6C54F3A7" w:rsidRPr="6C54F3A7">
        <w:rPr>
          <w:rFonts w:ascii="Calibri" w:eastAsia="Calibri" w:hAnsi="Calibri" w:cs="Calibri"/>
          <w:sz w:val="16"/>
          <w:szCs w:val="16"/>
        </w:rPr>
        <w:t>)</w:t>
      </w:r>
      <w:r w:rsidRPr="00992741">
        <w:rPr>
          <w:rFonts w:ascii="Times New Roman" w:hAnsi="Times New Roman" w:cs="Times New Roman"/>
          <w:sz w:val="18"/>
          <w:szCs w:val="18"/>
        </w:rPr>
        <w:tab/>
      </w:r>
      <w:r w:rsidR="6C54F3A7" w:rsidRPr="6C54F3A7">
        <w:rPr>
          <w:rFonts w:ascii="Calibri" w:eastAsia="Calibri" w:hAnsi="Calibri" w:cs="Calibri"/>
          <w:sz w:val="16"/>
          <w:szCs w:val="16"/>
        </w:rPr>
        <w:t xml:space="preserve">Nařízení Komise (EU) č. 651/2014 ze dne 17. června 2014, kterým se v souladu s články 107 a 108 Smlouvy prohlašují určité kategorie podpory za slučitelné s vnitřním trhem, ve znění Nařízení Komise (EU) 2017/1084 ze dne 14. června 2017 a ve znění Nařízení Komise (EU) 2020/972 ze dne 2. července 2020, kterým se mění nařízení (EU) č. 1407/2013, pokud jde o jeho prodloužení, a nařízení (EU) č. 651/2014, pokud jde o jeho prodloužení a příslušné úpravy (Text s významem pro EHP) C/2020/4349, popř. jeho novela platná v době vyhlášení veřejné soutěže programu (dále jen GBER).  </w:t>
      </w:r>
    </w:p>
  </w:footnote>
  <w:footnote w:id="15">
    <w:p w14:paraId="417BC73D" w14:textId="7D3DF240" w:rsidR="008A42B9" w:rsidRDefault="008A42B9" w:rsidP="6C54F3A7">
      <w:pPr>
        <w:tabs>
          <w:tab w:val="left" w:pos="142"/>
        </w:tabs>
        <w:spacing w:after="0" w:line="240" w:lineRule="auto"/>
        <w:rPr>
          <w:rFonts w:ascii="Calibri Light" w:eastAsia="Calibri Light" w:hAnsi="Calibri Light" w:cs="Calibri Light"/>
        </w:rPr>
      </w:pPr>
      <w:r w:rsidRPr="6C54F3A7">
        <w:rPr>
          <w:rFonts w:ascii="Calibri" w:eastAsia="Calibri" w:hAnsi="Calibri" w:cs="Calibri"/>
          <w:sz w:val="16"/>
          <w:szCs w:val="16"/>
          <w:vertAlign w:val="superscript"/>
        </w:rPr>
        <w:footnoteRef/>
      </w:r>
      <w:r w:rsidR="6C54F3A7" w:rsidRPr="6C54F3A7">
        <w:rPr>
          <w:rFonts w:ascii="Calibri" w:eastAsia="Calibri" w:hAnsi="Calibri" w:cs="Calibri"/>
          <w:sz w:val="16"/>
          <w:szCs w:val="16"/>
        </w:rPr>
        <w:t xml:space="preserve">) </w:t>
      </w:r>
      <w:r>
        <w:rPr>
          <w:rFonts w:ascii="Calibri Light" w:eastAsia="Calibri Light" w:hAnsi="Calibri Light" w:cs="Calibri Light"/>
        </w:rPr>
        <w:tab/>
      </w:r>
      <w:r w:rsidR="6C54F3A7" w:rsidRPr="6C54F3A7">
        <w:rPr>
          <w:rFonts w:ascii="Calibri" w:eastAsia="Calibri" w:hAnsi="Calibri" w:cs="Calibri"/>
          <w:sz w:val="16"/>
          <w:szCs w:val="16"/>
        </w:rPr>
        <w:t xml:space="preserve">Sdělení </w:t>
      </w:r>
      <w:proofErr w:type="gramStart"/>
      <w:r w:rsidR="6C54F3A7" w:rsidRPr="6C54F3A7">
        <w:rPr>
          <w:rFonts w:ascii="Calibri" w:eastAsia="Calibri" w:hAnsi="Calibri" w:cs="Calibri"/>
          <w:sz w:val="16"/>
          <w:szCs w:val="16"/>
        </w:rPr>
        <w:t>Komise - Rámec</w:t>
      </w:r>
      <w:proofErr w:type="gramEnd"/>
      <w:r w:rsidR="6C54F3A7" w:rsidRPr="6C54F3A7">
        <w:rPr>
          <w:rFonts w:ascii="Calibri" w:eastAsia="Calibri" w:hAnsi="Calibri" w:cs="Calibri"/>
          <w:sz w:val="16"/>
          <w:szCs w:val="16"/>
        </w:rPr>
        <w:t xml:space="preserve"> pro státní podporu výzkumu, vývoje a inovací – Úřední věstník Evropské unie C 198, ze dne 27. června 2014 </w:t>
      </w:r>
    </w:p>
  </w:footnote>
  <w:footnote w:id="16">
    <w:p w14:paraId="342404AF" w14:textId="49B543E9" w:rsidR="008A42B9" w:rsidRPr="00A302AB" w:rsidRDefault="008A42B9" w:rsidP="6C54F3A7">
      <w:pPr>
        <w:pStyle w:val="Textpoznpodarou"/>
        <w:rPr>
          <w:rFonts w:ascii="Times New Roman" w:hAnsi="Times New Roman" w:cs="Times New Roman"/>
          <w:color w:val="auto"/>
          <w:sz w:val="18"/>
          <w:szCs w:val="18"/>
        </w:rPr>
      </w:pPr>
      <w:r w:rsidRPr="6C54F3A7">
        <w:rPr>
          <w:rStyle w:val="Znakapoznpodarou"/>
          <w:rFonts w:ascii="Calibri" w:eastAsia="Calibri" w:hAnsi="Calibri" w:cs="Calibri"/>
          <w:color w:val="auto"/>
          <w:sz w:val="16"/>
          <w:szCs w:val="16"/>
        </w:rPr>
        <w:footnoteRef/>
      </w:r>
      <w:r w:rsidR="6C54F3A7" w:rsidRPr="6C54F3A7">
        <w:rPr>
          <w:rFonts w:ascii="Calibri" w:eastAsia="Calibri" w:hAnsi="Calibri" w:cs="Calibri"/>
          <w:color w:val="auto"/>
          <w:sz w:val="16"/>
          <w:szCs w:val="16"/>
        </w:rPr>
        <w:t xml:space="preserve">) Např. </w:t>
      </w:r>
      <w:hyperlink r:id="rId12" w:history="1">
        <w:r w:rsidR="6C54F3A7" w:rsidRPr="6C54F3A7">
          <w:rPr>
            <w:rStyle w:val="Hypertextovodkaz"/>
            <w:rFonts w:ascii="Calibri" w:eastAsia="Calibri" w:hAnsi="Calibri" w:cs="Calibri"/>
            <w:color w:val="auto"/>
            <w:sz w:val="16"/>
            <w:szCs w:val="16"/>
          </w:rPr>
          <w:t>https://www.mpg.de/institutes</w:t>
        </w:r>
      </w:hyperlink>
      <w:r w:rsidR="6C54F3A7" w:rsidRPr="6C54F3A7">
        <w:rPr>
          <w:rFonts w:ascii="Calibri" w:eastAsia="Calibri" w:hAnsi="Calibri" w:cs="Calibri"/>
          <w:color w:val="auto"/>
          <w:sz w:val="16"/>
          <w:szCs w:val="16"/>
        </w:rPr>
        <w:t xml:space="preserve"> , nebo </w:t>
      </w:r>
      <w:hyperlink r:id="rId13" w:history="1">
        <w:r w:rsidR="6C54F3A7" w:rsidRPr="6C54F3A7">
          <w:rPr>
            <w:rStyle w:val="Hypertextovodkaz"/>
            <w:rFonts w:ascii="Calibri" w:eastAsia="Calibri" w:hAnsi="Calibri" w:cs="Calibri"/>
            <w:color w:val="auto"/>
            <w:sz w:val="16"/>
            <w:szCs w:val="16"/>
          </w:rPr>
          <w:t>https://www.fraunhofer.de/en/institutes.html</w:t>
        </w:r>
      </w:hyperlink>
      <w:r w:rsidR="6C54F3A7" w:rsidRPr="6C54F3A7">
        <w:rPr>
          <w:rFonts w:ascii="Calibri" w:eastAsia="Calibri" w:hAnsi="Calibri" w:cs="Calibri"/>
          <w:color w:val="auto"/>
          <w:sz w:val="16"/>
          <w:szCs w:val="16"/>
        </w:rPr>
        <w:t xml:space="preserve"> </w:t>
      </w:r>
    </w:p>
  </w:footnote>
  <w:footnote w:id="17">
    <w:p w14:paraId="0CB27CD7" w14:textId="132511D1" w:rsidR="008A42B9" w:rsidRPr="00992741" w:rsidRDefault="008A42B9" w:rsidP="6C54F3A7">
      <w:pPr>
        <w:pStyle w:val="Textpoznpodarou"/>
        <w:jc w:val="both"/>
        <w:rPr>
          <w:rFonts w:ascii="Times New Roman" w:hAnsi="Times New Roman" w:cs="Times New Roman"/>
          <w:sz w:val="18"/>
          <w:szCs w:val="18"/>
        </w:rPr>
      </w:pPr>
      <w:r w:rsidRPr="6C54F3A7">
        <w:rPr>
          <w:rStyle w:val="Znakapoznpodarou"/>
          <w:rFonts w:ascii="Calibri" w:eastAsia="Calibri" w:hAnsi="Calibri" w:cs="Calibri"/>
          <w:sz w:val="16"/>
          <w:szCs w:val="16"/>
        </w:rPr>
        <w:footnoteRef/>
      </w:r>
      <w:r w:rsidR="6C54F3A7" w:rsidRPr="6C54F3A7">
        <w:rPr>
          <w:rFonts w:ascii="Calibri" w:eastAsia="Calibri" w:hAnsi="Calibri" w:cs="Calibri"/>
          <w:sz w:val="16"/>
          <w:szCs w:val="16"/>
        </w:rPr>
        <w:t>)</w:t>
      </w:r>
      <w:r>
        <w:rPr>
          <w:sz w:val="18"/>
          <w:szCs w:val="18"/>
        </w:rPr>
        <w:tab/>
      </w:r>
      <w:r w:rsidR="6C54F3A7" w:rsidRPr="6C54F3A7">
        <w:rPr>
          <w:rFonts w:ascii="Calibri" w:eastAsia="Calibri" w:hAnsi="Calibri" w:cs="Calibri"/>
          <w:sz w:val="16"/>
          <w:szCs w:val="16"/>
        </w:rPr>
        <w:t xml:space="preserve">Kučera </w:t>
      </w:r>
      <w:proofErr w:type="spellStart"/>
      <w:r w:rsidR="6C54F3A7" w:rsidRPr="6C54F3A7">
        <w:rPr>
          <w:rFonts w:ascii="Calibri" w:eastAsia="Calibri" w:hAnsi="Calibri" w:cs="Calibri"/>
          <w:sz w:val="16"/>
          <w:szCs w:val="16"/>
        </w:rPr>
        <w:t>Zd</w:t>
      </w:r>
      <w:proofErr w:type="spellEnd"/>
      <w:r w:rsidR="6C54F3A7" w:rsidRPr="6C54F3A7">
        <w:rPr>
          <w:rFonts w:ascii="Calibri" w:eastAsia="Calibri" w:hAnsi="Calibri" w:cs="Calibri"/>
          <w:sz w:val="16"/>
          <w:szCs w:val="16"/>
        </w:rPr>
        <w:t xml:space="preserve">., Vondrák T., Pecha O.: Posouzení kapacit a zaměření zdravotního </w:t>
      </w:r>
      <w:proofErr w:type="spellStart"/>
      <w:r w:rsidR="6C54F3A7" w:rsidRPr="6C54F3A7">
        <w:rPr>
          <w:rFonts w:ascii="Calibri" w:eastAsia="Calibri" w:hAnsi="Calibri" w:cs="Calibri"/>
          <w:sz w:val="16"/>
          <w:szCs w:val="16"/>
        </w:rPr>
        <w:t>VaV</w:t>
      </w:r>
      <w:proofErr w:type="spellEnd"/>
      <w:r w:rsidR="6C54F3A7" w:rsidRPr="6C54F3A7">
        <w:rPr>
          <w:rFonts w:ascii="Calibri" w:eastAsia="Calibri" w:hAnsi="Calibri" w:cs="Calibri"/>
          <w:sz w:val="16"/>
          <w:szCs w:val="16"/>
        </w:rPr>
        <w:t xml:space="preserve"> na základě analýzy účasti v národních programech </w:t>
      </w:r>
      <w:proofErr w:type="spellStart"/>
      <w:r w:rsidR="6C54F3A7" w:rsidRPr="6C54F3A7">
        <w:rPr>
          <w:rFonts w:ascii="Calibri" w:eastAsia="Calibri" w:hAnsi="Calibri" w:cs="Calibri"/>
          <w:sz w:val="16"/>
          <w:szCs w:val="16"/>
        </w:rPr>
        <w:t>VaV</w:t>
      </w:r>
      <w:proofErr w:type="spellEnd"/>
      <w:r w:rsidR="6C54F3A7" w:rsidRPr="6C54F3A7">
        <w:rPr>
          <w:rFonts w:ascii="Calibri" w:eastAsia="Calibri" w:hAnsi="Calibri" w:cs="Calibri"/>
          <w:sz w:val="16"/>
          <w:szCs w:val="16"/>
        </w:rPr>
        <w:t xml:space="preserve"> a Horizontu 2020. Technologické centrum AV ČR, listopad 2020 </w:t>
      </w:r>
    </w:p>
  </w:footnote>
  <w:footnote w:id="18">
    <w:p w14:paraId="386489A4" w14:textId="65104DDA" w:rsidR="008A42B9" w:rsidRPr="00992741" w:rsidRDefault="008A42B9" w:rsidP="6C54F3A7">
      <w:pPr>
        <w:pStyle w:val="Textpoznpodarou"/>
        <w:jc w:val="both"/>
        <w:rPr>
          <w:rFonts w:ascii="Times New Roman" w:hAnsi="Times New Roman" w:cs="Times New Roman"/>
          <w:sz w:val="18"/>
          <w:szCs w:val="18"/>
        </w:rPr>
      </w:pPr>
      <w:r w:rsidRPr="6C54F3A7">
        <w:rPr>
          <w:rStyle w:val="Znakapoznpodarou"/>
          <w:rFonts w:ascii="Calibri" w:eastAsia="Calibri" w:hAnsi="Calibri" w:cs="Calibri"/>
          <w:sz w:val="16"/>
          <w:szCs w:val="16"/>
        </w:rPr>
        <w:footnoteRef/>
      </w:r>
      <w:r w:rsidR="6C54F3A7" w:rsidRPr="6C54F3A7">
        <w:rPr>
          <w:rFonts w:ascii="Calibri" w:eastAsia="Calibri" w:hAnsi="Calibri" w:cs="Calibri"/>
          <w:sz w:val="16"/>
          <w:szCs w:val="16"/>
        </w:rPr>
        <w:t>)</w:t>
      </w:r>
      <w:r w:rsidRPr="00992741">
        <w:rPr>
          <w:rFonts w:ascii="Times New Roman" w:hAnsi="Times New Roman" w:cs="Times New Roman"/>
          <w:sz w:val="18"/>
          <w:szCs w:val="18"/>
        </w:rPr>
        <w:tab/>
      </w:r>
      <w:r w:rsidR="6C54F3A7" w:rsidRPr="6C54F3A7">
        <w:rPr>
          <w:rFonts w:ascii="Calibri" w:eastAsia="Calibri" w:hAnsi="Calibri" w:cs="Calibri"/>
          <w:sz w:val="16"/>
          <w:szCs w:val="16"/>
        </w:rPr>
        <w:t xml:space="preserve">Statistická data o vývoji denního zemřelých v letech </w:t>
      </w:r>
      <w:proofErr w:type="gramStart"/>
      <w:r w:rsidR="6C54F3A7" w:rsidRPr="6C54F3A7">
        <w:rPr>
          <w:rFonts w:ascii="Calibri" w:eastAsia="Calibri" w:hAnsi="Calibri" w:cs="Calibri"/>
          <w:sz w:val="16"/>
          <w:szCs w:val="16"/>
        </w:rPr>
        <w:t>2015 – 2020</w:t>
      </w:r>
      <w:proofErr w:type="gramEnd"/>
      <w:r w:rsidR="6C54F3A7" w:rsidRPr="6C54F3A7">
        <w:rPr>
          <w:rFonts w:ascii="Calibri" w:eastAsia="Calibri" w:hAnsi="Calibri" w:cs="Calibri"/>
          <w:sz w:val="16"/>
          <w:szCs w:val="16"/>
        </w:rPr>
        <w:t xml:space="preserve"> ukazují výrazný nárůst v souvislosti s probíhající pandemií Covid-19 (ČSÚ. V roce 2020 zemřelo přes 129 tisíc obyvatel Česka. Dostupné z </w:t>
      </w:r>
      <w:hyperlink r:id="rId14" w:history="1">
        <w:r w:rsidR="6C54F3A7" w:rsidRPr="6C54F3A7">
          <w:rPr>
            <w:rFonts w:ascii="Calibri" w:eastAsia="Calibri" w:hAnsi="Calibri" w:cs="Calibri"/>
            <w:sz w:val="16"/>
            <w:szCs w:val="16"/>
          </w:rPr>
          <w:t>https://www.czso.cz/csu/czso/v-roce-2020-zemrelo-pres-129-tisic-obyvatel- počtu ceska</w:t>
        </w:r>
      </w:hyperlink>
      <w:r w:rsidR="6C54F3A7" w:rsidRPr="6C54F3A7">
        <w:rPr>
          <w:rFonts w:ascii="Calibri" w:eastAsia="Calibri" w:hAnsi="Calibri" w:cs="Calibri"/>
          <w:sz w:val="16"/>
          <w:szCs w:val="16"/>
        </w:rPr>
        <w:t xml:space="preserve">); ČSÚ. Zemřelí podle seznamu příčin smrti, pohlaví a věku v ČR, krajích a okresech – 2010-2019. Dostupné z </w:t>
      </w:r>
      <w:hyperlink r:id="rId15" w:history="1">
        <w:r w:rsidR="6C54F3A7" w:rsidRPr="6C54F3A7">
          <w:rPr>
            <w:rFonts w:ascii="Calibri" w:eastAsia="Calibri" w:hAnsi="Calibri" w:cs="Calibri"/>
            <w:sz w:val="16"/>
            <w:szCs w:val="16"/>
          </w:rPr>
          <w:t>https://www.czso.cz/csu/czso/ceska-republika-podle-pohlavi-a-veku-2010-2019</w:t>
        </w:r>
      </w:hyperlink>
      <w:r w:rsidR="6C54F3A7" w:rsidRPr="6C54F3A7">
        <w:rPr>
          <w:rFonts w:ascii="Calibri" w:eastAsia="Calibri" w:hAnsi="Calibri" w:cs="Calibri"/>
          <w:sz w:val="16"/>
          <w:szCs w:val="16"/>
        </w:rPr>
        <w:t xml:space="preserve">; MZ ČR. Data o celkové mortalitě a o příčinách úmrtí pacientů s COVID-19. Dostupné z </w:t>
      </w:r>
      <w:hyperlink r:id="rId16" w:history="1">
        <w:r w:rsidR="6C54F3A7" w:rsidRPr="6C54F3A7">
          <w:rPr>
            <w:rFonts w:ascii="Calibri" w:eastAsia="Calibri" w:hAnsi="Calibri" w:cs="Calibri"/>
            <w:sz w:val="16"/>
            <w:szCs w:val="16"/>
          </w:rPr>
          <w:t>https://koronavirus.mzcr.cz/wp-content/uploads/2020/11/Data-o-celkov%C3%A9-mortalit%C4%9B-a-o-p%C5%99%C3%AD%C4%8Din%C3%A1ch-%C3%BAmrt%C3%AD-pacient%C5%AF-s-covid-19.pdf</w:t>
        </w:r>
      </w:hyperlink>
    </w:p>
  </w:footnote>
  <w:footnote w:id="19">
    <w:p w14:paraId="650BF78F" w14:textId="31360172" w:rsidR="008A42B9" w:rsidRPr="00992741" w:rsidRDefault="008A42B9" w:rsidP="6C54F3A7">
      <w:pPr>
        <w:pStyle w:val="Textpoznpodarou"/>
        <w:jc w:val="both"/>
        <w:rPr>
          <w:rFonts w:ascii="Times New Roman" w:hAnsi="Times New Roman" w:cs="Times New Roman"/>
          <w:sz w:val="18"/>
          <w:szCs w:val="18"/>
        </w:rPr>
      </w:pPr>
      <w:r w:rsidRPr="6C54F3A7">
        <w:rPr>
          <w:rFonts w:ascii="Calibri" w:eastAsia="Calibri" w:hAnsi="Calibri" w:cs="Calibri"/>
          <w:sz w:val="16"/>
          <w:szCs w:val="16"/>
          <w:vertAlign w:val="superscript"/>
        </w:rPr>
        <w:footnoteRef/>
      </w:r>
      <w:r w:rsidR="6C54F3A7" w:rsidRPr="6C54F3A7">
        <w:rPr>
          <w:rFonts w:ascii="Calibri" w:eastAsia="Calibri" w:hAnsi="Calibri" w:cs="Calibri"/>
          <w:sz w:val="16"/>
          <w:szCs w:val="16"/>
          <w:vertAlign w:val="superscript"/>
        </w:rPr>
        <w:t>)</w:t>
      </w:r>
      <w:r>
        <w:rPr>
          <w:sz w:val="18"/>
          <w:szCs w:val="18"/>
        </w:rPr>
        <w:tab/>
      </w:r>
      <w:r w:rsidR="6C54F3A7" w:rsidRPr="6C54F3A7">
        <w:rPr>
          <w:rFonts w:ascii="Calibri" w:eastAsia="Calibri" w:hAnsi="Calibri" w:cs="Calibri"/>
          <w:sz w:val="16"/>
          <w:szCs w:val="16"/>
        </w:rPr>
        <w:t>Studie Technologického centra AV ČR, únor 2020 (www.tc.cz</w:t>
      </w:r>
    </w:p>
  </w:footnote>
  <w:footnote w:id="20">
    <w:p w14:paraId="106DDD51" w14:textId="6CDA2AA6" w:rsidR="002B2226" w:rsidRPr="002B2226" w:rsidRDefault="002B2226" w:rsidP="6C54F3A7">
      <w:pPr>
        <w:pStyle w:val="Textpoznpodarou"/>
        <w:jc w:val="both"/>
        <w:rPr>
          <w:rFonts w:ascii="Times New Roman" w:hAnsi="Times New Roman" w:cs="Times New Roman"/>
          <w:sz w:val="18"/>
          <w:szCs w:val="18"/>
        </w:rPr>
      </w:pPr>
      <w:r w:rsidRPr="6C54F3A7">
        <w:rPr>
          <w:rStyle w:val="Znakapoznpodarou"/>
          <w:rFonts w:ascii="Calibri" w:eastAsia="Calibri" w:hAnsi="Calibri" w:cs="Calibri"/>
          <w:sz w:val="16"/>
          <w:szCs w:val="16"/>
        </w:rPr>
        <w:footnoteRef/>
      </w:r>
      <w:r w:rsidR="6C54F3A7" w:rsidRPr="6C54F3A7">
        <w:rPr>
          <w:rFonts w:ascii="Calibri" w:eastAsia="Calibri" w:hAnsi="Calibri" w:cs="Calibri"/>
          <w:sz w:val="16"/>
          <w:szCs w:val="16"/>
        </w:rPr>
        <w:t xml:space="preserve"> </w:t>
      </w:r>
      <w:r>
        <w:tab/>
      </w:r>
      <w:r w:rsidR="6C54F3A7" w:rsidRPr="6C54F3A7">
        <w:rPr>
          <w:rFonts w:ascii="Calibri" w:eastAsia="Calibri" w:hAnsi="Calibri" w:cs="Calibri"/>
          <w:sz w:val="16"/>
          <w:szCs w:val="16"/>
        </w:rPr>
        <w:t xml:space="preserve">Výroční „Analýza stavu </w:t>
      </w:r>
      <w:proofErr w:type="spellStart"/>
      <w:r w:rsidR="6C54F3A7" w:rsidRPr="6C54F3A7">
        <w:rPr>
          <w:rFonts w:ascii="Calibri" w:eastAsia="Calibri" w:hAnsi="Calibri" w:cs="Calibri"/>
          <w:sz w:val="16"/>
          <w:szCs w:val="16"/>
        </w:rPr>
        <w:t>VaVaI</w:t>
      </w:r>
      <w:proofErr w:type="spellEnd"/>
      <w:r w:rsidR="6C54F3A7" w:rsidRPr="6C54F3A7">
        <w:rPr>
          <w:rFonts w:ascii="Calibri" w:eastAsia="Calibri" w:hAnsi="Calibri" w:cs="Calibri"/>
          <w:sz w:val="16"/>
          <w:szCs w:val="16"/>
        </w:rPr>
        <w:t xml:space="preserve"> v ČR a jejich srovnání se zahraničím“, předkládaná RVVI vládě pro informaci lednu 2019 (https://www.vyzkum.cz/FrontClanek.aspx?idsekce=677142 ) nebo Zpráva o hodnocení plnění opatření NP </w:t>
      </w:r>
      <w:proofErr w:type="spellStart"/>
      <w:r w:rsidR="6C54F3A7" w:rsidRPr="6C54F3A7">
        <w:rPr>
          <w:rFonts w:ascii="Calibri" w:eastAsia="Calibri" w:hAnsi="Calibri" w:cs="Calibri"/>
          <w:sz w:val="16"/>
          <w:szCs w:val="16"/>
        </w:rPr>
        <w:t>VaVaI</w:t>
      </w:r>
      <w:proofErr w:type="spellEnd"/>
      <w:r w:rsidR="6C54F3A7" w:rsidRPr="6C54F3A7">
        <w:rPr>
          <w:rFonts w:ascii="Calibri" w:eastAsia="Calibri" w:hAnsi="Calibri" w:cs="Calibri"/>
          <w:sz w:val="16"/>
          <w:szCs w:val="16"/>
        </w:rPr>
        <w:t>, která byla schválena usnesením vlády ze dne 8. února 2019, Viz též výsledky hodnocení RVVI podle Metodiky 17+ na národní úrovni (</w:t>
      </w:r>
      <w:hyperlink r:id="rId17" w:history="1">
        <w:r w:rsidR="6C54F3A7" w:rsidRPr="6C54F3A7">
          <w:rPr>
            <w:rFonts w:ascii="Calibri" w:eastAsia="Calibri" w:hAnsi="Calibri" w:cs="Calibri"/>
            <w:sz w:val="16"/>
            <w:szCs w:val="16"/>
          </w:rPr>
          <w:t>https://www.vyzkum.cz/FrontClanek.aspx?idsekce=847179</w:t>
        </w:r>
      </w:hyperlink>
      <w:r w:rsidR="6C54F3A7" w:rsidRPr="6C54F3A7">
        <w:rPr>
          <w:rFonts w:ascii="Calibri" w:eastAsia="Calibri" w:hAnsi="Calibri" w:cs="Calibri"/>
          <w:sz w:val="16"/>
          <w:szCs w:val="16"/>
        </w:rPr>
        <w:t xml:space="preserve"> a https://hodnoceni18.rvvi.cz/www/biblio-obory) nebo vyhodnocení oborová publikační výkonnosti pracovišť výzkumných organizací v České republice v roce 2017 nástrojem CERGE „IDEA </w:t>
      </w:r>
      <w:proofErr w:type="spellStart"/>
      <w:r w:rsidR="6C54F3A7" w:rsidRPr="6C54F3A7">
        <w:rPr>
          <w:rFonts w:ascii="Calibri" w:eastAsia="Calibri" w:hAnsi="Calibri" w:cs="Calibri"/>
          <w:sz w:val="16"/>
          <w:szCs w:val="16"/>
        </w:rPr>
        <w:t>think</w:t>
      </w:r>
      <w:proofErr w:type="spellEnd"/>
      <w:r w:rsidR="6C54F3A7" w:rsidRPr="6C54F3A7">
        <w:rPr>
          <w:rFonts w:ascii="Calibri" w:eastAsia="Calibri" w:hAnsi="Calibri" w:cs="Calibri"/>
          <w:sz w:val="16"/>
          <w:szCs w:val="16"/>
        </w:rPr>
        <w:t>-tank“ (</w:t>
      </w:r>
      <w:hyperlink r:id="rId18" w:history="1">
        <w:r w:rsidR="6C54F3A7" w:rsidRPr="6C54F3A7">
          <w:rPr>
            <w:rFonts w:ascii="Calibri" w:eastAsia="Calibri" w:hAnsi="Calibri" w:cs="Calibri"/>
            <w:sz w:val="16"/>
            <w:szCs w:val="16"/>
          </w:rPr>
          <w:t>https://ideaapps.cerge-ei.cz/Performance2017/</w:t>
        </w:r>
      </w:hyperlink>
      <w:r w:rsidR="6C54F3A7" w:rsidRPr="6C54F3A7">
        <w:rPr>
          <w:rFonts w:ascii="Calibri" w:eastAsia="Calibri" w:hAnsi="Calibri" w:cs="Calibri"/>
          <w:sz w:val="16"/>
          <w:szCs w:val="16"/>
        </w:rPr>
        <w:t xml:space="preserve">), Evaluace OP VVV (2018) - Hodnocení posilování kapacit pro kvalitní výzkum, rozvoj VŠ a lidských zdrojů pro </w:t>
      </w:r>
      <w:proofErr w:type="spellStart"/>
      <w:r w:rsidR="6C54F3A7" w:rsidRPr="6C54F3A7">
        <w:rPr>
          <w:rFonts w:ascii="Calibri" w:eastAsia="Calibri" w:hAnsi="Calibri" w:cs="Calibri"/>
          <w:sz w:val="16"/>
          <w:szCs w:val="16"/>
        </w:rPr>
        <w:t>VaV</w:t>
      </w:r>
      <w:proofErr w:type="spellEnd"/>
      <w:r w:rsidR="6C54F3A7" w:rsidRPr="6C54F3A7">
        <w:rPr>
          <w:rFonts w:ascii="Calibri" w:eastAsia="Calibri" w:hAnsi="Calibri" w:cs="Calibri"/>
          <w:sz w:val="16"/>
          <w:szCs w:val="16"/>
        </w:rPr>
        <w:t>, (</w:t>
      </w:r>
      <w:hyperlink r:id="rId19" w:history="1">
        <w:r w:rsidR="6C54F3A7" w:rsidRPr="6C54F3A7">
          <w:rPr>
            <w:rFonts w:ascii="Calibri" w:eastAsia="Calibri" w:hAnsi="Calibri" w:cs="Calibri"/>
            <w:sz w:val="16"/>
            <w:szCs w:val="16"/>
          </w:rPr>
          <w:t>https://opvvv.msmt.cz/balicek-dokumentu/vyhodnoceni-pokryti-podporovanych-aktivit-prioritni-osy-1-a-2-vyzvami-operacniho-programu-vyzkum-vyvoj-a-vzdelavani.htm</w:t>
        </w:r>
      </w:hyperlink>
      <w:r w:rsidR="6C54F3A7" w:rsidRPr="6C54F3A7">
        <w:rPr>
          <w:rFonts w:ascii="Calibri" w:eastAsia="Calibri" w:hAnsi="Calibri" w:cs="Calibri"/>
          <w:sz w:val="16"/>
          <w:szCs w:val="16"/>
        </w:rPr>
        <w:t>) nebo (</w:t>
      </w:r>
      <w:hyperlink r:id="rId20" w:history="1">
        <w:r w:rsidR="6C54F3A7" w:rsidRPr="6C54F3A7">
          <w:rPr>
            <w:rFonts w:ascii="Calibri" w:eastAsia="Calibri" w:hAnsi="Calibri" w:cs="Calibri"/>
            <w:sz w:val="16"/>
            <w:szCs w:val="16"/>
          </w:rPr>
          <w:t>https://opvvv.msmt.cz/balicek-dokumentu/vyhodnoceni-vyzvy-rozvoj-kapacit-pro-vav.htm</w:t>
        </w:r>
      </w:hyperlink>
      <w:r w:rsidR="6C54F3A7" w:rsidRPr="6C54F3A7">
        <w:rPr>
          <w:rFonts w:ascii="Calibri" w:eastAsia="Calibri" w:hAnsi="Calibri" w:cs="Calibri"/>
          <w:sz w:val="16"/>
          <w:szCs w:val="16"/>
        </w:rPr>
        <w:t>), statistiky ČSÚ (www.csu.cz) .</w:t>
      </w:r>
    </w:p>
  </w:footnote>
  <w:footnote w:id="21">
    <w:p w14:paraId="1725251C" w14:textId="0897CB5D" w:rsidR="008A42B9" w:rsidRPr="00992741" w:rsidRDefault="008A42B9" w:rsidP="6C54F3A7">
      <w:pPr>
        <w:pStyle w:val="Textpoznpodarou"/>
        <w:jc w:val="both"/>
        <w:rPr>
          <w:rFonts w:ascii="Times New Roman" w:hAnsi="Times New Roman" w:cs="Times New Roman"/>
          <w:sz w:val="18"/>
          <w:szCs w:val="18"/>
        </w:rPr>
      </w:pPr>
      <w:r w:rsidRPr="6C54F3A7">
        <w:rPr>
          <w:rFonts w:ascii="Calibri" w:eastAsia="Calibri" w:hAnsi="Calibri" w:cs="Calibri"/>
          <w:sz w:val="16"/>
          <w:szCs w:val="16"/>
          <w:vertAlign w:val="superscript"/>
        </w:rPr>
        <w:footnoteRef/>
      </w:r>
      <w:r w:rsidR="6C54F3A7" w:rsidRPr="6C54F3A7">
        <w:rPr>
          <w:rFonts w:ascii="Calibri" w:eastAsia="Calibri" w:hAnsi="Calibri" w:cs="Calibri"/>
          <w:sz w:val="16"/>
          <w:szCs w:val="16"/>
        </w:rPr>
        <w:t>)</w:t>
      </w:r>
      <w:r w:rsidRPr="00992741">
        <w:rPr>
          <w:rFonts w:ascii="Times New Roman" w:hAnsi="Times New Roman" w:cs="Times New Roman"/>
          <w:sz w:val="18"/>
          <w:szCs w:val="18"/>
        </w:rPr>
        <w:tab/>
      </w:r>
      <w:r w:rsidR="6C54F3A7" w:rsidRPr="6C54F3A7">
        <w:rPr>
          <w:rFonts w:ascii="Calibri" w:eastAsia="Calibri" w:hAnsi="Calibri" w:cs="Calibri"/>
          <w:sz w:val="16"/>
          <w:szCs w:val="16"/>
        </w:rPr>
        <w:t xml:space="preserve">Kučera </w:t>
      </w:r>
      <w:proofErr w:type="spellStart"/>
      <w:r w:rsidR="6C54F3A7" w:rsidRPr="6C54F3A7">
        <w:rPr>
          <w:rFonts w:ascii="Calibri" w:eastAsia="Calibri" w:hAnsi="Calibri" w:cs="Calibri"/>
          <w:sz w:val="16"/>
          <w:szCs w:val="16"/>
        </w:rPr>
        <w:t>Zd</w:t>
      </w:r>
      <w:proofErr w:type="spellEnd"/>
      <w:r w:rsidR="6C54F3A7" w:rsidRPr="6C54F3A7">
        <w:rPr>
          <w:rFonts w:ascii="Calibri" w:eastAsia="Calibri" w:hAnsi="Calibri" w:cs="Calibri"/>
          <w:sz w:val="16"/>
          <w:szCs w:val="16"/>
        </w:rPr>
        <w:t xml:space="preserve">., Vondrák T., Pecha O.: </w:t>
      </w:r>
      <w:proofErr w:type="spellStart"/>
      <w:r w:rsidR="6C54F3A7" w:rsidRPr="6C54F3A7">
        <w:rPr>
          <w:rFonts w:ascii="Calibri" w:eastAsia="Calibri" w:hAnsi="Calibri" w:cs="Calibri"/>
          <w:sz w:val="16"/>
          <w:szCs w:val="16"/>
        </w:rPr>
        <w:t>Ibid</w:t>
      </w:r>
      <w:proofErr w:type="spellEnd"/>
      <w:r w:rsidR="6C54F3A7" w:rsidRPr="6C54F3A7">
        <w:rPr>
          <w:rFonts w:ascii="Calibri" w:eastAsia="Calibri" w:hAnsi="Calibri" w:cs="Calibri"/>
          <w:sz w:val="16"/>
          <w:szCs w:val="16"/>
        </w:rPr>
        <w:t>, Technologické centrum AV ČR.</w:t>
      </w:r>
    </w:p>
  </w:footnote>
  <w:footnote w:id="22">
    <w:p w14:paraId="7022D543" w14:textId="1B456B96" w:rsidR="008A42B9" w:rsidRPr="000662EA" w:rsidRDefault="008A42B9" w:rsidP="6C54F3A7">
      <w:pPr>
        <w:pStyle w:val="Textpoznpodarou"/>
        <w:jc w:val="both"/>
      </w:pPr>
      <w:r w:rsidRPr="6C54F3A7">
        <w:rPr>
          <w:rStyle w:val="Znakapoznpodarou"/>
          <w:rFonts w:ascii="Calibri" w:eastAsia="Calibri" w:hAnsi="Calibri" w:cs="Calibri"/>
          <w:sz w:val="16"/>
          <w:szCs w:val="16"/>
        </w:rPr>
        <w:footnoteRef/>
      </w:r>
      <w:r w:rsidR="6C54F3A7" w:rsidRPr="6C54F3A7">
        <w:rPr>
          <w:rFonts w:ascii="Calibri" w:eastAsia="Calibri" w:hAnsi="Calibri" w:cs="Calibri"/>
          <w:sz w:val="16"/>
          <w:szCs w:val="16"/>
        </w:rPr>
        <w:t>)</w:t>
      </w:r>
      <w:r>
        <w:tab/>
      </w:r>
      <w:r w:rsidR="6C54F3A7" w:rsidRPr="6C54F3A7">
        <w:rPr>
          <w:rFonts w:ascii="Calibri" w:eastAsia="Calibri" w:hAnsi="Calibri" w:cs="Calibri"/>
          <w:color w:val="auto"/>
          <w:sz w:val="16"/>
          <w:szCs w:val="16"/>
        </w:rPr>
        <w:t xml:space="preserve">Komponenta nepodpoří budování zcela nové výzkumné kapacity tzv. “na zelené louce“, bez zajištěných vazeb a integrace ve stávajícím systému </w:t>
      </w:r>
      <w:proofErr w:type="spellStart"/>
      <w:r w:rsidR="6C54F3A7" w:rsidRPr="6C54F3A7">
        <w:rPr>
          <w:rFonts w:ascii="Calibri" w:eastAsia="Calibri" w:hAnsi="Calibri" w:cs="Calibri"/>
          <w:color w:val="auto"/>
          <w:sz w:val="16"/>
          <w:szCs w:val="16"/>
        </w:rPr>
        <w:t>VaVaI</w:t>
      </w:r>
      <w:proofErr w:type="spellEnd"/>
      <w:r w:rsidR="6C54F3A7" w:rsidRPr="6C54F3A7">
        <w:rPr>
          <w:rFonts w:ascii="Calibri" w:eastAsia="Calibri" w:hAnsi="Calibri" w:cs="Calibri"/>
          <w:color w:val="auto"/>
          <w:sz w:val="16"/>
          <w:szCs w:val="16"/>
        </w:rPr>
        <w:t xml:space="preserve"> v ČR, která by byla novou zátěží pro státní rozpočet ČR.</w:t>
      </w:r>
    </w:p>
  </w:footnote>
  <w:footnote w:id="23">
    <w:p w14:paraId="0A3DD7E3" w14:textId="09D3F9DD" w:rsidR="008A42B9" w:rsidRDefault="008A42B9" w:rsidP="6C54F3A7">
      <w:pPr>
        <w:pStyle w:val="Textpoznpodarou"/>
      </w:pPr>
      <w:r w:rsidRPr="6C54F3A7">
        <w:rPr>
          <w:rStyle w:val="Znakapoznpodarou"/>
          <w:rFonts w:ascii="Calibri" w:eastAsia="Calibri" w:hAnsi="Calibri" w:cs="Calibri"/>
          <w:sz w:val="16"/>
          <w:szCs w:val="16"/>
        </w:rPr>
        <w:footnoteRef/>
      </w:r>
      <w:r w:rsidR="6C54F3A7" w:rsidRPr="6C54F3A7">
        <w:rPr>
          <w:rFonts w:ascii="Calibri" w:eastAsia="Calibri" w:hAnsi="Calibri" w:cs="Calibri"/>
          <w:sz w:val="16"/>
          <w:szCs w:val="16"/>
        </w:rPr>
        <w:t xml:space="preserve">) Např. </w:t>
      </w:r>
      <w:proofErr w:type="spellStart"/>
      <w:r w:rsidR="6C54F3A7" w:rsidRPr="6C54F3A7">
        <w:rPr>
          <w:rFonts w:ascii="Calibri" w:eastAsia="Calibri" w:hAnsi="Calibri" w:cs="Calibri"/>
          <w:sz w:val="16"/>
          <w:szCs w:val="16"/>
        </w:rPr>
        <w:t>Pasachoff</w:t>
      </w:r>
      <w:proofErr w:type="spellEnd"/>
      <w:r w:rsidR="6C54F3A7" w:rsidRPr="6C54F3A7">
        <w:rPr>
          <w:rFonts w:ascii="Calibri" w:eastAsia="Calibri" w:hAnsi="Calibri" w:cs="Calibri"/>
          <w:sz w:val="16"/>
          <w:szCs w:val="16"/>
        </w:rPr>
        <w:t xml:space="preserve">, E.: TWO CHEERS FOR EVIDENCE: LAW, RESEARCH, AND VALUES IN EDUCATION POLICYMAKING AND BEYOND; In: Columbia </w:t>
      </w:r>
      <w:proofErr w:type="spellStart"/>
      <w:r w:rsidR="6C54F3A7" w:rsidRPr="6C54F3A7">
        <w:rPr>
          <w:rFonts w:ascii="Calibri" w:eastAsia="Calibri" w:hAnsi="Calibri" w:cs="Calibri"/>
          <w:sz w:val="16"/>
          <w:szCs w:val="16"/>
        </w:rPr>
        <w:t>Law</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Review</w:t>
      </w:r>
      <w:proofErr w:type="spellEnd"/>
      <w:r w:rsidR="6C54F3A7" w:rsidRPr="6C54F3A7">
        <w:rPr>
          <w:rFonts w:ascii="Calibri" w:eastAsia="Calibri" w:hAnsi="Calibri" w:cs="Calibri"/>
          <w:sz w:val="16"/>
          <w:szCs w:val="16"/>
        </w:rPr>
        <w:t>, NOVEMBER 2017, Vol. 117, No. 7, pp. 1933-1972.</w:t>
      </w:r>
    </w:p>
  </w:footnote>
  <w:footnote w:id="24">
    <w:p w14:paraId="018FE29B" w14:textId="42F65115" w:rsidR="008A42B9" w:rsidRPr="00484CAD" w:rsidRDefault="008A42B9" w:rsidP="6C54F3A7">
      <w:pPr>
        <w:pStyle w:val="Textpoznpodarou"/>
        <w:rPr>
          <w:rFonts w:ascii="Times New Roman" w:hAnsi="Times New Roman" w:cs="Times New Roman"/>
          <w:sz w:val="18"/>
          <w:szCs w:val="18"/>
        </w:rPr>
      </w:pPr>
      <w:r w:rsidRPr="6C54F3A7">
        <w:rPr>
          <w:rStyle w:val="Znakapoznpodarou"/>
          <w:rFonts w:ascii="Calibri" w:eastAsia="Calibri" w:hAnsi="Calibri" w:cs="Calibri"/>
          <w:sz w:val="16"/>
          <w:szCs w:val="16"/>
        </w:rPr>
        <w:footnoteRef/>
      </w:r>
      <w:r w:rsidR="6C54F3A7" w:rsidRPr="6C54F3A7">
        <w:rPr>
          <w:rFonts w:ascii="Calibri" w:eastAsia="Calibri" w:hAnsi="Calibri" w:cs="Calibri"/>
          <w:sz w:val="16"/>
          <w:szCs w:val="16"/>
        </w:rPr>
        <w:t xml:space="preserve">) Strategický rámec ČR 2030 identifikuje nedostatečné využívání evidence </w:t>
      </w:r>
      <w:proofErr w:type="spellStart"/>
      <w:r w:rsidR="6C54F3A7" w:rsidRPr="6C54F3A7">
        <w:rPr>
          <w:rFonts w:ascii="Calibri" w:eastAsia="Calibri" w:hAnsi="Calibri" w:cs="Calibri"/>
          <w:sz w:val="16"/>
          <w:szCs w:val="16"/>
        </w:rPr>
        <w:t>based</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policy</w:t>
      </w:r>
      <w:proofErr w:type="spellEnd"/>
      <w:r w:rsidR="6C54F3A7" w:rsidRPr="6C54F3A7">
        <w:rPr>
          <w:rFonts w:ascii="Calibri" w:eastAsia="Calibri" w:hAnsi="Calibri" w:cs="Calibri"/>
          <w:sz w:val="16"/>
          <w:szCs w:val="16"/>
        </w:rPr>
        <w:t xml:space="preserve"> přístupu v rámci SWOT analýzy. Strategický rámec Česká republika 2030 [online]. Praha: Úřad vlády České republiky, Odbor pro udržitelný rozvoj, 2017 [cit. 2020-08-03] s. 23  </w:t>
      </w:r>
    </w:p>
  </w:footnote>
  <w:footnote w:id="25">
    <w:p w14:paraId="07F4FE32" w14:textId="3D6C74B8" w:rsidR="008A42B9" w:rsidRPr="00042058" w:rsidRDefault="008A42B9" w:rsidP="6C54F3A7">
      <w:pPr>
        <w:spacing w:after="0" w:line="240" w:lineRule="auto"/>
        <w:jc w:val="both"/>
        <w:rPr>
          <w:rFonts w:ascii="Times New Roman" w:hAnsi="Times New Roman" w:cs="Times New Roman"/>
          <w:sz w:val="18"/>
          <w:szCs w:val="18"/>
        </w:rPr>
      </w:pPr>
      <w:r w:rsidRPr="6C54F3A7">
        <w:rPr>
          <w:rStyle w:val="Znakapoznpodarou"/>
          <w:rFonts w:ascii="Calibri" w:eastAsia="Calibri" w:hAnsi="Calibri" w:cs="Calibri"/>
          <w:sz w:val="16"/>
          <w:szCs w:val="16"/>
        </w:rPr>
        <w:footnoteRef/>
      </w:r>
      <w:r w:rsidR="6C54F3A7" w:rsidRPr="6C54F3A7">
        <w:rPr>
          <w:rFonts w:ascii="Calibri" w:eastAsia="Calibri" w:hAnsi="Calibri" w:cs="Calibri"/>
          <w:sz w:val="16"/>
          <w:szCs w:val="16"/>
        </w:rPr>
        <w:t xml:space="preserve">) A </w:t>
      </w:r>
      <w:proofErr w:type="spellStart"/>
      <w:r w:rsidR="6C54F3A7" w:rsidRPr="6C54F3A7">
        <w:rPr>
          <w:rFonts w:ascii="Calibri" w:eastAsia="Calibri" w:hAnsi="Calibri" w:cs="Calibri"/>
          <w:sz w:val="16"/>
          <w:szCs w:val="16"/>
        </w:rPr>
        <w:t>glossary</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of</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theories</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for</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understanding</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policymaking</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Author</w:t>
      </w:r>
      <w:proofErr w:type="spellEnd"/>
      <w:r w:rsidR="6C54F3A7" w:rsidRPr="6C54F3A7">
        <w:rPr>
          <w:rFonts w:ascii="Calibri" w:eastAsia="Calibri" w:hAnsi="Calibri" w:cs="Calibri"/>
          <w:sz w:val="16"/>
          <w:szCs w:val="16"/>
        </w:rPr>
        <w:t xml:space="preserve">(s): Katherine Elizabeth Smith and </w:t>
      </w:r>
      <w:proofErr w:type="spellStart"/>
      <w:r w:rsidR="6C54F3A7" w:rsidRPr="6C54F3A7">
        <w:rPr>
          <w:rFonts w:ascii="Calibri" w:eastAsia="Calibri" w:hAnsi="Calibri" w:cs="Calibri"/>
          <w:sz w:val="16"/>
          <w:szCs w:val="16"/>
        </w:rPr>
        <w:t>Srinivasa</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Vittal</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Katikireddi</w:t>
      </w:r>
      <w:proofErr w:type="spellEnd"/>
      <w:r w:rsidR="6C54F3A7" w:rsidRPr="6C54F3A7">
        <w:rPr>
          <w:rFonts w:ascii="Calibri" w:eastAsia="Calibri" w:hAnsi="Calibri" w:cs="Calibri"/>
          <w:sz w:val="16"/>
          <w:szCs w:val="16"/>
        </w:rPr>
        <w:t xml:space="preserve">, In: </w:t>
      </w:r>
      <w:proofErr w:type="spellStart"/>
      <w:r w:rsidR="6C54F3A7" w:rsidRPr="6C54F3A7">
        <w:rPr>
          <w:rFonts w:ascii="Calibri" w:eastAsia="Calibri" w:hAnsi="Calibri" w:cs="Calibri"/>
          <w:sz w:val="16"/>
          <w:szCs w:val="16"/>
        </w:rPr>
        <w:t>Journal</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of</w:t>
      </w:r>
      <w:proofErr w:type="spellEnd"/>
      <w:r w:rsidR="6C54F3A7" w:rsidRPr="6C54F3A7">
        <w:rPr>
          <w:rFonts w:ascii="Calibri" w:eastAsia="Calibri" w:hAnsi="Calibri" w:cs="Calibri"/>
          <w:sz w:val="16"/>
          <w:szCs w:val="16"/>
        </w:rPr>
        <w:t xml:space="preserve"> Epidemiology and </w:t>
      </w:r>
      <w:proofErr w:type="spellStart"/>
      <w:r w:rsidR="6C54F3A7" w:rsidRPr="6C54F3A7">
        <w:rPr>
          <w:rFonts w:ascii="Calibri" w:eastAsia="Calibri" w:hAnsi="Calibri" w:cs="Calibri"/>
          <w:sz w:val="16"/>
          <w:szCs w:val="16"/>
        </w:rPr>
        <w:t>Community</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Health</w:t>
      </w:r>
      <w:proofErr w:type="spellEnd"/>
      <w:r w:rsidR="6C54F3A7" w:rsidRPr="6C54F3A7">
        <w:rPr>
          <w:rFonts w:ascii="Calibri" w:eastAsia="Calibri" w:hAnsi="Calibri" w:cs="Calibri"/>
          <w:sz w:val="16"/>
          <w:szCs w:val="16"/>
        </w:rPr>
        <w:t xml:space="preserve"> (1979-), </w:t>
      </w:r>
      <w:proofErr w:type="spellStart"/>
      <w:r w:rsidR="6C54F3A7" w:rsidRPr="6C54F3A7">
        <w:rPr>
          <w:rFonts w:ascii="Calibri" w:eastAsia="Calibri" w:hAnsi="Calibri" w:cs="Calibri"/>
          <w:sz w:val="16"/>
          <w:szCs w:val="16"/>
        </w:rPr>
        <w:t>February</w:t>
      </w:r>
      <w:proofErr w:type="spellEnd"/>
      <w:r w:rsidR="6C54F3A7" w:rsidRPr="6C54F3A7">
        <w:rPr>
          <w:rFonts w:ascii="Calibri" w:eastAsia="Calibri" w:hAnsi="Calibri" w:cs="Calibri"/>
          <w:sz w:val="16"/>
          <w:szCs w:val="16"/>
        </w:rPr>
        <w:t xml:space="preserve"> 2013, Vol. 67, No. 2, pp. 198-202. K významu zpracování dat pro prevenci a fungování veřejného zdravotnictví, např. </w:t>
      </w:r>
      <w:proofErr w:type="spellStart"/>
      <w:r w:rsidR="6C54F3A7" w:rsidRPr="6C54F3A7">
        <w:rPr>
          <w:rFonts w:ascii="Calibri" w:eastAsia="Calibri" w:hAnsi="Calibri" w:cs="Calibri"/>
          <w:sz w:val="16"/>
          <w:szCs w:val="16"/>
        </w:rPr>
        <w:t>Budd</w:t>
      </w:r>
      <w:proofErr w:type="spellEnd"/>
      <w:r w:rsidR="6C54F3A7" w:rsidRPr="6C54F3A7">
        <w:rPr>
          <w:rFonts w:ascii="Calibri" w:eastAsia="Calibri" w:hAnsi="Calibri" w:cs="Calibri"/>
          <w:sz w:val="16"/>
          <w:szCs w:val="16"/>
        </w:rPr>
        <w:t xml:space="preserve">, J., Miller, B.S., </w:t>
      </w:r>
      <w:proofErr w:type="spellStart"/>
      <w:r w:rsidR="6C54F3A7" w:rsidRPr="6C54F3A7">
        <w:rPr>
          <w:rFonts w:ascii="Calibri" w:eastAsia="Calibri" w:hAnsi="Calibri" w:cs="Calibri"/>
          <w:sz w:val="16"/>
          <w:szCs w:val="16"/>
        </w:rPr>
        <w:t>Manning</w:t>
      </w:r>
      <w:proofErr w:type="spellEnd"/>
      <w:r w:rsidR="6C54F3A7" w:rsidRPr="6C54F3A7">
        <w:rPr>
          <w:rFonts w:ascii="Calibri" w:eastAsia="Calibri" w:hAnsi="Calibri" w:cs="Calibri"/>
          <w:sz w:val="16"/>
          <w:szCs w:val="16"/>
        </w:rPr>
        <w:t xml:space="preserve">, E.M. et al. Digital </w:t>
      </w:r>
      <w:proofErr w:type="spellStart"/>
      <w:r w:rsidR="6C54F3A7" w:rsidRPr="6C54F3A7">
        <w:rPr>
          <w:rFonts w:ascii="Calibri" w:eastAsia="Calibri" w:hAnsi="Calibri" w:cs="Calibri"/>
          <w:sz w:val="16"/>
          <w:szCs w:val="16"/>
        </w:rPr>
        <w:t>technologies</w:t>
      </w:r>
      <w:proofErr w:type="spellEnd"/>
      <w:r w:rsidR="6C54F3A7" w:rsidRPr="6C54F3A7">
        <w:rPr>
          <w:rFonts w:ascii="Calibri" w:eastAsia="Calibri" w:hAnsi="Calibri" w:cs="Calibri"/>
          <w:sz w:val="16"/>
          <w:szCs w:val="16"/>
        </w:rPr>
        <w:t xml:space="preserve"> in </w:t>
      </w:r>
      <w:proofErr w:type="spellStart"/>
      <w:r w:rsidR="6C54F3A7" w:rsidRPr="6C54F3A7">
        <w:rPr>
          <w:rFonts w:ascii="Calibri" w:eastAsia="Calibri" w:hAnsi="Calibri" w:cs="Calibri"/>
          <w:sz w:val="16"/>
          <w:szCs w:val="16"/>
        </w:rPr>
        <w:t>the</w:t>
      </w:r>
      <w:proofErr w:type="spellEnd"/>
      <w:r w:rsidR="6C54F3A7" w:rsidRPr="6C54F3A7">
        <w:rPr>
          <w:rFonts w:ascii="Calibri" w:eastAsia="Calibri" w:hAnsi="Calibri" w:cs="Calibri"/>
          <w:sz w:val="16"/>
          <w:szCs w:val="16"/>
        </w:rPr>
        <w:t xml:space="preserve"> public-</w:t>
      </w:r>
      <w:proofErr w:type="spellStart"/>
      <w:r w:rsidR="6C54F3A7" w:rsidRPr="6C54F3A7">
        <w:rPr>
          <w:rFonts w:ascii="Calibri" w:eastAsia="Calibri" w:hAnsi="Calibri" w:cs="Calibri"/>
          <w:sz w:val="16"/>
          <w:szCs w:val="16"/>
        </w:rPr>
        <w:t>health</w:t>
      </w:r>
      <w:proofErr w:type="spellEnd"/>
      <w:r w:rsidR="6C54F3A7" w:rsidRPr="6C54F3A7">
        <w:rPr>
          <w:rFonts w:ascii="Calibri" w:eastAsia="Calibri" w:hAnsi="Calibri" w:cs="Calibri"/>
          <w:sz w:val="16"/>
          <w:szCs w:val="16"/>
        </w:rPr>
        <w:t xml:space="preserve"> response to COVID-19. </w:t>
      </w:r>
      <w:proofErr w:type="spellStart"/>
      <w:r w:rsidR="6C54F3A7" w:rsidRPr="6C54F3A7">
        <w:rPr>
          <w:rFonts w:ascii="Calibri" w:eastAsia="Calibri" w:hAnsi="Calibri" w:cs="Calibri"/>
          <w:sz w:val="16"/>
          <w:szCs w:val="16"/>
        </w:rPr>
        <w:t>Nat</w:t>
      </w:r>
      <w:proofErr w:type="spellEnd"/>
      <w:r w:rsidR="6C54F3A7" w:rsidRPr="6C54F3A7">
        <w:rPr>
          <w:rFonts w:ascii="Calibri" w:eastAsia="Calibri" w:hAnsi="Calibri" w:cs="Calibri"/>
          <w:sz w:val="16"/>
          <w:szCs w:val="16"/>
        </w:rPr>
        <w:t xml:space="preserve"> Med 26, 1183–1192 (2020). https://doi.org/10.1038/s41591-020-1011-4</w:t>
      </w:r>
    </w:p>
  </w:footnote>
  <w:footnote w:id="26">
    <w:p w14:paraId="5CC88C3F" w14:textId="7060BC97" w:rsidR="008A42B9" w:rsidRPr="0010361B" w:rsidRDefault="008A42B9" w:rsidP="6C54F3A7">
      <w:pPr>
        <w:tabs>
          <w:tab w:val="left" w:pos="284"/>
        </w:tabs>
        <w:spacing w:after="0" w:line="240" w:lineRule="auto"/>
        <w:jc w:val="both"/>
        <w:rPr>
          <w:rFonts w:ascii="Times New Roman" w:hAnsi="Times New Roman" w:cs="Times New Roman"/>
          <w:sz w:val="18"/>
          <w:szCs w:val="18"/>
        </w:rPr>
      </w:pPr>
      <w:r w:rsidRPr="6C54F3A7">
        <w:rPr>
          <w:rFonts w:ascii="Calibri" w:eastAsia="Calibri" w:hAnsi="Calibri" w:cs="Calibri"/>
          <w:sz w:val="16"/>
          <w:szCs w:val="16"/>
          <w:vertAlign w:val="superscript"/>
        </w:rPr>
        <w:footnoteRef/>
      </w:r>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Chapter</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Title</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Critic</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advocate</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enforcer</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the</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multiple</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roles</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of</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academics</w:t>
      </w:r>
      <w:proofErr w:type="spellEnd"/>
      <w:r w:rsidR="6C54F3A7" w:rsidRPr="6C54F3A7">
        <w:rPr>
          <w:rFonts w:ascii="Calibri" w:eastAsia="Calibri" w:hAnsi="Calibri" w:cs="Calibri"/>
          <w:sz w:val="16"/>
          <w:szCs w:val="16"/>
        </w:rPr>
        <w:t xml:space="preserve"> in public </w:t>
      </w:r>
      <w:proofErr w:type="spellStart"/>
      <w:r w:rsidR="6C54F3A7" w:rsidRPr="6C54F3A7">
        <w:rPr>
          <w:rFonts w:ascii="Calibri" w:eastAsia="Calibri" w:hAnsi="Calibri" w:cs="Calibri"/>
          <w:sz w:val="16"/>
          <w:szCs w:val="16"/>
        </w:rPr>
        <w:t>policy</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Chapter</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Author</w:t>
      </w:r>
      <w:proofErr w:type="spellEnd"/>
      <w:r w:rsidR="6C54F3A7" w:rsidRPr="6C54F3A7">
        <w:rPr>
          <w:rFonts w:ascii="Calibri" w:eastAsia="Calibri" w:hAnsi="Calibri" w:cs="Calibri"/>
          <w:sz w:val="16"/>
          <w:szCs w:val="16"/>
        </w:rPr>
        <w:t xml:space="preserve">(s): John Paul </w:t>
      </w:r>
      <w:proofErr w:type="spellStart"/>
      <w:r w:rsidR="6C54F3A7" w:rsidRPr="6C54F3A7">
        <w:rPr>
          <w:rFonts w:ascii="Calibri" w:eastAsia="Calibri" w:hAnsi="Calibri" w:cs="Calibri"/>
          <w:sz w:val="16"/>
          <w:szCs w:val="16"/>
        </w:rPr>
        <w:t>Catungal</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Book</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Title</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Engaging</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with</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Policy</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Practice</w:t>
      </w:r>
      <w:proofErr w:type="spellEnd"/>
      <w:r w:rsidR="6C54F3A7" w:rsidRPr="6C54F3A7">
        <w:rPr>
          <w:rFonts w:ascii="Calibri" w:eastAsia="Calibri" w:hAnsi="Calibri" w:cs="Calibri"/>
          <w:sz w:val="16"/>
          <w:szCs w:val="16"/>
        </w:rPr>
        <w:t xml:space="preserve"> and </w:t>
      </w:r>
      <w:proofErr w:type="spellStart"/>
      <w:r w:rsidR="6C54F3A7" w:rsidRPr="6C54F3A7">
        <w:rPr>
          <w:rFonts w:ascii="Calibri" w:eastAsia="Calibri" w:hAnsi="Calibri" w:cs="Calibri"/>
          <w:sz w:val="16"/>
          <w:szCs w:val="16"/>
        </w:rPr>
        <w:t>Publics</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Book</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Subtitle</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Intersectionality</w:t>
      </w:r>
      <w:proofErr w:type="spellEnd"/>
      <w:r w:rsidR="6C54F3A7" w:rsidRPr="6C54F3A7">
        <w:rPr>
          <w:rFonts w:ascii="Calibri" w:eastAsia="Calibri" w:hAnsi="Calibri" w:cs="Calibri"/>
          <w:sz w:val="16"/>
          <w:szCs w:val="16"/>
        </w:rPr>
        <w:t xml:space="preserve"> and </w:t>
      </w:r>
      <w:proofErr w:type="spellStart"/>
      <w:r w:rsidR="6C54F3A7" w:rsidRPr="6C54F3A7">
        <w:rPr>
          <w:rFonts w:ascii="Calibri" w:eastAsia="Calibri" w:hAnsi="Calibri" w:cs="Calibri"/>
          <w:sz w:val="16"/>
          <w:szCs w:val="16"/>
        </w:rPr>
        <w:t>ImpactsBook</w:t>
      </w:r>
      <w:proofErr w:type="spellEnd"/>
      <w:r w:rsidR="6C54F3A7" w:rsidRPr="6C54F3A7">
        <w:rPr>
          <w:rFonts w:ascii="Calibri" w:eastAsia="Calibri" w:hAnsi="Calibri" w:cs="Calibri"/>
          <w:sz w:val="16"/>
          <w:szCs w:val="16"/>
        </w:rPr>
        <w:t xml:space="preserve"> Editor(s): SARAH MARIE HALL, RALITSA HITEVA, </w:t>
      </w:r>
      <w:proofErr w:type="spellStart"/>
      <w:r w:rsidR="6C54F3A7" w:rsidRPr="6C54F3A7">
        <w:rPr>
          <w:rFonts w:ascii="Calibri" w:eastAsia="Calibri" w:hAnsi="Calibri" w:cs="Calibri"/>
          <w:sz w:val="16"/>
          <w:szCs w:val="16"/>
        </w:rPr>
        <w:t>Published</w:t>
      </w:r>
      <w:proofErr w:type="spellEnd"/>
      <w:r w:rsidR="6C54F3A7" w:rsidRPr="6C54F3A7">
        <w:rPr>
          <w:rFonts w:ascii="Calibri" w:eastAsia="Calibri" w:hAnsi="Calibri" w:cs="Calibri"/>
          <w:sz w:val="16"/>
          <w:szCs w:val="16"/>
        </w:rPr>
        <w:t xml:space="preserve"> by: Bristol University </w:t>
      </w:r>
      <w:proofErr w:type="spellStart"/>
      <w:r w:rsidR="6C54F3A7" w:rsidRPr="6C54F3A7">
        <w:rPr>
          <w:rFonts w:ascii="Calibri" w:eastAsia="Calibri" w:hAnsi="Calibri" w:cs="Calibri"/>
          <w:sz w:val="16"/>
          <w:szCs w:val="16"/>
        </w:rPr>
        <w:t>Press</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Policy</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Press</w:t>
      </w:r>
      <w:proofErr w:type="spellEnd"/>
      <w:r w:rsidR="6C54F3A7" w:rsidRPr="6C54F3A7">
        <w:rPr>
          <w:rFonts w:ascii="Calibri" w:eastAsia="Calibri" w:hAnsi="Calibri" w:cs="Calibri"/>
          <w:sz w:val="16"/>
          <w:szCs w:val="16"/>
        </w:rPr>
        <w:t xml:space="preserve">. (2020). K významu interpretace zdravotnických dat v komunikačních strategiích např. </w:t>
      </w:r>
      <w:proofErr w:type="spellStart"/>
      <w:r w:rsidR="6C54F3A7" w:rsidRPr="6C54F3A7">
        <w:rPr>
          <w:rFonts w:ascii="Calibri" w:eastAsia="Calibri" w:hAnsi="Calibri" w:cs="Calibri"/>
          <w:sz w:val="16"/>
          <w:szCs w:val="16"/>
        </w:rPr>
        <w:t>Naeem</w:t>
      </w:r>
      <w:proofErr w:type="spellEnd"/>
      <w:r w:rsidR="6C54F3A7" w:rsidRPr="6C54F3A7">
        <w:rPr>
          <w:rFonts w:ascii="Calibri" w:eastAsia="Calibri" w:hAnsi="Calibri" w:cs="Calibri"/>
          <w:sz w:val="16"/>
          <w:szCs w:val="16"/>
        </w:rPr>
        <w:t xml:space="preserve">, S.B. and </w:t>
      </w:r>
      <w:proofErr w:type="spellStart"/>
      <w:r w:rsidR="6C54F3A7" w:rsidRPr="6C54F3A7">
        <w:rPr>
          <w:rFonts w:ascii="Calibri" w:eastAsia="Calibri" w:hAnsi="Calibri" w:cs="Calibri"/>
          <w:sz w:val="16"/>
          <w:szCs w:val="16"/>
        </w:rPr>
        <w:t>Bhatti</w:t>
      </w:r>
      <w:proofErr w:type="spellEnd"/>
      <w:r w:rsidR="6C54F3A7" w:rsidRPr="6C54F3A7">
        <w:rPr>
          <w:rFonts w:ascii="Calibri" w:eastAsia="Calibri" w:hAnsi="Calibri" w:cs="Calibri"/>
          <w:sz w:val="16"/>
          <w:szCs w:val="16"/>
        </w:rPr>
        <w:t xml:space="preserve">, R. (2020), </w:t>
      </w:r>
      <w:proofErr w:type="spellStart"/>
      <w:r w:rsidR="6C54F3A7" w:rsidRPr="6C54F3A7">
        <w:rPr>
          <w:rFonts w:ascii="Calibri" w:eastAsia="Calibri" w:hAnsi="Calibri" w:cs="Calibri"/>
          <w:sz w:val="16"/>
          <w:szCs w:val="16"/>
        </w:rPr>
        <w:t>The</w:t>
      </w:r>
      <w:proofErr w:type="spellEnd"/>
      <w:r w:rsidR="6C54F3A7" w:rsidRPr="6C54F3A7">
        <w:rPr>
          <w:rFonts w:ascii="Calibri" w:eastAsia="Calibri" w:hAnsi="Calibri" w:cs="Calibri"/>
          <w:sz w:val="16"/>
          <w:szCs w:val="16"/>
        </w:rPr>
        <w:t xml:space="preserve"> Covid‐19 ‘</w:t>
      </w:r>
      <w:proofErr w:type="spellStart"/>
      <w:r w:rsidR="6C54F3A7" w:rsidRPr="6C54F3A7">
        <w:rPr>
          <w:rFonts w:ascii="Calibri" w:eastAsia="Calibri" w:hAnsi="Calibri" w:cs="Calibri"/>
          <w:sz w:val="16"/>
          <w:szCs w:val="16"/>
        </w:rPr>
        <w:t>infodemic</w:t>
      </w:r>
      <w:proofErr w:type="spellEnd"/>
      <w:r w:rsidR="6C54F3A7" w:rsidRPr="6C54F3A7">
        <w:rPr>
          <w:rFonts w:ascii="Calibri" w:eastAsia="Calibri" w:hAnsi="Calibri" w:cs="Calibri"/>
          <w:sz w:val="16"/>
          <w:szCs w:val="16"/>
        </w:rPr>
        <w:t xml:space="preserve">’: a </w:t>
      </w:r>
      <w:proofErr w:type="spellStart"/>
      <w:r w:rsidR="6C54F3A7" w:rsidRPr="6C54F3A7">
        <w:rPr>
          <w:rFonts w:ascii="Calibri" w:eastAsia="Calibri" w:hAnsi="Calibri" w:cs="Calibri"/>
          <w:sz w:val="16"/>
          <w:szCs w:val="16"/>
        </w:rPr>
        <w:t>new</w:t>
      </w:r>
      <w:proofErr w:type="spellEnd"/>
      <w:r w:rsidR="6C54F3A7" w:rsidRPr="6C54F3A7">
        <w:rPr>
          <w:rFonts w:ascii="Calibri" w:eastAsia="Calibri" w:hAnsi="Calibri" w:cs="Calibri"/>
          <w:sz w:val="16"/>
          <w:szCs w:val="16"/>
        </w:rPr>
        <w:t xml:space="preserve"> front </w:t>
      </w:r>
      <w:proofErr w:type="spellStart"/>
      <w:r w:rsidR="6C54F3A7" w:rsidRPr="6C54F3A7">
        <w:rPr>
          <w:rFonts w:ascii="Calibri" w:eastAsia="Calibri" w:hAnsi="Calibri" w:cs="Calibri"/>
          <w:sz w:val="16"/>
          <w:szCs w:val="16"/>
        </w:rPr>
        <w:t>for</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information</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professionals</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Health</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Info</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Libr</w:t>
      </w:r>
      <w:proofErr w:type="spellEnd"/>
      <w:r w:rsidR="6C54F3A7" w:rsidRPr="6C54F3A7">
        <w:rPr>
          <w:rFonts w:ascii="Calibri" w:eastAsia="Calibri" w:hAnsi="Calibri" w:cs="Calibri"/>
          <w:sz w:val="16"/>
          <w:szCs w:val="16"/>
        </w:rPr>
        <w:t xml:space="preserve"> J, 37: 233-239. </w:t>
      </w:r>
      <w:hyperlink r:id="rId21" w:history="1">
        <w:r w:rsidR="6C54F3A7" w:rsidRPr="6C54F3A7">
          <w:rPr>
            <w:rFonts w:ascii="Calibri" w:eastAsia="Calibri" w:hAnsi="Calibri" w:cs="Calibri"/>
            <w:sz w:val="16"/>
            <w:szCs w:val="16"/>
          </w:rPr>
          <w:t>https://doi.org/10.1111/hir.12311</w:t>
        </w:r>
      </w:hyperlink>
      <w:r w:rsidR="6C54F3A7" w:rsidRPr="6C54F3A7">
        <w:rPr>
          <w:rFonts w:ascii="Calibri" w:eastAsia="Calibri" w:hAnsi="Calibri" w:cs="Calibri"/>
          <w:sz w:val="16"/>
          <w:szCs w:val="16"/>
        </w:rPr>
        <w:t>.</w:t>
      </w:r>
    </w:p>
  </w:footnote>
  <w:footnote w:id="27">
    <w:p w14:paraId="14B92831" w14:textId="241C6523" w:rsidR="008A42B9" w:rsidRPr="0010361B" w:rsidRDefault="008A42B9" w:rsidP="6C54F3A7">
      <w:pPr>
        <w:pStyle w:val="Textpoznpodarou"/>
        <w:tabs>
          <w:tab w:val="left" w:pos="284"/>
        </w:tabs>
        <w:jc w:val="both"/>
        <w:rPr>
          <w:rFonts w:ascii="Times New Roman" w:hAnsi="Times New Roman" w:cs="Times New Roman"/>
          <w:sz w:val="18"/>
          <w:szCs w:val="18"/>
        </w:rPr>
      </w:pPr>
      <w:r w:rsidRPr="6C54F3A7">
        <w:rPr>
          <w:rStyle w:val="Znakapoznpodarou"/>
          <w:rFonts w:ascii="Calibri" w:eastAsia="Calibri" w:hAnsi="Calibri" w:cs="Calibri"/>
          <w:sz w:val="16"/>
          <w:szCs w:val="16"/>
        </w:rPr>
        <w:footnoteRef/>
      </w:r>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The</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lessons</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of</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failure</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learning</w:t>
      </w:r>
      <w:proofErr w:type="spellEnd"/>
      <w:r w:rsidR="6C54F3A7" w:rsidRPr="6C54F3A7">
        <w:rPr>
          <w:rFonts w:ascii="Calibri" w:eastAsia="Calibri" w:hAnsi="Calibri" w:cs="Calibri"/>
          <w:sz w:val="16"/>
          <w:szCs w:val="16"/>
        </w:rPr>
        <w:t xml:space="preserve"> and </w:t>
      </w:r>
      <w:proofErr w:type="spellStart"/>
      <w:r w:rsidR="6C54F3A7" w:rsidRPr="6C54F3A7">
        <w:rPr>
          <w:rFonts w:ascii="Calibri" w:eastAsia="Calibri" w:hAnsi="Calibri" w:cs="Calibri"/>
          <w:sz w:val="16"/>
          <w:szCs w:val="16"/>
        </w:rPr>
        <w:t>blame</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avoidance</w:t>
      </w:r>
      <w:proofErr w:type="spellEnd"/>
      <w:r w:rsidR="6C54F3A7" w:rsidRPr="6C54F3A7">
        <w:rPr>
          <w:rFonts w:ascii="Calibri" w:eastAsia="Calibri" w:hAnsi="Calibri" w:cs="Calibri"/>
          <w:sz w:val="16"/>
          <w:szCs w:val="16"/>
        </w:rPr>
        <w:t xml:space="preserve"> in public </w:t>
      </w:r>
      <w:proofErr w:type="spellStart"/>
      <w:r w:rsidR="6C54F3A7" w:rsidRPr="6C54F3A7">
        <w:rPr>
          <w:rFonts w:ascii="Calibri" w:eastAsia="Calibri" w:hAnsi="Calibri" w:cs="Calibri"/>
          <w:sz w:val="16"/>
          <w:szCs w:val="16"/>
        </w:rPr>
        <w:t>policy-making</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Author</w:t>
      </w:r>
      <w:proofErr w:type="spellEnd"/>
      <w:r w:rsidR="6C54F3A7" w:rsidRPr="6C54F3A7">
        <w:rPr>
          <w:rFonts w:ascii="Calibri" w:eastAsia="Calibri" w:hAnsi="Calibri" w:cs="Calibri"/>
          <w:sz w:val="16"/>
          <w:szCs w:val="16"/>
        </w:rPr>
        <w:t xml:space="preserve">(s): Michael </w:t>
      </w:r>
      <w:proofErr w:type="spellStart"/>
      <w:r w:rsidR="6C54F3A7" w:rsidRPr="6C54F3A7">
        <w:rPr>
          <w:rFonts w:ascii="Calibri" w:eastAsia="Calibri" w:hAnsi="Calibri" w:cs="Calibri"/>
          <w:sz w:val="16"/>
          <w:szCs w:val="16"/>
        </w:rPr>
        <w:t>Howlett</w:t>
      </w:r>
      <w:proofErr w:type="spellEnd"/>
      <w:r w:rsidR="6C54F3A7" w:rsidRPr="6C54F3A7">
        <w:rPr>
          <w:rFonts w:ascii="Calibri" w:eastAsia="Calibri" w:hAnsi="Calibri" w:cs="Calibri"/>
          <w:sz w:val="16"/>
          <w:szCs w:val="16"/>
        </w:rPr>
        <w:t xml:space="preserve">, Source: International </w:t>
      </w:r>
      <w:proofErr w:type="spellStart"/>
      <w:r w:rsidR="6C54F3A7" w:rsidRPr="6C54F3A7">
        <w:rPr>
          <w:rFonts w:ascii="Calibri" w:eastAsia="Calibri" w:hAnsi="Calibri" w:cs="Calibri"/>
          <w:sz w:val="16"/>
          <w:szCs w:val="16"/>
        </w:rPr>
        <w:t>Political</w:t>
      </w:r>
      <w:proofErr w:type="spellEnd"/>
      <w:r w:rsidR="6C54F3A7" w:rsidRPr="6C54F3A7">
        <w:rPr>
          <w:rFonts w:ascii="Calibri" w:eastAsia="Calibri" w:hAnsi="Calibri" w:cs="Calibri"/>
          <w:sz w:val="16"/>
          <w:szCs w:val="16"/>
        </w:rPr>
        <w:t xml:space="preserve"> Science </w:t>
      </w:r>
      <w:proofErr w:type="spellStart"/>
      <w:r w:rsidR="6C54F3A7" w:rsidRPr="6C54F3A7">
        <w:rPr>
          <w:rFonts w:ascii="Calibri" w:eastAsia="Calibri" w:hAnsi="Calibri" w:cs="Calibri"/>
          <w:sz w:val="16"/>
          <w:szCs w:val="16"/>
        </w:rPr>
        <w:t>Review</w:t>
      </w:r>
      <w:proofErr w:type="spellEnd"/>
      <w:r w:rsidR="6C54F3A7" w:rsidRPr="6C54F3A7">
        <w:rPr>
          <w:rFonts w:ascii="Calibri" w:eastAsia="Calibri" w:hAnsi="Calibri" w:cs="Calibri"/>
          <w:sz w:val="16"/>
          <w:szCs w:val="16"/>
        </w:rPr>
        <w:t xml:space="preserve"> / Revue </w:t>
      </w:r>
      <w:proofErr w:type="spellStart"/>
      <w:r w:rsidR="6C54F3A7" w:rsidRPr="6C54F3A7">
        <w:rPr>
          <w:rFonts w:ascii="Calibri" w:eastAsia="Calibri" w:hAnsi="Calibri" w:cs="Calibri"/>
          <w:sz w:val="16"/>
          <w:szCs w:val="16"/>
        </w:rPr>
        <w:t>internationale</w:t>
      </w:r>
      <w:proofErr w:type="spellEnd"/>
      <w:r w:rsidR="6C54F3A7" w:rsidRPr="6C54F3A7">
        <w:rPr>
          <w:rFonts w:ascii="Calibri" w:eastAsia="Calibri" w:hAnsi="Calibri" w:cs="Calibri"/>
          <w:sz w:val="16"/>
          <w:szCs w:val="16"/>
        </w:rPr>
        <w:t xml:space="preserve"> de science </w:t>
      </w:r>
      <w:proofErr w:type="spellStart"/>
      <w:r w:rsidR="6C54F3A7" w:rsidRPr="6C54F3A7">
        <w:rPr>
          <w:rFonts w:ascii="Calibri" w:eastAsia="Calibri" w:hAnsi="Calibri" w:cs="Calibri"/>
          <w:sz w:val="16"/>
          <w:szCs w:val="16"/>
        </w:rPr>
        <w:t>politique</w:t>
      </w:r>
      <w:proofErr w:type="spellEnd"/>
      <w:r w:rsidR="6C54F3A7" w:rsidRPr="6C54F3A7">
        <w:rPr>
          <w:rFonts w:ascii="Calibri" w:eastAsia="Calibri" w:hAnsi="Calibri" w:cs="Calibri"/>
          <w:sz w:val="16"/>
          <w:szCs w:val="16"/>
        </w:rPr>
        <w:t xml:space="preserve">, NOVEMBER 2012, Vol. 33, No. 5 (NOVEMBER 2012), pp. 539-555, </w:t>
      </w:r>
      <w:proofErr w:type="spellStart"/>
      <w:r w:rsidR="6C54F3A7" w:rsidRPr="6C54F3A7">
        <w:rPr>
          <w:rFonts w:ascii="Calibri" w:eastAsia="Calibri" w:hAnsi="Calibri" w:cs="Calibri"/>
          <w:sz w:val="16"/>
          <w:szCs w:val="16"/>
        </w:rPr>
        <w:t>Published</w:t>
      </w:r>
      <w:proofErr w:type="spellEnd"/>
      <w:r w:rsidR="6C54F3A7" w:rsidRPr="6C54F3A7">
        <w:rPr>
          <w:rFonts w:ascii="Calibri" w:eastAsia="Calibri" w:hAnsi="Calibri" w:cs="Calibri"/>
          <w:sz w:val="16"/>
          <w:szCs w:val="16"/>
        </w:rPr>
        <w:t xml:space="preserve"> by: </w:t>
      </w:r>
      <w:proofErr w:type="spellStart"/>
      <w:r w:rsidR="6C54F3A7" w:rsidRPr="6C54F3A7">
        <w:rPr>
          <w:rFonts w:ascii="Calibri" w:eastAsia="Calibri" w:hAnsi="Calibri" w:cs="Calibri"/>
          <w:sz w:val="16"/>
          <w:szCs w:val="16"/>
        </w:rPr>
        <w:t>Sage</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Publications</w:t>
      </w:r>
      <w:proofErr w:type="spellEnd"/>
      <w:r w:rsidR="6C54F3A7" w:rsidRPr="6C54F3A7">
        <w:rPr>
          <w:rFonts w:ascii="Calibri" w:eastAsia="Calibri" w:hAnsi="Calibri" w:cs="Calibri"/>
          <w:sz w:val="16"/>
          <w:szCs w:val="16"/>
        </w:rPr>
        <w:t>, Ltd</w:t>
      </w:r>
    </w:p>
  </w:footnote>
  <w:footnote w:id="28">
    <w:p w14:paraId="1E478CC3" w14:textId="5E70AFFD" w:rsidR="008A42B9" w:rsidRPr="00B820EF" w:rsidRDefault="008A42B9" w:rsidP="6C54F3A7">
      <w:pPr>
        <w:pStyle w:val="Textpoznpodarou"/>
        <w:tabs>
          <w:tab w:val="left" w:pos="284"/>
        </w:tabs>
        <w:jc w:val="both"/>
        <w:rPr>
          <w:rFonts w:ascii="Times New Roman" w:hAnsi="Times New Roman" w:cs="Times New Roman"/>
          <w:sz w:val="18"/>
          <w:szCs w:val="18"/>
        </w:rPr>
      </w:pPr>
      <w:r w:rsidRPr="6C54F3A7">
        <w:rPr>
          <w:rStyle w:val="Znakapoznpodarou"/>
          <w:rFonts w:ascii="Calibri" w:eastAsia="Calibri" w:hAnsi="Calibri" w:cs="Calibri"/>
          <w:sz w:val="16"/>
          <w:szCs w:val="16"/>
        </w:rPr>
        <w:footnoteRef/>
      </w:r>
      <w:r w:rsidR="6C54F3A7" w:rsidRPr="6C54F3A7">
        <w:rPr>
          <w:rFonts w:ascii="Calibri" w:eastAsia="Calibri" w:hAnsi="Calibri" w:cs="Calibri"/>
          <w:sz w:val="16"/>
          <w:szCs w:val="16"/>
        </w:rPr>
        <w:t>) Strategický rámec Česká republika 2030 [online]. Praha: Úřad vlády České republiky, Odbor pro udržitelný rozvoj, 2017 [cit. 2020-08-03], s. 94.Tamtéž, Příloha 1, s. 201-202.</w:t>
      </w:r>
    </w:p>
  </w:footnote>
  <w:footnote w:id="29">
    <w:p w14:paraId="39EFC7B8" w14:textId="7F8ECE7E" w:rsidR="008A42B9" w:rsidRDefault="008A42B9" w:rsidP="6C54F3A7">
      <w:pPr>
        <w:pStyle w:val="Textpoznpodarou"/>
      </w:pPr>
      <w:r w:rsidRPr="6C54F3A7">
        <w:rPr>
          <w:rStyle w:val="Znakapoznpodarou"/>
          <w:rFonts w:ascii="Calibri" w:eastAsia="Calibri" w:hAnsi="Calibri" w:cs="Calibri"/>
          <w:sz w:val="16"/>
          <w:szCs w:val="16"/>
        </w:rPr>
        <w:footnoteRef/>
      </w:r>
      <w:r w:rsidR="6C54F3A7" w:rsidRPr="6C54F3A7">
        <w:rPr>
          <w:rFonts w:ascii="Calibri" w:eastAsia="Calibri" w:hAnsi="Calibri" w:cs="Calibri"/>
          <w:sz w:val="16"/>
          <w:szCs w:val="16"/>
        </w:rPr>
        <w:t>) Strategický rámec Česká republika 2030, Příloha 1, s. 201-202.</w:t>
      </w:r>
    </w:p>
  </w:footnote>
  <w:footnote w:id="30">
    <w:p w14:paraId="055C97BA" w14:textId="6FAD3DFF" w:rsidR="008A42B9" w:rsidRPr="00992741" w:rsidRDefault="008A42B9" w:rsidP="6C54F3A7">
      <w:pPr>
        <w:pStyle w:val="Textpoznpodarou"/>
        <w:jc w:val="both"/>
        <w:rPr>
          <w:rFonts w:ascii="Times New Roman" w:hAnsi="Times New Roman" w:cs="Times New Roman"/>
          <w:color w:val="auto"/>
          <w:sz w:val="18"/>
          <w:szCs w:val="18"/>
        </w:rPr>
      </w:pPr>
      <w:r w:rsidRPr="6C54F3A7">
        <w:rPr>
          <w:rStyle w:val="Znakapoznpodarou"/>
          <w:rFonts w:ascii="Calibri" w:eastAsia="Calibri" w:hAnsi="Calibri" w:cs="Calibri"/>
          <w:color w:val="auto"/>
          <w:sz w:val="16"/>
          <w:szCs w:val="16"/>
        </w:rPr>
        <w:footnoteRef/>
      </w:r>
      <w:r w:rsidR="6C54F3A7" w:rsidRPr="6C54F3A7">
        <w:rPr>
          <w:rFonts w:ascii="Calibri" w:eastAsia="Calibri" w:hAnsi="Calibri" w:cs="Calibri"/>
          <w:color w:val="auto"/>
          <w:sz w:val="16"/>
          <w:szCs w:val="16"/>
        </w:rPr>
        <w:t>)</w:t>
      </w:r>
      <w:r w:rsidRPr="00992741">
        <w:rPr>
          <w:rFonts w:ascii="Times New Roman" w:hAnsi="Times New Roman" w:cs="Times New Roman"/>
        </w:rPr>
        <w:tab/>
      </w:r>
      <w:r w:rsidR="6C54F3A7" w:rsidRPr="6C54F3A7">
        <w:rPr>
          <w:rFonts w:ascii="Calibri" w:eastAsia="Calibri" w:hAnsi="Calibri" w:cs="Calibri"/>
          <w:color w:val="auto"/>
          <w:sz w:val="16"/>
          <w:szCs w:val="16"/>
        </w:rPr>
        <w:t>Například výzkumná studie „Analýza bariér a strategie podpory rovných příležitostí ve vědě/</w:t>
      </w:r>
      <w:proofErr w:type="spellStart"/>
      <w:r w:rsidR="6C54F3A7" w:rsidRPr="6C54F3A7">
        <w:rPr>
          <w:rFonts w:ascii="Calibri" w:eastAsia="Calibri" w:hAnsi="Calibri" w:cs="Calibri"/>
          <w:color w:val="auto"/>
          <w:sz w:val="16"/>
          <w:szCs w:val="16"/>
        </w:rPr>
        <w:t>Analysis</w:t>
      </w:r>
      <w:proofErr w:type="spellEnd"/>
      <w:r w:rsidR="6C54F3A7" w:rsidRPr="6C54F3A7">
        <w:rPr>
          <w:rFonts w:ascii="Calibri" w:eastAsia="Calibri" w:hAnsi="Calibri" w:cs="Calibri"/>
          <w:color w:val="auto"/>
          <w:sz w:val="16"/>
          <w:szCs w:val="16"/>
        </w:rPr>
        <w:t xml:space="preserve"> </w:t>
      </w:r>
      <w:proofErr w:type="spellStart"/>
      <w:r w:rsidR="6C54F3A7" w:rsidRPr="6C54F3A7">
        <w:rPr>
          <w:rFonts w:ascii="Calibri" w:eastAsia="Calibri" w:hAnsi="Calibri" w:cs="Calibri"/>
          <w:color w:val="auto"/>
          <w:sz w:val="16"/>
          <w:szCs w:val="16"/>
        </w:rPr>
        <w:t>of</w:t>
      </w:r>
      <w:proofErr w:type="spellEnd"/>
      <w:r w:rsidR="6C54F3A7" w:rsidRPr="6C54F3A7">
        <w:rPr>
          <w:rFonts w:ascii="Calibri" w:eastAsia="Calibri" w:hAnsi="Calibri" w:cs="Calibri"/>
          <w:color w:val="auto"/>
          <w:sz w:val="16"/>
          <w:szCs w:val="16"/>
        </w:rPr>
        <w:t xml:space="preserve"> </w:t>
      </w:r>
      <w:proofErr w:type="spellStart"/>
      <w:r w:rsidR="6C54F3A7" w:rsidRPr="6C54F3A7">
        <w:rPr>
          <w:rFonts w:ascii="Calibri" w:eastAsia="Calibri" w:hAnsi="Calibri" w:cs="Calibri"/>
          <w:color w:val="auto"/>
          <w:sz w:val="16"/>
          <w:szCs w:val="16"/>
        </w:rPr>
        <w:t>barriers</w:t>
      </w:r>
      <w:proofErr w:type="spellEnd"/>
      <w:r w:rsidR="6C54F3A7" w:rsidRPr="6C54F3A7">
        <w:rPr>
          <w:rFonts w:ascii="Calibri" w:eastAsia="Calibri" w:hAnsi="Calibri" w:cs="Calibri"/>
          <w:color w:val="auto"/>
          <w:sz w:val="16"/>
          <w:szCs w:val="16"/>
        </w:rPr>
        <w:t xml:space="preserve"> and </w:t>
      </w:r>
      <w:proofErr w:type="spellStart"/>
      <w:r w:rsidR="6C54F3A7" w:rsidRPr="6C54F3A7">
        <w:rPr>
          <w:rFonts w:ascii="Calibri" w:eastAsia="Calibri" w:hAnsi="Calibri" w:cs="Calibri"/>
          <w:color w:val="auto"/>
          <w:sz w:val="16"/>
          <w:szCs w:val="16"/>
        </w:rPr>
        <w:t>strategy</w:t>
      </w:r>
      <w:proofErr w:type="spellEnd"/>
      <w:r w:rsidR="6C54F3A7" w:rsidRPr="6C54F3A7">
        <w:rPr>
          <w:rFonts w:ascii="Calibri" w:eastAsia="Calibri" w:hAnsi="Calibri" w:cs="Calibri"/>
          <w:color w:val="auto"/>
          <w:sz w:val="16"/>
          <w:szCs w:val="16"/>
        </w:rPr>
        <w:t xml:space="preserve"> </w:t>
      </w:r>
      <w:proofErr w:type="spellStart"/>
      <w:r w:rsidR="6C54F3A7" w:rsidRPr="6C54F3A7">
        <w:rPr>
          <w:rFonts w:ascii="Calibri" w:eastAsia="Calibri" w:hAnsi="Calibri" w:cs="Calibri"/>
          <w:color w:val="auto"/>
          <w:sz w:val="16"/>
          <w:szCs w:val="16"/>
        </w:rPr>
        <w:t>promoting</w:t>
      </w:r>
      <w:proofErr w:type="spellEnd"/>
      <w:r w:rsidR="6C54F3A7" w:rsidRPr="6C54F3A7">
        <w:rPr>
          <w:rFonts w:ascii="Calibri" w:eastAsia="Calibri" w:hAnsi="Calibri" w:cs="Calibri"/>
          <w:color w:val="auto"/>
          <w:sz w:val="16"/>
          <w:szCs w:val="16"/>
        </w:rPr>
        <w:t xml:space="preserve"> gender (2017–2018)“viz </w:t>
      </w:r>
      <w:hyperlink r:id="rId22" w:history="1">
        <w:r w:rsidR="6C54F3A7" w:rsidRPr="6C54F3A7">
          <w:rPr>
            <w:rStyle w:val="Hypertextovodkaz"/>
            <w:rFonts w:ascii="Calibri" w:eastAsia="Calibri" w:hAnsi="Calibri" w:cs="Calibri"/>
            <w:color w:val="auto"/>
            <w:sz w:val="16"/>
            <w:szCs w:val="16"/>
          </w:rPr>
          <w:t>https://genderaveda.cz/vyzkum</w:t>
        </w:r>
      </w:hyperlink>
      <w:r w:rsidR="6C54F3A7" w:rsidRPr="6C54F3A7">
        <w:rPr>
          <w:rFonts w:ascii="Calibri" w:eastAsia="Calibri" w:hAnsi="Calibri" w:cs="Calibri"/>
          <w:color w:val="auto"/>
          <w:sz w:val="16"/>
          <w:szCs w:val="16"/>
        </w:rPr>
        <w:t>, resp. https://genderaveda.cz/en/research/</w:t>
      </w:r>
    </w:p>
  </w:footnote>
  <w:footnote w:id="31">
    <w:p w14:paraId="3035C171" w14:textId="45AFE7BC" w:rsidR="008A42B9" w:rsidRPr="00992741" w:rsidRDefault="008A42B9" w:rsidP="6C54F3A7">
      <w:pPr>
        <w:pStyle w:val="Textpoznpodarou"/>
        <w:jc w:val="both"/>
        <w:rPr>
          <w:rFonts w:ascii="Times New Roman" w:hAnsi="Times New Roman" w:cs="Times New Roman"/>
        </w:rPr>
      </w:pPr>
      <w:r w:rsidRPr="6C54F3A7">
        <w:rPr>
          <w:rStyle w:val="Znakapoznpodarou"/>
          <w:rFonts w:ascii="Calibri" w:eastAsia="Calibri" w:hAnsi="Calibri" w:cs="Calibri"/>
          <w:sz w:val="16"/>
          <w:szCs w:val="16"/>
        </w:rPr>
        <w:footnoteRef/>
      </w:r>
      <w:r w:rsidR="6C54F3A7" w:rsidRPr="6C54F3A7">
        <w:rPr>
          <w:rFonts w:ascii="Calibri" w:eastAsia="Calibri" w:hAnsi="Calibri" w:cs="Calibri"/>
          <w:sz w:val="16"/>
          <w:szCs w:val="16"/>
        </w:rPr>
        <w:t>)</w:t>
      </w:r>
      <w:r w:rsidRPr="00992741">
        <w:rPr>
          <w:rFonts w:ascii="Times New Roman" w:hAnsi="Times New Roman" w:cs="Times New Roman"/>
          <w:sz w:val="18"/>
          <w:szCs w:val="18"/>
        </w:rPr>
        <w:tab/>
      </w:r>
      <w:r w:rsidR="6C54F3A7" w:rsidRPr="6C54F3A7">
        <w:rPr>
          <w:rFonts w:ascii="Calibri" w:eastAsia="Calibri" w:hAnsi="Calibri" w:cs="Calibri"/>
          <w:sz w:val="16"/>
          <w:szCs w:val="16"/>
        </w:rPr>
        <w:t xml:space="preserve">podrobnosti též </w:t>
      </w:r>
      <w:r w:rsidR="6C54F3A7" w:rsidRPr="6C54F3A7">
        <w:rPr>
          <w:rStyle w:val="Odkaznakoment"/>
          <w:rFonts w:ascii="Calibri" w:eastAsia="Calibri" w:hAnsi="Calibri" w:cs="Calibri"/>
        </w:rPr>
        <w:t>na https://genderaction.eu/wp-content/uploads/2020/06/D3.2._MonitoringERApriority4implementation.pdf</w:t>
      </w:r>
      <w:r w:rsidR="6C54F3A7" w:rsidRPr="6C54F3A7">
        <w:rPr>
          <w:rFonts w:ascii="Calibri" w:eastAsia="Calibri" w:hAnsi="Calibri" w:cs="Calibri"/>
          <w:sz w:val="16"/>
          <w:szCs w:val="16"/>
        </w:rPr>
        <w:t xml:space="preserve"> </w:t>
      </w:r>
    </w:p>
  </w:footnote>
  <w:footnote w:id="32">
    <w:p w14:paraId="1A071AA3" w14:textId="372AB8FB" w:rsidR="00BA5F8E" w:rsidRPr="00587A19" w:rsidRDefault="00BA5F8E" w:rsidP="6C54F3A7">
      <w:pPr>
        <w:pStyle w:val="Textpoznpodarou"/>
        <w:jc w:val="both"/>
        <w:rPr>
          <w:rFonts w:ascii="Times New Roman" w:hAnsi="Times New Roman" w:cs="Times New Roman"/>
        </w:rPr>
      </w:pPr>
      <w:r w:rsidRPr="6C54F3A7">
        <w:rPr>
          <w:rStyle w:val="Znakapoznpodarou"/>
          <w:rFonts w:ascii="Calibri" w:eastAsia="Calibri" w:hAnsi="Calibri" w:cs="Calibri"/>
          <w:sz w:val="16"/>
          <w:szCs w:val="16"/>
        </w:rPr>
        <w:footnoteRef/>
      </w:r>
      <w:r w:rsidR="6C54F3A7" w:rsidRPr="6C54F3A7">
        <w:rPr>
          <w:rFonts w:ascii="Calibri" w:eastAsia="Calibri" w:hAnsi="Calibri" w:cs="Calibri"/>
          <w:sz w:val="16"/>
          <w:szCs w:val="16"/>
        </w:rPr>
        <w:t>)</w:t>
      </w:r>
      <w:r>
        <w:tab/>
      </w:r>
      <w:r w:rsidR="6C54F3A7" w:rsidRPr="6C54F3A7">
        <w:rPr>
          <w:rFonts w:ascii="Calibri" w:eastAsia="Calibri" w:hAnsi="Calibri" w:cs="Calibri"/>
          <w:sz w:val="16"/>
          <w:szCs w:val="16"/>
        </w:rPr>
        <w:t xml:space="preserve">Inovační strategie České republiky 2019-2030 byla přijata usnesením vlády ČR č. 104 ze dne 4. února 2019. Jedná se o strategický rámcový plán, který předurčuje vládní politiku v oblasti výzkumu, vývoje a inovací a má pomoci České republice se během dvanácti let posunout mezi nejinovativnější země Evropy. Skládá se z devíti navzájem provázaných pilířů, které obsahují východiska, základní strategické cíle a nástroje vedoucí k jejich naplnění. Jsou jimi oblasti: </w:t>
      </w:r>
      <w:r w:rsidR="6C54F3A7" w:rsidRPr="6C54F3A7">
        <w:rPr>
          <w:rStyle w:val="Siln"/>
          <w:rFonts w:ascii="Calibri" w:eastAsia="Calibri" w:hAnsi="Calibri" w:cs="Calibri"/>
          <w:b w:val="0"/>
          <w:bCs w:val="0"/>
          <w:sz w:val="16"/>
          <w:szCs w:val="16"/>
        </w:rPr>
        <w:t>Financování a hodnocení výzkumu a vývoje, Inovační a výzkumná centra, Národní start-up a spin-</w:t>
      </w:r>
      <w:proofErr w:type="spellStart"/>
      <w:r w:rsidR="6C54F3A7" w:rsidRPr="6C54F3A7">
        <w:rPr>
          <w:rStyle w:val="Siln"/>
          <w:rFonts w:ascii="Calibri" w:eastAsia="Calibri" w:hAnsi="Calibri" w:cs="Calibri"/>
          <w:b w:val="0"/>
          <w:bCs w:val="0"/>
          <w:sz w:val="16"/>
          <w:szCs w:val="16"/>
        </w:rPr>
        <w:t>off</w:t>
      </w:r>
      <w:proofErr w:type="spellEnd"/>
      <w:r w:rsidR="6C54F3A7" w:rsidRPr="6C54F3A7">
        <w:rPr>
          <w:rStyle w:val="Siln"/>
          <w:rFonts w:ascii="Calibri" w:eastAsia="Calibri" w:hAnsi="Calibri" w:cs="Calibri"/>
          <w:b w:val="0"/>
          <w:bCs w:val="0"/>
          <w:sz w:val="16"/>
          <w:szCs w:val="16"/>
        </w:rPr>
        <w:t xml:space="preserve"> prostředí, Polytechnické vzdělávání, Digitalizace, Mobilita a stavební prostředí, Ochrana duševního vlastnictví, Chytré investice a Chytrý marketing. Druhý z pilířů obsahuje závazek MŠMT připravit návrh takovéhoto nového programu. Dílčí jednání se zástupci některých klíčových </w:t>
      </w:r>
      <w:proofErr w:type="spellStart"/>
      <w:r w:rsidR="6C54F3A7" w:rsidRPr="6C54F3A7">
        <w:rPr>
          <w:rStyle w:val="Siln"/>
          <w:rFonts w:ascii="Calibri" w:eastAsia="Calibri" w:hAnsi="Calibri" w:cs="Calibri"/>
          <w:b w:val="0"/>
          <w:bCs w:val="0"/>
          <w:sz w:val="16"/>
          <w:szCs w:val="16"/>
        </w:rPr>
        <w:t>stakeholderů</w:t>
      </w:r>
      <w:proofErr w:type="spellEnd"/>
      <w:r w:rsidR="6C54F3A7" w:rsidRPr="6C54F3A7">
        <w:rPr>
          <w:rStyle w:val="Siln"/>
          <w:rFonts w:ascii="Calibri" w:eastAsia="Calibri" w:hAnsi="Calibri" w:cs="Calibri"/>
          <w:b w:val="0"/>
          <w:bCs w:val="0"/>
          <w:sz w:val="16"/>
          <w:szCs w:val="16"/>
        </w:rPr>
        <w:t xml:space="preserve"> jako je RVVI nebo GAČR proběhla podle akčního plánu (karty) Inovační strategie již ve třetím a čtvrtém čtvrtletí roku 2019, </w:t>
      </w:r>
      <w:r w:rsidR="6C54F3A7" w:rsidRPr="6C54F3A7">
        <w:rPr>
          <w:rFonts w:ascii="Calibri" w:eastAsia="Calibri" w:hAnsi="Calibri" w:cs="Calibri"/>
          <w:sz w:val="16"/>
          <w:szCs w:val="16"/>
        </w:rPr>
        <w:t xml:space="preserve">Strategický rámec ČR 2030 identifikuje nedostatečné využívání evidence </w:t>
      </w:r>
      <w:proofErr w:type="spellStart"/>
      <w:r w:rsidR="6C54F3A7" w:rsidRPr="6C54F3A7">
        <w:rPr>
          <w:rFonts w:ascii="Calibri" w:eastAsia="Calibri" w:hAnsi="Calibri" w:cs="Calibri"/>
          <w:sz w:val="16"/>
          <w:szCs w:val="16"/>
        </w:rPr>
        <w:t>based</w:t>
      </w:r>
      <w:proofErr w:type="spellEnd"/>
      <w:r w:rsidR="6C54F3A7" w:rsidRPr="6C54F3A7">
        <w:rPr>
          <w:rFonts w:ascii="Calibri" w:eastAsia="Calibri" w:hAnsi="Calibri" w:cs="Calibri"/>
          <w:sz w:val="16"/>
          <w:szCs w:val="16"/>
        </w:rPr>
        <w:t xml:space="preserve"> </w:t>
      </w:r>
      <w:proofErr w:type="spellStart"/>
      <w:r w:rsidR="6C54F3A7" w:rsidRPr="6C54F3A7">
        <w:rPr>
          <w:rFonts w:ascii="Calibri" w:eastAsia="Calibri" w:hAnsi="Calibri" w:cs="Calibri"/>
          <w:sz w:val="16"/>
          <w:szCs w:val="16"/>
        </w:rPr>
        <w:t>policy</w:t>
      </w:r>
      <w:proofErr w:type="spellEnd"/>
      <w:r w:rsidR="6C54F3A7" w:rsidRPr="6C54F3A7">
        <w:rPr>
          <w:rFonts w:ascii="Calibri" w:eastAsia="Calibri" w:hAnsi="Calibri" w:cs="Calibri"/>
          <w:sz w:val="16"/>
          <w:szCs w:val="16"/>
        </w:rPr>
        <w:t xml:space="preserve"> přístupu v rámci SWOT analýzy. Strategický rámec Česká republika 2030 [online]. Praha: Úřad vlády České republiky, Odbor pro udržitelný rozvoj, 2017 [cit. 2020-08-03, </w:t>
      </w:r>
      <w:bookmarkStart w:id="4" w:name="_Hlk70613692"/>
      <w:r w:rsidR="6C54F3A7" w:rsidRPr="6C54F3A7">
        <w:rPr>
          <w:rFonts w:ascii="Calibri" w:eastAsia="Calibri" w:hAnsi="Calibri" w:cs="Calibri"/>
          <w:sz w:val="16"/>
          <w:szCs w:val="16"/>
        </w:rPr>
        <w:t>Strategický rámec rozvoje péče o zdraví v České republice do roku 2030. Zdraví 2030, schválený usnesením vlády ČR ze dne 13. července 2020</w:t>
      </w:r>
      <w:bookmarkEnd w:id="4"/>
      <w:r w:rsidR="6C54F3A7" w:rsidRPr="6C54F3A7">
        <w:rPr>
          <w:rFonts w:ascii="Calibri" w:eastAsia="Calibri" w:hAnsi="Calibri" w:cs="Calibri"/>
          <w:sz w:val="16"/>
          <w:szCs w:val="16"/>
        </w:rPr>
        <w:t xml:space="preserve"> č. 743 </w:t>
      </w:r>
    </w:p>
  </w:footnote>
  <w:footnote w:id="33">
    <w:p w14:paraId="1A7FFDA1" w14:textId="266E4CD1" w:rsidR="008A42B9" w:rsidRDefault="008A42B9" w:rsidP="6C54F3A7">
      <w:pPr>
        <w:pStyle w:val="Textpoznpodarou"/>
        <w:jc w:val="both"/>
      </w:pPr>
      <w:r w:rsidRPr="6C54F3A7">
        <w:rPr>
          <w:rStyle w:val="Znakapoznpodarou"/>
          <w:rFonts w:ascii="Calibri" w:eastAsia="Calibri" w:hAnsi="Calibri" w:cs="Calibri"/>
          <w:sz w:val="16"/>
          <w:szCs w:val="16"/>
        </w:rPr>
        <w:footnoteRef/>
      </w:r>
      <w:r w:rsidR="6C54F3A7" w:rsidRPr="6C54F3A7">
        <w:rPr>
          <w:rFonts w:ascii="Calibri" w:eastAsia="Calibri" w:hAnsi="Calibri" w:cs="Calibri"/>
          <w:sz w:val="16"/>
          <w:szCs w:val="16"/>
        </w:rPr>
        <w:t xml:space="preserve">) Kučera, </w:t>
      </w:r>
      <w:proofErr w:type="spellStart"/>
      <w:r w:rsidR="6C54F3A7" w:rsidRPr="6C54F3A7">
        <w:rPr>
          <w:rFonts w:ascii="Calibri" w:eastAsia="Calibri" w:hAnsi="Calibri" w:cs="Calibri"/>
          <w:sz w:val="16"/>
          <w:szCs w:val="16"/>
        </w:rPr>
        <w:t>Zd</w:t>
      </w:r>
      <w:proofErr w:type="spellEnd"/>
      <w:r w:rsidR="6C54F3A7" w:rsidRPr="6C54F3A7">
        <w:rPr>
          <w:rFonts w:ascii="Calibri" w:eastAsia="Calibri" w:hAnsi="Calibri" w:cs="Calibri"/>
          <w:sz w:val="16"/>
          <w:szCs w:val="16"/>
        </w:rPr>
        <w:t xml:space="preserve">. et al.: </w:t>
      </w:r>
      <w:proofErr w:type="spellStart"/>
      <w:r w:rsidR="6C54F3A7" w:rsidRPr="6C54F3A7">
        <w:rPr>
          <w:rFonts w:ascii="Calibri" w:eastAsia="Calibri" w:hAnsi="Calibri" w:cs="Calibri"/>
          <w:sz w:val="16"/>
          <w:szCs w:val="16"/>
        </w:rPr>
        <w:t>Ibid</w:t>
      </w:r>
      <w:proofErr w:type="spellEnd"/>
      <w:r w:rsidR="6C54F3A7" w:rsidRPr="6C54F3A7">
        <w:rPr>
          <w:rFonts w:ascii="Calibri" w:eastAsia="Calibri" w:hAnsi="Calibri" w:cs="Calibri"/>
          <w:sz w:val="16"/>
          <w:szCs w:val="16"/>
        </w:rPr>
        <w:t xml:space="preserve">, Kučera </w:t>
      </w:r>
      <w:proofErr w:type="spellStart"/>
      <w:r w:rsidR="6C54F3A7" w:rsidRPr="6C54F3A7">
        <w:rPr>
          <w:rFonts w:ascii="Calibri" w:eastAsia="Calibri" w:hAnsi="Calibri" w:cs="Calibri"/>
          <w:sz w:val="16"/>
          <w:szCs w:val="16"/>
        </w:rPr>
        <w:t>Zd</w:t>
      </w:r>
      <w:proofErr w:type="spellEnd"/>
      <w:r w:rsidR="6C54F3A7" w:rsidRPr="6C54F3A7">
        <w:rPr>
          <w:rFonts w:ascii="Calibri" w:eastAsia="Calibri" w:hAnsi="Calibri" w:cs="Calibri"/>
          <w:sz w:val="16"/>
          <w:szCs w:val="16"/>
        </w:rPr>
        <w:t xml:space="preserve">., Vondrák T., Pecha O.: Posouzení kapacit a zaměření zdravotního </w:t>
      </w:r>
      <w:proofErr w:type="spellStart"/>
      <w:r w:rsidR="6C54F3A7" w:rsidRPr="6C54F3A7">
        <w:rPr>
          <w:rFonts w:ascii="Calibri" w:eastAsia="Calibri" w:hAnsi="Calibri" w:cs="Calibri"/>
          <w:sz w:val="16"/>
          <w:szCs w:val="16"/>
        </w:rPr>
        <w:t>VaV</w:t>
      </w:r>
      <w:proofErr w:type="spellEnd"/>
      <w:r w:rsidR="6C54F3A7" w:rsidRPr="6C54F3A7">
        <w:rPr>
          <w:rFonts w:ascii="Calibri" w:eastAsia="Calibri" w:hAnsi="Calibri" w:cs="Calibri"/>
          <w:sz w:val="16"/>
          <w:szCs w:val="16"/>
        </w:rPr>
        <w:t xml:space="preserve"> na základě analýzy účasti v národních programech </w:t>
      </w:r>
      <w:proofErr w:type="spellStart"/>
      <w:r w:rsidR="6C54F3A7" w:rsidRPr="6C54F3A7">
        <w:rPr>
          <w:rFonts w:ascii="Calibri" w:eastAsia="Calibri" w:hAnsi="Calibri" w:cs="Calibri"/>
          <w:sz w:val="16"/>
          <w:szCs w:val="16"/>
        </w:rPr>
        <w:t>VaV</w:t>
      </w:r>
      <w:proofErr w:type="spellEnd"/>
      <w:r w:rsidR="6C54F3A7" w:rsidRPr="6C54F3A7">
        <w:rPr>
          <w:rFonts w:ascii="Calibri" w:eastAsia="Calibri" w:hAnsi="Calibri" w:cs="Calibri"/>
          <w:sz w:val="16"/>
          <w:szCs w:val="16"/>
        </w:rPr>
        <w:t xml:space="preserve"> a Horizontu 2020. Technologické centrum AV ČR, listopad 2020. </w:t>
      </w:r>
    </w:p>
  </w:footnote>
  <w:footnote w:id="34">
    <w:p w14:paraId="78BC6896" w14:textId="0635DE2E" w:rsidR="008A42B9" w:rsidRPr="00BD02A5" w:rsidRDefault="008A42B9" w:rsidP="6C54F3A7">
      <w:pPr>
        <w:pStyle w:val="Textpoznpodarou"/>
        <w:jc w:val="both"/>
        <w:rPr>
          <w:sz w:val="18"/>
          <w:szCs w:val="18"/>
        </w:rPr>
      </w:pPr>
      <w:r w:rsidRPr="6C54F3A7">
        <w:rPr>
          <w:rStyle w:val="Znakapoznpodarou"/>
          <w:rFonts w:ascii="Calibri" w:eastAsia="Calibri" w:hAnsi="Calibri" w:cs="Calibri"/>
          <w:sz w:val="16"/>
          <w:szCs w:val="16"/>
        </w:rPr>
        <w:footnoteRef/>
      </w:r>
      <w:r w:rsidR="6C54F3A7" w:rsidRPr="6C54F3A7">
        <w:rPr>
          <w:rFonts w:ascii="Calibri" w:eastAsia="Calibri" w:hAnsi="Calibri" w:cs="Calibri"/>
          <w:sz w:val="16"/>
          <w:szCs w:val="16"/>
        </w:rPr>
        <w:t>) Strategický rám</w:t>
      </w:r>
      <w:r w:rsidR="6C54F3A7" w:rsidRPr="6C54F3A7">
        <w:rPr>
          <w:rFonts w:ascii="Calibri" w:eastAsia="Calibri" w:hAnsi="Calibri" w:cs="Calibri"/>
          <w:color w:val="auto"/>
          <w:sz w:val="16"/>
          <w:szCs w:val="16"/>
        </w:rPr>
        <w:t>ec rozvoje péče o zdraví v České republice do roku 2030 „Zdraví 2030“, schválený usnesením vlády ČR ze dne 13. července 2020</w:t>
      </w:r>
      <w:hyperlink r:id="rId23" w:history="1">
        <w:r w:rsidR="6C54F3A7" w:rsidRPr="6C54F3A7">
          <w:rPr>
            <w:rStyle w:val="Hypertextovodkaz"/>
            <w:rFonts w:ascii="Calibri" w:eastAsia="Calibri" w:hAnsi="Calibri" w:cs="Calibri"/>
            <w:color w:val="auto"/>
            <w:sz w:val="16"/>
            <w:szCs w:val="16"/>
          </w:rPr>
          <w:t>Zdraví 2030 (mzcr.cz)</w:t>
        </w:r>
      </w:hyperlink>
    </w:p>
  </w:footnote>
  <w:footnote w:id="35">
    <w:p w14:paraId="1F1246C9" w14:textId="018F023A" w:rsidR="008A42B9" w:rsidRPr="00057173" w:rsidRDefault="008A42B9" w:rsidP="6C54F3A7">
      <w:pPr>
        <w:pStyle w:val="Textpoznpodarou"/>
        <w:rPr>
          <w:color w:val="auto"/>
          <w:sz w:val="18"/>
          <w:szCs w:val="18"/>
        </w:rPr>
      </w:pPr>
      <w:r w:rsidRPr="6C54F3A7">
        <w:rPr>
          <w:rStyle w:val="Znakapoznpodarou"/>
          <w:rFonts w:ascii="Calibri" w:eastAsia="Calibri" w:hAnsi="Calibri" w:cs="Calibri"/>
          <w:color w:val="auto"/>
          <w:sz w:val="16"/>
          <w:szCs w:val="16"/>
        </w:rPr>
        <w:footnoteRef/>
      </w:r>
      <w:r w:rsidR="6C54F3A7" w:rsidRPr="6C54F3A7">
        <w:rPr>
          <w:rFonts w:ascii="Calibri" w:eastAsia="Calibri" w:hAnsi="Calibri" w:cs="Calibri"/>
          <w:color w:val="auto"/>
          <w:sz w:val="16"/>
          <w:szCs w:val="16"/>
        </w:rPr>
        <w:t xml:space="preserve">)  </w:t>
      </w:r>
      <w:hyperlink r:id="rId24" w:history="1">
        <w:r w:rsidR="6C54F3A7" w:rsidRPr="6C54F3A7">
          <w:rPr>
            <w:rStyle w:val="Hypertextovodkaz"/>
            <w:rFonts w:ascii="Calibri" w:eastAsia="Calibri" w:hAnsi="Calibri" w:cs="Calibri"/>
            <w:color w:val="auto"/>
            <w:sz w:val="16"/>
            <w:szCs w:val="16"/>
          </w:rPr>
          <w:t xml:space="preserve">https://www.biocev.eu/en/researc ; </w:t>
        </w:r>
      </w:hyperlink>
      <w:hyperlink r:id="rId25" w:history="1">
        <w:r w:rsidR="6C54F3A7" w:rsidRPr="6C54F3A7">
          <w:rPr>
            <w:rStyle w:val="Hypertextovodkaz"/>
            <w:rFonts w:ascii="Calibri" w:eastAsia="Calibri" w:hAnsi="Calibri" w:cs="Calibri"/>
            <w:color w:val="auto"/>
            <w:sz w:val="16"/>
            <w:szCs w:val="16"/>
          </w:rPr>
          <w:t>https://www.ceitec.eu/</w:t>
        </w:r>
      </w:hyperlink>
      <w:r w:rsidR="6C54F3A7" w:rsidRPr="6C54F3A7">
        <w:rPr>
          <w:rFonts w:ascii="Calibri" w:eastAsia="Calibri" w:hAnsi="Calibri" w:cs="Calibri"/>
          <w:color w:val="auto"/>
          <w:sz w:val="16"/>
          <w:szCs w:val="16"/>
        </w:rPr>
        <w:t xml:space="preserve"> ; </w:t>
      </w:r>
      <w:hyperlink r:id="rId26" w:history="1">
        <w:r w:rsidR="6C54F3A7" w:rsidRPr="6C54F3A7">
          <w:rPr>
            <w:rStyle w:val="Hypertextovodkaz"/>
            <w:rFonts w:ascii="Calibri" w:eastAsia="Calibri" w:hAnsi="Calibri" w:cs="Calibri"/>
            <w:color w:val="auto"/>
            <w:sz w:val="16"/>
            <w:szCs w:val="16"/>
          </w:rPr>
          <w:t>https://www.fnusa-icrc.org/en</w:t>
        </w:r>
      </w:hyperlink>
      <w:r w:rsidR="6C54F3A7" w:rsidRPr="6C54F3A7">
        <w:rPr>
          <w:rFonts w:ascii="Calibri" w:eastAsia="Calibri" w:hAnsi="Calibri" w:cs="Calibri"/>
          <w:color w:val="auto"/>
          <w:sz w:val="16"/>
          <w:szCs w:val="16"/>
        </w:rPr>
        <w:t xml:space="preserve"> ; data o realizovaných programech i o projektech (finance a  výsledky) jsou také k dispozici ve veřejně dostupném národním informačním systému IS </w:t>
      </w:r>
      <w:proofErr w:type="spellStart"/>
      <w:r w:rsidR="6C54F3A7" w:rsidRPr="6C54F3A7">
        <w:rPr>
          <w:rFonts w:ascii="Calibri" w:eastAsia="Calibri" w:hAnsi="Calibri" w:cs="Calibri"/>
          <w:color w:val="auto"/>
          <w:sz w:val="16"/>
          <w:szCs w:val="16"/>
        </w:rPr>
        <w:t>VaVaI</w:t>
      </w:r>
      <w:proofErr w:type="spellEnd"/>
      <w:r w:rsidR="6C54F3A7" w:rsidRPr="6C54F3A7">
        <w:rPr>
          <w:rFonts w:ascii="Calibri" w:eastAsia="Calibri" w:hAnsi="Calibri" w:cs="Calibri"/>
          <w:color w:val="auto"/>
          <w:sz w:val="16"/>
          <w:szCs w:val="16"/>
        </w:rPr>
        <w:t xml:space="preserve"> </w:t>
      </w:r>
      <w:hyperlink r:id="rId27" w:history="1">
        <w:r w:rsidR="6C54F3A7" w:rsidRPr="6C54F3A7">
          <w:rPr>
            <w:rStyle w:val="Hypertextovodkaz"/>
            <w:rFonts w:ascii="Calibri" w:eastAsia="Calibri" w:hAnsi="Calibri" w:cs="Calibri"/>
            <w:color w:val="auto"/>
            <w:sz w:val="16"/>
            <w:szCs w:val="16"/>
          </w:rPr>
          <w:t>https://www.isvavai.cz/</w:t>
        </w:r>
      </w:hyperlink>
      <w:r w:rsidR="6C54F3A7" w:rsidRPr="6C54F3A7">
        <w:rPr>
          <w:rFonts w:ascii="Calibri" w:eastAsia="Calibri" w:hAnsi="Calibri" w:cs="Calibri"/>
          <w:color w:val="auto"/>
          <w:sz w:val="16"/>
          <w:szCs w:val="16"/>
        </w:rPr>
        <w:t xml:space="preserve"> - program LQ viz  (</w:t>
      </w:r>
      <w:hyperlink r:id="rId28" w:history="1">
        <w:r w:rsidR="6C54F3A7" w:rsidRPr="6C54F3A7">
          <w:rPr>
            <w:rStyle w:val="Hypertextovodkaz"/>
            <w:rFonts w:ascii="Calibri" w:eastAsia="Calibri" w:hAnsi="Calibri" w:cs="Calibri"/>
            <w:color w:val="auto"/>
            <w:sz w:val="16"/>
            <w:szCs w:val="16"/>
          </w:rPr>
          <w:t>https://www.isvavai.cz/cea?s=programy&amp;ss=detail&amp;n=0&amp;h=LQ</w:t>
        </w:r>
      </w:hyperlink>
      <w:r w:rsidR="6C54F3A7" w:rsidRPr="6C54F3A7">
        <w:rPr>
          <w:rFonts w:ascii="Calibri" w:eastAsia="Calibri" w:hAnsi="Calibri" w:cs="Calibri"/>
          <w:color w:val="auto"/>
          <w:sz w:val="16"/>
          <w:szCs w:val="16"/>
        </w:rPr>
        <w:t xml:space="preserve">), </w:t>
      </w:r>
    </w:p>
  </w:footnote>
  <w:footnote w:id="36">
    <w:p w14:paraId="7132FF7D" w14:textId="7403C7C1" w:rsidR="008A42B9" w:rsidRPr="00992741" w:rsidRDefault="008A42B9" w:rsidP="6C54F3A7">
      <w:pPr>
        <w:pStyle w:val="Textpoznpodarou"/>
        <w:rPr>
          <w:sz w:val="18"/>
          <w:szCs w:val="18"/>
        </w:rPr>
      </w:pPr>
      <w:r w:rsidRPr="6C54F3A7">
        <w:rPr>
          <w:rStyle w:val="Znakapoznpodarou"/>
          <w:rFonts w:ascii="Calibri" w:eastAsia="Calibri" w:hAnsi="Calibri" w:cs="Calibri"/>
          <w:sz w:val="16"/>
          <w:szCs w:val="16"/>
        </w:rPr>
        <w:footnoteRef/>
      </w:r>
      <w:r w:rsidR="6C54F3A7" w:rsidRPr="6C54F3A7">
        <w:rPr>
          <w:rFonts w:ascii="Calibri" w:eastAsia="Calibri" w:hAnsi="Calibri" w:cs="Calibri"/>
          <w:sz w:val="16"/>
          <w:szCs w:val="16"/>
        </w:rPr>
        <w:t>)</w:t>
      </w:r>
      <w:r w:rsidRPr="00992741">
        <w:rPr>
          <w:sz w:val="18"/>
          <w:szCs w:val="18"/>
        </w:rPr>
        <w:tab/>
      </w:r>
      <w:r w:rsidR="6C54F3A7" w:rsidRPr="6C54F3A7">
        <w:rPr>
          <w:rFonts w:ascii="Calibri" w:eastAsia="Calibri" w:hAnsi="Calibri" w:cs="Calibri"/>
          <w:sz w:val="16"/>
          <w:szCs w:val="16"/>
        </w:rPr>
        <w:t xml:space="preserve">https://www.ceitec.eu/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5AD3009E" w14:paraId="65F9B2BF" w14:textId="77777777" w:rsidTr="5AD3009E">
      <w:tc>
        <w:tcPr>
          <w:tcW w:w="3210" w:type="dxa"/>
        </w:tcPr>
        <w:p w14:paraId="7F1214E2" w14:textId="0497030A" w:rsidR="5AD3009E" w:rsidRDefault="5AD3009E" w:rsidP="5AD3009E">
          <w:pPr>
            <w:pStyle w:val="Zhlav"/>
            <w:ind w:left="-115"/>
          </w:pPr>
        </w:p>
      </w:tc>
      <w:tc>
        <w:tcPr>
          <w:tcW w:w="3210" w:type="dxa"/>
        </w:tcPr>
        <w:p w14:paraId="20E903B7" w14:textId="491EB82C" w:rsidR="5AD3009E" w:rsidRDefault="5AD3009E" w:rsidP="5AD3009E">
          <w:pPr>
            <w:pStyle w:val="Zhlav"/>
            <w:jc w:val="center"/>
          </w:pPr>
        </w:p>
      </w:tc>
      <w:tc>
        <w:tcPr>
          <w:tcW w:w="3210" w:type="dxa"/>
        </w:tcPr>
        <w:p w14:paraId="04E26197" w14:textId="714107E6" w:rsidR="5AD3009E" w:rsidRDefault="5AD3009E" w:rsidP="5AD3009E">
          <w:pPr>
            <w:pStyle w:val="Zhlav"/>
            <w:ind w:right="-115"/>
            <w:jc w:val="right"/>
          </w:pPr>
        </w:p>
      </w:tc>
    </w:tr>
  </w:tbl>
  <w:p w14:paraId="461D81A0" w14:textId="47D4F4CD" w:rsidR="5AD3009E" w:rsidRDefault="5AD3009E" w:rsidP="5AD3009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8A4B8E2"/>
    <w:name w:val="WW8Num9"/>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0"/>
        </w:tabs>
        <w:ind w:left="792" w:hanging="432"/>
      </w:pPr>
      <w:rPr>
        <w:rFonts w:ascii="Times New Roman" w:hAnsi="Times New Roman" w:cs="Times New Roman"/>
      </w:rPr>
    </w:lvl>
    <w:lvl w:ilvl="2">
      <w:start w:val="1"/>
      <w:numFmt w:val="decimal"/>
      <w:lvlText w:val="%3."/>
      <w:lvlJc w:val="left"/>
      <w:pPr>
        <w:tabs>
          <w:tab w:val="num" w:pos="0"/>
        </w:tabs>
        <w:ind w:left="1214" w:hanging="504"/>
      </w:pPr>
      <w:rPr>
        <w:rFonts w:ascii="Calibri" w:hAnsi="Calibri" w:hint="default"/>
        <w:b w:val="0"/>
        <w:i w:val="0"/>
        <w:sz w:val="20"/>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1" w15:restartNumberingAfterBreak="0">
    <w:nsid w:val="027615B3"/>
    <w:multiLevelType w:val="hybridMultilevel"/>
    <w:tmpl w:val="3DF8B068"/>
    <w:lvl w:ilvl="0" w:tplc="04050011">
      <w:start w:val="2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0D1B93"/>
    <w:multiLevelType w:val="multilevel"/>
    <w:tmpl w:val="29EA72CE"/>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3" w15:restartNumberingAfterBreak="0">
    <w:nsid w:val="04B11F6C"/>
    <w:multiLevelType w:val="hybridMultilevel"/>
    <w:tmpl w:val="770A40A6"/>
    <w:lvl w:ilvl="0" w:tplc="B1465F7A">
      <w:start w:val="1"/>
      <w:numFmt w:val="decimal"/>
      <w:lvlText w:val="%1."/>
      <w:lvlJc w:val="left"/>
      <w:pPr>
        <w:ind w:left="720" w:hanging="360"/>
      </w:pPr>
    </w:lvl>
    <w:lvl w:ilvl="1" w:tplc="22101AEE">
      <w:start w:val="1"/>
      <w:numFmt w:val="lowerLetter"/>
      <w:lvlText w:val="%2."/>
      <w:lvlJc w:val="left"/>
      <w:pPr>
        <w:ind w:left="1440" w:hanging="360"/>
      </w:pPr>
    </w:lvl>
    <w:lvl w:ilvl="2" w:tplc="6B3E92C6">
      <w:start w:val="1"/>
      <w:numFmt w:val="lowerRoman"/>
      <w:lvlText w:val="%3."/>
      <w:lvlJc w:val="right"/>
      <w:pPr>
        <w:ind w:left="2160" w:hanging="180"/>
      </w:pPr>
    </w:lvl>
    <w:lvl w:ilvl="3" w:tplc="626664A0">
      <w:start w:val="1"/>
      <w:numFmt w:val="decimal"/>
      <w:lvlText w:val="%4."/>
      <w:lvlJc w:val="left"/>
      <w:pPr>
        <w:ind w:left="2880" w:hanging="360"/>
      </w:pPr>
    </w:lvl>
    <w:lvl w:ilvl="4" w:tplc="B3068892">
      <w:start w:val="1"/>
      <w:numFmt w:val="lowerLetter"/>
      <w:lvlText w:val="%5."/>
      <w:lvlJc w:val="left"/>
      <w:pPr>
        <w:ind w:left="3600" w:hanging="360"/>
      </w:pPr>
    </w:lvl>
    <w:lvl w:ilvl="5" w:tplc="AEE07AE2">
      <w:start w:val="1"/>
      <w:numFmt w:val="lowerRoman"/>
      <w:lvlText w:val="%6."/>
      <w:lvlJc w:val="right"/>
      <w:pPr>
        <w:ind w:left="4320" w:hanging="180"/>
      </w:pPr>
    </w:lvl>
    <w:lvl w:ilvl="6" w:tplc="9CB2E202">
      <w:start w:val="1"/>
      <w:numFmt w:val="decimal"/>
      <w:lvlText w:val="%7."/>
      <w:lvlJc w:val="left"/>
      <w:pPr>
        <w:ind w:left="5040" w:hanging="360"/>
      </w:pPr>
    </w:lvl>
    <w:lvl w:ilvl="7" w:tplc="09FC7C30">
      <w:start w:val="1"/>
      <w:numFmt w:val="lowerLetter"/>
      <w:lvlText w:val="%8."/>
      <w:lvlJc w:val="left"/>
      <w:pPr>
        <w:ind w:left="5760" w:hanging="360"/>
      </w:pPr>
    </w:lvl>
    <w:lvl w:ilvl="8" w:tplc="B672C500">
      <w:start w:val="1"/>
      <w:numFmt w:val="lowerRoman"/>
      <w:lvlText w:val="%9."/>
      <w:lvlJc w:val="right"/>
      <w:pPr>
        <w:ind w:left="6480" w:hanging="180"/>
      </w:pPr>
    </w:lvl>
  </w:abstractNum>
  <w:abstractNum w:abstractNumId="4" w15:restartNumberingAfterBreak="0">
    <w:nsid w:val="0524594E"/>
    <w:multiLevelType w:val="hybridMultilevel"/>
    <w:tmpl w:val="9AEE41EA"/>
    <w:lvl w:ilvl="0" w:tplc="13D2E630">
      <w:start w:val="1"/>
      <w:numFmt w:val="decimal"/>
      <w:lvlText w:val="%1."/>
      <w:lvlJc w:val="left"/>
      <w:pPr>
        <w:ind w:left="720" w:hanging="360"/>
      </w:pPr>
    </w:lvl>
    <w:lvl w:ilvl="1" w:tplc="605053C8">
      <w:start w:val="1"/>
      <w:numFmt w:val="lowerLetter"/>
      <w:lvlText w:val="%2."/>
      <w:lvlJc w:val="left"/>
      <w:pPr>
        <w:ind w:left="1440" w:hanging="360"/>
      </w:pPr>
    </w:lvl>
    <w:lvl w:ilvl="2" w:tplc="A10E02CA">
      <w:start w:val="1"/>
      <w:numFmt w:val="lowerRoman"/>
      <w:lvlText w:val="%3."/>
      <w:lvlJc w:val="right"/>
      <w:pPr>
        <w:ind w:left="2160" w:hanging="180"/>
      </w:pPr>
    </w:lvl>
    <w:lvl w:ilvl="3" w:tplc="519C6394">
      <w:start w:val="1"/>
      <w:numFmt w:val="decimal"/>
      <w:lvlText w:val="%4."/>
      <w:lvlJc w:val="left"/>
      <w:pPr>
        <w:ind w:left="2880" w:hanging="360"/>
      </w:pPr>
    </w:lvl>
    <w:lvl w:ilvl="4" w:tplc="945C355C">
      <w:start w:val="1"/>
      <w:numFmt w:val="lowerLetter"/>
      <w:lvlText w:val="%5."/>
      <w:lvlJc w:val="left"/>
      <w:pPr>
        <w:ind w:left="3600" w:hanging="360"/>
      </w:pPr>
    </w:lvl>
    <w:lvl w:ilvl="5" w:tplc="5E708694">
      <w:start w:val="1"/>
      <w:numFmt w:val="lowerRoman"/>
      <w:lvlText w:val="%6."/>
      <w:lvlJc w:val="right"/>
      <w:pPr>
        <w:ind w:left="4320" w:hanging="180"/>
      </w:pPr>
    </w:lvl>
    <w:lvl w:ilvl="6" w:tplc="6E122BC2">
      <w:start w:val="1"/>
      <w:numFmt w:val="decimal"/>
      <w:lvlText w:val="%7."/>
      <w:lvlJc w:val="left"/>
      <w:pPr>
        <w:ind w:left="5040" w:hanging="360"/>
      </w:pPr>
    </w:lvl>
    <w:lvl w:ilvl="7" w:tplc="389C3ABC">
      <w:start w:val="1"/>
      <w:numFmt w:val="lowerLetter"/>
      <w:lvlText w:val="%8."/>
      <w:lvlJc w:val="left"/>
      <w:pPr>
        <w:ind w:left="5760" w:hanging="360"/>
      </w:pPr>
    </w:lvl>
    <w:lvl w:ilvl="8" w:tplc="C18A630C">
      <w:start w:val="1"/>
      <w:numFmt w:val="lowerRoman"/>
      <w:lvlText w:val="%9."/>
      <w:lvlJc w:val="right"/>
      <w:pPr>
        <w:ind w:left="6480" w:hanging="180"/>
      </w:pPr>
    </w:lvl>
  </w:abstractNum>
  <w:abstractNum w:abstractNumId="5" w15:restartNumberingAfterBreak="0">
    <w:nsid w:val="0B9C0D49"/>
    <w:multiLevelType w:val="hybridMultilevel"/>
    <w:tmpl w:val="AE7A35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0316F8"/>
    <w:multiLevelType w:val="multilevel"/>
    <w:tmpl w:val="3320A8B2"/>
    <w:numStyleLink w:val="VariantaB-odrky"/>
  </w:abstractNum>
  <w:abstractNum w:abstractNumId="7" w15:restartNumberingAfterBreak="0">
    <w:nsid w:val="1615572B"/>
    <w:multiLevelType w:val="hybridMultilevel"/>
    <w:tmpl w:val="3320A8B2"/>
    <w:styleLink w:val="VariantaB-odrky"/>
    <w:lvl w:ilvl="0" w:tplc="5CCA3324">
      <w:start w:val="1"/>
      <w:numFmt w:val="bullet"/>
      <w:pStyle w:val="SeznamsodrkamiB"/>
      <w:lvlText w:val="—"/>
      <w:lvlJc w:val="left"/>
      <w:pPr>
        <w:ind w:left="357" w:hanging="357"/>
      </w:pPr>
      <w:rPr>
        <w:rFonts w:ascii="Calibri" w:hAnsi="Calibri" w:hint="default"/>
        <w:sz w:val="16"/>
      </w:rPr>
    </w:lvl>
    <w:lvl w:ilvl="1" w:tplc="3EFCB384">
      <w:start w:val="1"/>
      <w:numFmt w:val="bullet"/>
      <w:pStyle w:val="SeznamsodrkamiB2"/>
      <w:lvlText w:val=""/>
      <w:lvlJc w:val="left"/>
      <w:pPr>
        <w:ind w:left="714" w:hanging="357"/>
      </w:pPr>
      <w:rPr>
        <w:rFonts w:ascii="Wingdings" w:hAnsi="Wingdings" w:hint="default"/>
        <w:sz w:val="14"/>
      </w:rPr>
    </w:lvl>
    <w:lvl w:ilvl="2" w:tplc="7DFA6362">
      <w:start w:val="1"/>
      <w:numFmt w:val="bullet"/>
      <w:pStyle w:val="SeznamsodrkamiB3"/>
      <w:lvlText w:val=""/>
      <w:lvlJc w:val="left"/>
      <w:pPr>
        <w:ind w:left="1071" w:hanging="357"/>
      </w:pPr>
      <w:rPr>
        <w:rFonts w:ascii="Wingdings 2" w:hAnsi="Wingdings 2" w:hint="default"/>
      </w:rPr>
    </w:lvl>
    <w:lvl w:ilvl="3" w:tplc="061EF164">
      <w:start w:val="1"/>
      <w:numFmt w:val="bullet"/>
      <w:pStyle w:val="SeznamsodrkamiB4"/>
      <w:lvlText w:val=""/>
      <w:lvlJc w:val="left"/>
      <w:pPr>
        <w:ind w:left="1428" w:hanging="357"/>
      </w:pPr>
      <w:rPr>
        <w:rFonts w:ascii="Wingdings 2" w:hAnsi="Wingdings 2" w:hint="default"/>
      </w:rPr>
    </w:lvl>
    <w:lvl w:ilvl="4" w:tplc="18A4C0C8">
      <w:start w:val="1"/>
      <w:numFmt w:val="bullet"/>
      <w:pStyle w:val="SeznamsodrkamiB5"/>
      <w:lvlText w:val=""/>
      <w:lvlJc w:val="left"/>
      <w:pPr>
        <w:ind w:left="1785" w:hanging="357"/>
      </w:pPr>
      <w:rPr>
        <w:rFonts w:ascii="Wingdings 2" w:hAnsi="Wingdings 2" w:hint="default"/>
      </w:rPr>
    </w:lvl>
    <w:lvl w:ilvl="5" w:tplc="500690D2">
      <w:start w:val="1"/>
      <w:numFmt w:val="bullet"/>
      <w:lvlText w:val=""/>
      <w:lvlJc w:val="left"/>
      <w:pPr>
        <w:ind w:left="2142" w:hanging="357"/>
      </w:pPr>
      <w:rPr>
        <w:rFonts w:ascii="Wingdings 2" w:hAnsi="Wingdings 2" w:cs="Times New Roman" w:hint="default"/>
      </w:rPr>
    </w:lvl>
    <w:lvl w:ilvl="6" w:tplc="51963CDC">
      <w:start w:val="1"/>
      <w:numFmt w:val="bullet"/>
      <w:lvlText w:val=""/>
      <w:lvlJc w:val="left"/>
      <w:pPr>
        <w:ind w:left="2499" w:hanging="357"/>
      </w:pPr>
      <w:rPr>
        <w:rFonts w:ascii="Wingdings 2" w:hAnsi="Wingdings 2" w:cs="Times New Roman" w:hint="default"/>
      </w:rPr>
    </w:lvl>
    <w:lvl w:ilvl="7" w:tplc="3FDC52E4">
      <w:start w:val="1"/>
      <w:numFmt w:val="bullet"/>
      <w:lvlText w:val=""/>
      <w:lvlJc w:val="left"/>
      <w:pPr>
        <w:ind w:left="2856" w:hanging="357"/>
      </w:pPr>
      <w:rPr>
        <w:rFonts w:ascii="Wingdings 2" w:hAnsi="Wingdings 2" w:cs="Times New Roman" w:hint="default"/>
      </w:rPr>
    </w:lvl>
    <w:lvl w:ilvl="8" w:tplc="448C3EB8">
      <w:start w:val="1"/>
      <w:numFmt w:val="bullet"/>
      <w:lvlText w:val=""/>
      <w:lvlJc w:val="left"/>
      <w:pPr>
        <w:ind w:left="3213" w:hanging="357"/>
      </w:pPr>
      <w:rPr>
        <w:rFonts w:ascii="Wingdings 2" w:hAnsi="Wingdings 2" w:cs="Times New Roman" w:hint="default"/>
      </w:rPr>
    </w:lvl>
  </w:abstractNum>
  <w:abstractNum w:abstractNumId="8" w15:restartNumberingAfterBreak="0">
    <w:nsid w:val="191872DA"/>
    <w:multiLevelType w:val="multilevel"/>
    <w:tmpl w:val="29EA72CE"/>
    <w:numStyleLink w:val="VariantaA-sla"/>
  </w:abstractNum>
  <w:abstractNum w:abstractNumId="9" w15:restartNumberingAfterBreak="0">
    <w:nsid w:val="19E35ABB"/>
    <w:multiLevelType w:val="hybridMultilevel"/>
    <w:tmpl w:val="F5B6F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1C6C70"/>
    <w:multiLevelType w:val="multilevel"/>
    <w:tmpl w:val="BAAE409E"/>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1E9F5E1B"/>
    <w:multiLevelType w:val="hybridMultilevel"/>
    <w:tmpl w:val="E7C28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6C1287"/>
    <w:multiLevelType w:val="hybridMultilevel"/>
    <w:tmpl w:val="13B8C824"/>
    <w:lvl w:ilvl="0" w:tplc="F210192C">
      <w:start w:val="1"/>
      <w:numFmt w:val="decimal"/>
      <w:lvlText w:val="%1."/>
      <w:lvlJc w:val="left"/>
      <w:pPr>
        <w:tabs>
          <w:tab w:val="num" w:pos="720"/>
        </w:tabs>
        <w:ind w:left="720" w:hanging="360"/>
      </w:pPr>
    </w:lvl>
    <w:lvl w:ilvl="1" w:tplc="22AC91C8">
      <w:start w:val="1"/>
      <w:numFmt w:val="decimal"/>
      <w:lvlText w:val="%2."/>
      <w:lvlJc w:val="left"/>
      <w:pPr>
        <w:tabs>
          <w:tab w:val="num" w:pos="1440"/>
        </w:tabs>
        <w:ind w:left="1440" w:hanging="360"/>
      </w:pPr>
    </w:lvl>
    <w:lvl w:ilvl="2" w:tplc="4790DDFE">
      <w:start w:val="1"/>
      <w:numFmt w:val="decimal"/>
      <w:lvlText w:val="%3."/>
      <w:lvlJc w:val="left"/>
      <w:pPr>
        <w:tabs>
          <w:tab w:val="num" w:pos="2160"/>
        </w:tabs>
        <w:ind w:left="2160" w:hanging="360"/>
      </w:pPr>
    </w:lvl>
    <w:lvl w:ilvl="3" w:tplc="1362F4BA">
      <w:start w:val="1"/>
      <w:numFmt w:val="decimal"/>
      <w:lvlText w:val="%4."/>
      <w:lvlJc w:val="left"/>
      <w:pPr>
        <w:tabs>
          <w:tab w:val="num" w:pos="2880"/>
        </w:tabs>
        <w:ind w:left="2880" w:hanging="360"/>
      </w:pPr>
    </w:lvl>
    <w:lvl w:ilvl="4" w:tplc="0BC020A0">
      <w:start w:val="1"/>
      <w:numFmt w:val="decimal"/>
      <w:lvlText w:val="%5."/>
      <w:lvlJc w:val="left"/>
      <w:pPr>
        <w:tabs>
          <w:tab w:val="num" w:pos="3600"/>
        </w:tabs>
        <w:ind w:left="3600" w:hanging="360"/>
      </w:pPr>
    </w:lvl>
    <w:lvl w:ilvl="5" w:tplc="2338A2A6">
      <w:start w:val="1"/>
      <w:numFmt w:val="decimal"/>
      <w:lvlText w:val="%6."/>
      <w:lvlJc w:val="left"/>
      <w:pPr>
        <w:tabs>
          <w:tab w:val="num" w:pos="4320"/>
        </w:tabs>
        <w:ind w:left="4320" w:hanging="360"/>
      </w:pPr>
    </w:lvl>
    <w:lvl w:ilvl="6" w:tplc="23420896">
      <w:start w:val="1"/>
      <w:numFmt w:val="decimal"/>
      <w:lvlText w:val="%7."/>
      <w:lvlJc w:val="left"/>
      <w:pPr>
        <w:tabs>
          <w:tab w:val="num" w:pos="5040"/>
        </w:tabs>
        <w:ind w:left="5040" w:hanging="360"/>
      </w:pPr>
    </w:lvl>
    <w:lvl w:ilvl="7" w:tplc="D1066140">
      <w:start w:val="1"/>
      <w:numFmt w:val="decimal"/>
      <w:lvlText w:val="%8."/>
      <w:lvlJc w:val="left"/>
      <w:pPr>
        <w:tabs>
          <w:tab w:val="num" w:pos="5760"/>
        </w:tabs>
        <w:ind w:left="5760" w:hanging="360"/>
      </w:pPr>
    </w:lvl>
    <w:lvl w:ilvl="8" w:tplc="28A24FB4">
      <w:start w:val="1"/>
      <w:numFmt w:val="decimal"/>
      <w:lvlText w:val="%9."/>
      <w:lvlJc w:val="left"/>
      <w:pPr>
        <w:tabs>
          <w:tab w:val="num" w:pos="6480"/>
        </w:tabs>
        <w:ind w:left="6480" w:hanging="360"/>
      </w:pPr>
    </w:lvl>
  </w:abstractNum>
  <w:abstractNum w:abstractNumId="13" w15:restartNumberingAfterBreak="0">
    <w:nsid w:val="26CA4367"/>
    <w:multiLevelType w:val="hybridMultilevel"/>
    <w:tmpl w:val="42ECE9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9A5EA2"/>
    <w:multiLevelType w:val="hybridMultilevel"/>
    <w:tmpl w:val="E8BAE50A"/>
    <w:numStyleLink w:val="VariantaA-odrky"/>
  </w:abstractNum>
  <w:abstractNum w:abstractNumId="15" w15:restartNumberingAfterBreak="0">
    <w:nsid w:val="2A217518"/>
    <w:multiLevelType w:val="hybridMultilevel"/>
    <w:tmpl w:val="DDB4C38A"/>
    <w:lvl w:ilvl="0" w:tplc="FC7A7C4C">
      <w:start w:val="1"/>
      <w:numFmt w:val="bullet"/>
      <w:lvlText w:val="•"/>
      <w:lvlJc w:val="left"/>
      <w:pPr>
        <w:tabs>
          <w:tab w:val="num" w:pos="720"/>
        </w:tabs>
        <w:ind w:left="720" w:hanging="360"/>
      </w:pPr>
      <w:rPr>
        <w:rFonts w:ascii="Arial" w:hAnsi="Arial" w:hint="default"/>
      </w:rPr>
    </w:lvl>
    <w:lvl w:ilvl="1" w:tplc="F3849BBA" w:tentative="1">
      <w:start w:val="1"/>
      <w:numFmt w:val="bullet"/>
      <w:lvlText w:val="•"/>
      <w:lvlJc w:val="left"/>
      <w:pPr>
        <w:tabs>
          <w:tab w:val="num" w:pos="1440"/>
        </w:tabs>
        <w:ind w:left="1440" w:hanging="360"/>
      </w:pPr>
      <w:rPr>
        <w:rFonts w:ascii="Arial" w:hAnsi="Arial" w:hint="default"/>
      </w:rPr>
    </w:lvl>
    <w:lvl w:ilvl="2" w:tplc="AF861FF4" w:tentative="1">
      <w:start w:val="1"/>
      <w:numFmt w:val="bullet"/>
      <w:lvlText w:val="•"/>
      <w:lvlJc w:val="left"/>
      <w:pPr>
        <w:tabs>
          <w:tab w:val="num" w:pos="2160"/>
        </w:tabs>
        <w:ind w:left="2160" w:hanging="360"/>
      </w:pPr>
      <w:rPr>
        <w:rFonts w:ascii="Arial" w:hAnsi="Arial" w:hint="default"/>
      </w:rPr>
    </w:lvl>
    <w:lvl w:ilvl="3" w:tplc="259ADC16" w:tentative="1">
      <w:start w:val="1"/>
      <w:numFmt w:val="bullet"/>
      <w:lvlText w:val="•"/>
      <w:lvlJc w:val="left"/>
      <w:pPr>
        <w:tabs>
          <w:tab w:val="num" w:pos="2880"/>
        </w:tabs>
        <w:ind w:left="2880" w:hanging="360"/>
      </w:pPr>
      <w:rPr>
        <w:rFonts w:ascii="Arial" w:hAnsi="Arial" w:hint="default"/>
      </w:rPr>
    </w:lvl>
    <w:lvl w:ilvl="4" w:tplc="F20EC220" w:tentative="1">
      <w:start w:val="1"/>
      <w:numFmt w:val="bullet"/>
      <w:lvlText w:val="•"/>
      <w:lvlJc w:val="left"/>
      <w:pPr>
        <w:tabs>
          <w:tab w:val="num" w:pos="3600"/>
        </w:tabs>
        <w:ind w:left="3600" w:hanging="360"/>
      </w:pPr>
      <w:rPr>
        <w:rFonts w:ascii="Arial" w:hAnsi="Arial" w:hint="default"/>
      </w:rPr>
    </w:lvl>
    <w:lvl w:ilvl="5" w:tplc="DB4A3962" w:tentative="1">
      <w:start w:val="1"/>
      <w:numFmt w:val="bullet"/>
      <w:lvlText w:val="•"/>
      <w:lvlJc w:val="left"/>
      <w:pPr>
        <w:tabs>
          <w:tab w:val="num" w:pos="4320"/>
        </w:tabs>
        <w:ind w:left="4320" w:hanging="360"/>
      </w:pPr>
      <w:rPr>
        <w:rFonts w:ascii="Arial" w:hAnsi="Arial" w:hint="default"/>
      </w:rPr>
    </w:lvl>
    <w:lvl w:ilvl="6" w:tplc="CB923EDC" w:tentative="1">
      <w:start w:val="1"/>
      <w:numFmt w:val="bullet"/>
      <w:lvlText w:val="•"/>
      <w:lvlJc w:val="left"/>
      <w:pPr>
        <w:tabs>
          <w:tab w:val="num" w:pos="5040"/>
        </w:tabs>
        <w:ind w:left="5040" w:hanging="360"/>
      </w:pPr>
      <w:rPr>
        <w:rFonts w:ascii="Arial" w:hAnsi="Arial" w:hint="default"/>
      </w:rPr>
    </w:lvl>
    <w:lvl w:ilvl="7" w:tplc="0CBC0B30" w:tentative="1">
      <w:start w:val="1"/>
      <w:numFmt w:val="bullet"/>
      <w:lvlText w:val="•"/>
      <w:lvlJc w:val="left"/>
      <w:pPr>
        <w:tabs>
          <w:tab w:val="num" w:pos="5760"/>
        </w:tabs>
        <w:ind w:left="5760" w:hanging="360"/>
      </w:pPr>
      <w:rPr>
        <w:rFonts w:ascii="Arial" w:hAnsi="Arial" w:hint="default"/>
      </w:rPr>
    </w:lvl>
    <w:lvl w:ilvl="8" w:tplc="B0124DB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BC2FCA"/>
    <w:multiLevelType w:val="hybridMultilevel"/>
    <w:tmpl w:val="4120D2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840296"/>
    <w:multiLevelType w:val="hybridMultilevel"/>
    <w:tmpl w:val="DCE6E63E"/>
    <w:lvl w:ilvl="0" w:tplc="6054EA98">
      <w:start w:val="1"/>
      <w:numFmt w:val="bullet"/>
      <w:lvlText w:val="•"/>
      <w:lvlJc w:val="left"/>
      <w:pPr>
        <w:tabs>
          <w:tab w:val="num" w:pos="720"/>
        </w:tabs>
        <w:ind w:left="720" w:hanging="360"/>
      </w:pPr>
      <w:rPr>
        <w:rFonts w:ascii="Arial" w:hAnsi="Arial" w:hint="default"/>
      </w:rPr>
    </w:lvl>
    <w:lvl w:ilvl="1" w:tplc="5FF838F2" w:tentative="1">
      <w:start w:val="1"/>
      <w:numFmt w:val="bullet"/>
      <w:lvlText w:val="•"/>
      <w:lvlJc w:val="left"/>
      <w:pPr>
        <w:tabs>
          <w:tab w:val="num" w:pos="1440"/>
        </w:tabs>
        <w:ind w:left="1440" w:hanging="360"/>
      </w:pPr>
      <w:rPr>
        <w:rFonts w:ascii="Arial" w:hAnsi="Arial" w:hint="default"/>
      </w:rPr>
    </w:lvl>
    <w:lvl w:ilvl="2" w:tplc="205E2B98" w:tentative="1">
      <w:start w:val="1"/>
      <w:numFmt w:val="bullet"/>
      <w:lvlText w:val="•"/>
      <w:lvlJc w:val="left"/>
      <w:pPr>
        <w:tabs>
          <w:tab w:val="num" w:pos="2160"/>
        </w:tabs>
        <w:ind w:left="2160" w:hanging="360"/>
      </w:pPr>
      <w:rPr>
        <w:rFonts w:ascii="Arial" w:hAnsi="Arial" w:hint="default"/>
      </w:rPr>
    </w:lvl>
    <w:lvl w:ilvl="3" w:tplc="B3C87FCA" w:tentative="1">
      <w:start w:val="1"/>
      <w:numFmt w:val="bullet"/>
      <w:lvlText w:val="•"/>
      <w:lvlJc w:val="left"/>
      <w:pPr>
        <w:tabs>
          <w:tab w:val="num" w:pos="2880"/>
        </w:tabs>
        <w:ind w:left="2880" w:hanging="360"/>
      </w:pPr>
      <w:rPr>
        <w:rFonts w:ascii="Arial" w:hAnsi="Arial" w:hint="default"/>
      </w:rPr>
    </w:lvl>
    <w:lvl w:ilvl="4" w:tplc="D1006B94" w:tentative="1">
      <w:start w:val="1"/>
      <w:numFmt w:val="bullet"/>
      <w:lvlText w:val="•"/>
      <w:lvlJc w:val="left"/>
      <w:pPr>
        <w:tabs>
          <w:tab w:val="num" w:pos="3600"/>
        </w:tabs>
        <w:ind w:left="3600" w:hanging="360"/>
      </w:pPr>
      <w:rPr>
        <w:rFonts w:ascii="Arial" w:hAnsi="Arial" w:hint="default"/>
      </w:rPr>
    </w:lvl>
    <w:lvl w:ilvl="5" w:tplc="A8427096" w:tentative="1">
      <w:start w:val="1"/>
      <w:numFmt w:val="bullet"/>
      <w:lvlText w:val="•"/>
      <w:lvlJc w:val="left"/>
      <w:pPr>
        <w:tabs>
          <w:tab w:val="num" w:pos="4320"/>
        </w:tabs>
        <w:ind w:left="4320" w:hanging="360"/>
      </w:pPr>
      <w:rPr>
        <w:rFonts w:ascii="Arial" w:hAnsi="Arial" w:hint="default"/>
      </w:rPr>
    </w:lvl>
    <w:lvl w:ilvl="6" w:tplc="C0D42822" w:tentative="1">
      <w:start w:val="1"/>
      <w:numFmt w:val="bullet"/>
      <w:lvlText w:val="•"/>
      <w:lvlJc w:val="left"/>
      <w:pPr>
        <w:tabs>
          <w:tab w:val="num" w:pos="5040"/>
        </w:tabs>
        <w:ind w:left="5040" w:hanging="360"/>
      </w:pPr>
      <w:rPr>
        <w:rFonts w:ascii="Arial" w:hAnsi="Arial" w:hint="default"/>
      </w:rPr>
    </w:lvl>
    <w:lvl w:ilvl="7" w:tplc="FAE6F30E" w:tentative="1">
      <w:start w:val="1"/>
      <w:numFmt w:val="bullet"/>
      <w:lvlText w:val="•"/>
      <w:lvlJc w:val="left"/>
      <w:pPr>
        <w:tabs>
          <w:tab w:val="num" w:pos="5760"/>
        </w:tabs>
        <w:ind w:left="5760" w:hanging="360"/>
      </w:pPr>
      <w:rPr>
        <w:rFonts w:ascii="Arial" w:hAnsi="Arial" w:hint="default"/>
      </w:rPr>
    </w:lvl>
    <w:lvl w:ilvl="8" w:tplc="EC643AE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E14069"/>
    <w:multiLevelType w:val="hybridMultilevel"/>
    <w:tmpl w:val="698A4C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7E37B2"/>
    <w:multiLevelType w:val="hybridMultilevel"/>
    <w:tmpl w:val="C548F906"/>
    <w:lvl w:ilvl="0" w:tplc="E5300FDE">
      <w:start w:val="1"/>
      <w:numFmt w:val="bullet"/>
      <w:lvlText w:val="•"/>
      <w:lvlJc w:val="left"/>
      <w:pPr>
        <w:tabs>
          <w:tab w:val="num" w:pos="720"/>
        </w:tabs>
        <w:ind w:left="720" w:hanging="360"/>
      </w:pPr>
      <w:rPr>
        <w:rFonts w:ascii="Arial" w:hAnsi="Arial" w:hint="default"/>
      </w:rPr>
    </w:lvl>
    <w:lvl w:ilvl="1" w:tplc="3010208C" w:tentative="1">
      <w:start w:val="1"/>
      <w:numFmt w:val="bullet"/>
      <w:lvlText w:val="•"/>
      <w:lvlJc w:val="left"/>
      <w:pPr>
        <w:tabs>
          <w:tab w:val="num" w:pos="1440"/>
        </w:tabs>
        <w:ind w:left="1440" w:hanging="360"/>
      </w:pPr>
      <w:rPr>
        <w:rFonts w:ascii="Arial" w:hAnsi="Arial" w:hint="default"/>
      </w:rPr>
    </w:lvl>
    <w:lvl w:ilvl="2" w:tplc="EFAC517C" w:tentative="1">
      <w:start w:val="1"/>
      <w:numFmt w:val="bullet"/>
      <w:lvlText w:val="•"/>
      <w:lvlJc w:val="left"/>
      <w:pPr>
        <w:tabs>
          <w:tab w:val="num" w:pos="2160"/>
        </w:tabs>
        <w:ind w:left="2160" w:hanging="360"/>
      </w:pPr>
      <w:rPr>
        <w:rFonts w:ascii="Arial" w:hAnsi="Arial" w:hint="default"/>
      </w:rPr>
    </w:lvl>
    <w:lvl w:ilvl="3" w:tplc="88F0BF32" w:tentative="1">
      <w:start w:val="1"/>
      <w:numFmt w:val="bullet"/>
      <w:lvlText w:val="•"/>
      <w:lvlJc w:val="left"/>
      <w:pPr>
        <w:tabs>
          <w:tab w:val="num" w:pos="2880"/>
        </w:tabs>
        <w:ind w:left="2880" w:hanging="360"/>
      </w:pPr>
      <w:rPr>
        <w:rFonts w:ascii="Arial" w:hAnsi="Arial" w:hint="default"/>
      </w:rPr>
    </w:lvl>
    <w:lvl w:ilvl="4" w:tplc="6FAEE9CA" w:tentative="1">
      <w:start w:val="1"/>
      <w:numFmt w:val="bullet"/>
      <w:lvlText w:val="•"/>
      <w:lvlJc w:val="left"/>
      <w:pPr>
        <w:tabs>
          <w:tab w:val="num" w:pos="3600"/>
        </w:tabs>
        <w:ind w:left="3600" w:hanging="360"/>
      </w:pPr>
      <w:rPr>
        <w:rFonts w:ascii="Arial" w:hAnsi="Arial" w:hint="default"/>
      </w:rPr>
    </w:lvl>
    <w:lvl w:ilvl="5" w:tplc="95EE3372" w:tentative="1">
      <w:start w:val="1"/>
      <w:numFmt w:val="bullet"/>
      <w:lvlText w:val="•"/>
      <w:lvlJc w:val="left"/>
      <w:pPr>
        <w:tabs>
          <w:tab w:val="num" w:pos="4320"/>
        </w:tabs>
        <w:ind w:left="4320" w:hanging="360"/>
      </w:pPr>
      <w:rPr>
        <w:rFonts w:ascii="Arial" w:hAnsi="Arial" w:hint="default"/>
      </w:rPr>
    </w:lvl>
    <w:lvl w:ilvl="6" w:tplc="272ABDE2" w:tentative="1">
      <w:start w:val="1"/>
      <w:numFmt w:val="bullet"/>
      <w:lvlText w:val="•"/>
      <w:lvlJc w:val="left"/>
      <w:pPr>
        <w:tabs>
          <w:tab w:val="num" w:pos="5040"/>
        </w:tabs>
        <w:ind w:left="5040" w:hanging="360"/>
      </w:pPr>
      <w:rPr>
        <w:rFonts w:ascii="Arial" w:hAnsi="Arial" w:hint="default"/>
      </w:rPr>
    </w:lvl>
    <w:lvl w:ilvl="7" w:tplc="3E6AEF0E" w:tentative="1">
      <w:start w:val="1"/>
      <w:numFmt w:val="bullet"/>
      <w:lvlText w:val="•"/>
      <w:lvlJc w:val="left"/>
      <w:pPr>
        <w:tabs>
          <w:tab w:val="num" w:pos="5760"/>
        </w:tabs>
        <w:ind w:left="5760" w:hanging="360"/>
      </w:pPr>
      <w:rPr>
        <w:rFonts w:ascii="Arial" w:hAnsi="Arial" w:hint="default"/>
      </w:rPr>
    </w:lvl>
    <w:lvl w:ilvl="8" w:tplc="6A6C2D7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C851E3"/>
    <w:multiLevelType w:val="hybridMultilevel"/>
    <w:tmpl w:val="70FE4E00"/>
    <w:lvl w:ilvl="0" w:tplc="EEB40F74">
      <w:start w:val="1"/>
      <w:numFmt w:val="decimal"/>
      <w:lvlText w:val="%1."/>
      <w:lvlJc w:val="left"/>
      <w:pPr>
        <w:ind w:left="720" w:hanging="360"/>
      </w:pPr>
    </w:lvl>
    <w:lvl w:ilvl="1" w:tplc="49F0012C">
      <w:start w:val="1"/>
      <w:numFmt w:val="lowerLetter"/>
      <w:lvlText w:val="%2."/>
      <w:lvlJc w:val="left"/>
      <w:pPr>
        <w:ind w:left="1440" w:hanging="360"/>
      </w:pPr>
    </w:lvl>
    <w:lvl w:ilvl="2" w:tplc="62C6AADA">
      <w:start w:val="1"/>
      <w:numFmt w:val="lowerRoman"/>
      <w:lvlText w:val="%3."/>
      <w:lvlJc w:val="right"/>
      <w:pPr>
        <w:ind w:left="2160" w:hanging="180"/>
      </w:pPr>
    </w:lvl>
    <w:lvl w:ilvl="3" w:tplc="0FD83D58">
      <w:start w:val="1"/>
      <w:numFmt w:val="decimal"/>
      <w:lvlText w:val="%4."/>
      <w:lvlJc w:val="left"/>
      <w:pPr>
        <w:ind w:left="2880" w:hanging="360"/>
      </w:pPr>
    </w:lvl>
    <w:lvl w:ilvl="4" w:tplc="EDF4326A">
      <w:start w:val="1"/>
      <w:numFmt w:val="lowerLetter"/>
      <w:lvlText w:val="%5."/>
      <w:lvlJc w:val="left"/>
      <w:pPr>
        <w:ind w:left="3600" w:hanging="360"/>
      </w:pPr>
    </w:lvl>
    <w:lvl w:ilvl="5" w:tplc="58DA2666">
      <w:start w:val="1"/>
      <w:numFmt w:val="lowerRoman"/>
      <w:lvlText w:val="%6."/>
      <w:lvlJc w:val="right"/>
      <w:pPr>
        <w:ind w:left="4320" w:hanging="180"/>
      </w:pPr>
    </w:lvl>
    <w:lvl w:ilvl="6" w:tplc="7130C758">
      <w:start w:val="1"/>
      <w:numFmt w:val="decimal"/>
      <w:lvlText w:val="%7."/>
      <w:lvlJc w:val="left"/>
      <w:pPr>
        <w:ind w:left="5040" w:hanging="360"/>
      </w:pPr>
    </w:lvl>
    <w:lvl w:ilvl="7" w:tplc="343A01E0">
      <w:start w:val="1"/>
      <w:numFmt w:val="lowerLetter"/>
      <w:lvlText w:val="%8."/>
      <w:lvlJc w:val="left"/>
      <w:pPr>
        <w:ind w:left="5760" w:hanging="360"/>
      </w:pPr>
    </w:lvl>
    <w:lvl w:ilvl="8" w:tplc="41142C86">
      <w:start w:val="1"/>
      <w:numFmt w:val="lowerRoman"/>
      <w:lvlText w:val="%9."/>
      <w:lvlJc w:val="right"/>
      <w:pPr>
        <w:ind w:left="6480" w:hanging="180"/>
      </w:pPr>
    </w:lvl>
  </w:abstractNum>
  <w:abstractNum w:abstractNumId="21" w15:restartNumberingAfterBreak="0">
    <w:nsid w:val="33FB67B0"/>
    <w:multiLevelType w:val="hybridMultilevel"/>
    <w:tmpl w:val="4404A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7033CE"/>
    <w:multiLevelType w:val="hybridMultilevel"/>
    <w:tmpl w:val="34AE5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6E22B07"/>
    <w:multiLevelType w:val="hybridMultilevel"/>
    <w:tmpl w:val="A76ED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C5C4A24"/>
    <w:multiLevelType w:val="hybridMultilevel"/>
    <w:tmpl w:val="2AAC851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E481EF9"/>
    <w:multiLevelType w:val="hybridMultilevel"/>
    <w:tmpl w:val="E5406686"/>
    <w:lvl w:ilvl="0" w:tplc="81867FFC">
      <w:start w:val="1"/>
      <w:numFmt w:val="decimal"/>
      <w:lvlText w:val="%1."/>
      <w:lvlJc w:val="left"/>
      <w:pPr>
        <w:ind w:left="720" w:hanging="360"/>
      </w:pPr>
    </w:lvl>
    <w:lvl w:ilvl="1" w:tplc="47D89B54">
      <w:start w:val="1"/>
      <w:numFmt w:val="lowerLetter"/>
      <w:lvlText w:val="%2."/>
      <w:lvlJc w:val="left"/>
      <w:pPr>
        <w:ind w:left="1440" w:hanging="360"/>
      </w:pPr>
    </w:lvl>
    <w:lvl w:ilvl="2" w:tplc="6798BFD0">
      <w:start w:val="1"/>
      <w:numFmt w:val="lowerRoman"/>
      <w:lvlText w:val="%3."/>
      <w:lvlJc w:val="right"/>
      <w:pPr>
        <w:ind w:left="2160" w:hanging="180"/>
      </w:pPr>
    </w:lvl>
    <w:lvl w:ilvl="3" w:tplc="051EC876">
      <w:start w:val="1"/>
      <w:numFmt w:val="decimal"/>
      <w:lvlText w:val="%4."/>
      <w:lvlJc w:val="left"/>
      <w:pPr>
        <w:ind w:left="2880" w:hanging="360"/>
      </w:pPr>
    </w:lvl>
    <w:lvl w:ilvl="4" w:tplc="D280F238">
      <w:start w:val="1"/>
      <w:numFmt w:val="lowerLetter"/>
      <w:lvlText w:val="%5."/>
      <w:lvlJc w:val="left"/>
      <w:pPr>
        <w:ind w:left="3600" w:hanging="360"/>
      </w:pPr>
    </w:lvl>
    <w:lvl w:ilvl="5" w:tplc="1052614A">
      <w:start w:val="1"/>
      <w:numFmt w:val="lowerRoman"/>
      <w:lvlText w:val="%6."/>
      <w:lvlJc w:val="right"/>
      <w:pPr>
        <w:ind w:left="4320" w:hanging="180"/>
      </w:pPr>
    </w:lvl>
    <w:lvl w:ilvl="6" w:tplc="CD34DE6A">
      <w:start w:val="1"/>
      <w:numFmt w:val="decimal"/>
      <w:lvlText w:val="%7."/>
      <w:lvlJc w:val="left"/>
      <w:pPr>
        <w:ind w:left="5040" w:hanging="360"/>
      </w:pPr>
    </w:lvl>
    <w:lvl w:ilvl="7" w:tplc="32D6AF8E">
      <w:start w:val="1"/>
      <w:numFmt w:val="lowerLetter"/>
      <w:lvlText w:val="%8."/>
      <w:lvlJc w:val="left"/>
      <w:pPr>
        <w:ind w:left="5760" w:hanging="360"/>
      </w:pPr>
    </w:lvl>
    <w:lvl w:ilvl="8" w:tplc="5AE450CE">
      <w:start w:val="1"/>
      <w:numFmt w:val="lowerRoman"/>
      <w:lvlText w:val="%9."/>
      <w:lvlJc w:val="right"/>
      <w:pPr>
        <w:ind w:left="6480" w:hanging="180"/>
      </w:pPr>
    </w:lvl>
  </w:abstractNum>
  <w:abstractNum w:abstractNumId="26" w15:restartNumberingAfterBreak="0">
    <w:nsid w:val="4F89775E"/>
    <w:multiLevelType w:val="hybridMultilevel"/>
    <w:tmpl w:val="0D8ABE32"/>
    <w:styleLink w:val="VariantaB-sla"/>
    <w:lvl w:ilvl="0" w:tplc="F86E574A">
      <w:start w:val="1"/>
      <w:numFmt w:val="decimal"/>
      <w:pStyle w:val="slovanseznamB"/>
      <w:lvlText w:val="%1)"/>
      <w:lvlJc w:val="left"/>
      <w:pPr>
        <w:ind w:left="360" w:hanging="360"/>
      </w:pPr>
      <w:rPr>
        <w:rFonts w:hint="default"/>
      </w:rPr>
    </w:lvl>
    <w:lvl w:ilvl="1" w:tplc="0AD047B6">
      <w:start w:val="1"/>
      <w:numFmt w:val="lowerLetter"/>
      <w:pStyle w:val="slovanseznamB2"/>
      <w:lvlText w:val="%2)"/>
      <w:lvlJc w:val="left"/>
      <w:pPr>
        <w:ind w:left="720" w:hanging="360"/>
      </w:pPr>
      <w:rPr>
        <w:rFonts w:hint="default"/>
      </w:rPr>
    </w:lvl>
    <w:lvl w:ilvl="2" w:tplc="74DC8EC6">
      <w:start w:val="1"/>
      <w:numFmt w:val="lowerRoman"/>
      <w:pStyle w:val="slovanseznamB3"/>
      <w:lvlText w:val="%3)"/>
      <w:lvlJc w:val="left"/>
      <w:pPr>
        <w:ind w:left="1080" w:hanging="360"/>
      </w:pPr>
      <w:rPr>
        <w:rFonts w:hint="default"/>
      </w:rPr>
    </w:lvl>
    <w:lvl w:ilvl="3" w:tplc="B0264238">
      <w:start w:val="1"/>
      <w:numFmt w:val="decimal"/>
      <w:pStyle w:val="slovanseznamB4"/>
      <w:lvlText w:val="(%4)"/>
      <w:lvlJc w:val="left"/>
      <w:pPr>
        <w:ind w:left="1440" w:hanging="360"/>
      </w:pPr>
      <w:rPr>
        <w:rFonts w:hint="default"/>
      </w:rPr>
    </w:lvl>
    <w:lvl w:ilvl="4" w:tplc="D93EE33A">
      <w:start w:val="1"/>
      <w:numFmt w:val="lowerLetter"/>
      <w:pStyle w:val="slovanseznamB5"/>
      <w:lvlText w:val="(%5)"/>
      <w:lvlJc w:val="left"/>
      <w:pPr>
        <w:ind w:left="1800" w:hanging="360"/>
      </w:pPr>
      <w:rPr>
        <w:rFonts w:hint="default"/>
      </w:rPr>
    </w:lvl>
    <w:lvl w:ilvl="5" w:tplc="D60C16D8">
      <w:start w:val="1"/>
      <w:numFmt w:val="lowerRoman"/>
      <w:lvlText w:val="(%6)"/>
      <w:lvlJc w:val="left"/>
      <w:pPr>
        <w:ind w:left="2160" w:hanging="360"/>
      </w:pPr>
      <w:rPr>
        <w:rFonts w:hint="default"/>
      </w:rPr>
    </w:lvl>
    <w:lvl w:ilvl="6" w:tplc="DF1CBCAC">
      <w:start w:val="1"/>
      <w:numFmt w:val="decimal"/>
      <w:lvlText w:val="%7."/>
      <w:lvlJc w:val="left"/>
      <w:pPr>
        <w:ind w:left="2520" w:hanging="360"/>
      </w:pPr>
      <w:rPr>
        <w:rFonts w:hint="default"/>
      </w:rPr>
    </w:lvl>
    <w:lvl w:ilvl="7" w:tplc="A5122754">
      <w:start w:val="1"/>
      <w:numFmt w:val="lowerLetter"/>
      <w:lvlText w:val="%8."/>
      <w:lvlJc w:val="left"/>
      <w:pPr>
        <w:ind w:left="2880" w:hanging="360"/>
      </w:pPr>
      <w:rPr>
        <w:rFonts w:hint="default"/>
      </w:rPr>
    </w:lvl>
    <w:lvl w:ilvl="8" w:tplc="46D6E858">
      <w:start w:val="1"/>
      <w:numFmt w:val="lowerRoman"/>
      <w:lvlText w:val="%9."/>
      <w:lvlJc w:val="left"/>
      <w:pPr>
        <w:ind w:left="3240" w:hanging="360"/>
      </w:pPr>
      <w:rPr>
        <w:rFonts w:hint="default"/>
      </w:rPr>
    </w:lvl>
  </w:abstractNum>
  <w:abstractNum w:abstractNumId="27" w15:restartNumberingAfterBreak="0">
    <w:nsid w:val="52E1536A"/>
    <w:multiLevelType w:val="hybridMultilevel"/>
    <w:tmpl w:val="9B9AF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3E001B2"/>
    <w:multiLevelType w:val="hybridMultilevel"/>
    <w:tmpl w:val="59385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126625"/>
    <w:multiLevelType w:val="hybridMultilevel"/>
    <w:tmpl w:val="C56C3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60F34E6"/>
    <w:multiLevelType w:val="hybridMultilevel"/>
    <w:tmpl w:val="C680A2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A321E4"/>
    <w:multiLevelType w:val="hybridMultilevel"/>
    <w:tmpl w:val="E8BAE50A"/>
    <w:styleLink w:val="VariantaA-odrky"/>
    <w:lvl w:ilvl="0" w:tplc="50203DD2">
      <w:start w:val="1"/>
      <w:numFmt w:val="bullet"/>
      <w:pStyle w:val="Seznamsodrkami"/>
      <w:lvlText w:val=""/>
      <w:lvlJc w:val="left"/>
      <w:pPr>
        <w:ind w:left="357" w:hanging="357"/>
      </w:pPr>
      <w:rPr>
        <w:rFonts w:ascii="Wingdings" w:hAnsi="Wingdings" w:hint="default"/>
        <w:sz w:val="16"/>
      </w:rPr>
    </w:lvl>
    <w:lvl w:ilvl="1" w:tplc="31B0BE40">
      <w:start w:val="1"/>
      <w:numFmt w:val="bullet"/>
      <w:pStyle w:val="Seznamsodrkami2"/>
      <w:lvlText w:val=""/>
      <w:lvlJc w:val="left"/>
      <w:pPr>
        <w:ind w:left="714" w:hanging="357"/>
      </w:pPr>
      <w:rPr>
        <w:rFonts w:ascii="Wingdings" w:hAnsi="Wingdings" w:hint="default"/>
        <w:sz w:val="14"/>
      </w:rPr>
    </w:lvl>
    <w:lvl w:ilvl="2" w:tplc="0D70C60A">
      <w:start w:val="1"/>
      <w:numFmt w:val="bullet"/>
      <w:pStyle w:val="Seznamsodrkami3"/>
      <w:lvlText w:val=""/>
      <w:lvlJc w:val="left"/>
      <w:pPr>
        <w:ind w:left="1071" w:hanging="357"/>
      </w:pPr>
      <w:rPr>
        <w:rFonts w:ascii="Wingdings" w:hAnsi="Wingdings" w:hint="default"/>
        <w:sz w:val="10"/>
      </w:rPr>
    </w:lvl>
    <w:lvl w:ilvl="3" w:tplc="181E8C02">
      <w:start w:val="1"/>
      <w:numFmt w:val="bullet"/>
      <w:pStyle w:val="Seznamsodrkami4"/>
      <w:lvlText w:val=""/>
      <w:lvlJc w:val="left"/>
      <w:pPr>
        <w:ind w:left="1428" w:hanging="357"/>
      </w:pPr>
      <w:rPr>
        <w:rFonts w:ascii="Wingdings" w:hAnsi="Wingdings" w:hint="default"/>
        <w:sz w:val="10"/>
      </w:rPr>
    </w:lvl>
    <w:lvl w:ilvl="4" w:tplc="D2E63CCE">
      <w:start w:val="1"/>
      <w:numFmt w:val="bullet"/>
      <w:pStyle w:val="Seznamsodrkami5"/>
      <w:lvlText w:val=""/>
      <w:lvlJc w:val="left"/>
      <w:pPr>
        <w:ind w:left="1785" w:hanging="357"/>
      </w:pPr>
      <w:rPr>
        <w:rFonts w:ascii="Wingdings" w:hAnsi="Wingdings" w:hint="default"/>
        <w:sz w:val="10"/>
      </w:rPr>
    </w:lvl>
    <w:lvl w:ilvl="5" w:tplc="03120DDE">
      <w:start w:val="1"/>
      <w:numFmt w:val="bullet"/>
      <w:lvlText w:val=""/>
      <w:lvlJc w:val="left"/>
      <w:pPr>
        <w:ind w:left="2142" w:hanging="357"/>
      </w:pPr>
      <w:rPr>
        <w:rFonts w:ascii="Wingdings" w:hAnsi="Wingdings" w:hint="default"/>
        <w:sz w:val="10"/>
      </w:rPr>
    </w:lvl>
    <w:lvl w:ilvl="6" w:tplc="6716507A">
      <w:start w:val="1"/>
      <w:numFmt w:val="bullet"/>
      <w:lvlText w:val=""/>
      <w:lvlJc w:val="left"/>
      <w:pPr>
        <w:ind w:left="2499" w:hanging="357"/>
      </w:pPr>
      <w:rPr>
        <w:rFonts w:ascii="Wingdings" w:hAnsi="Wingdings" w:hint="default"/>
        <w:sz w:val="10"/>
      </w:rPr>
    </w:lvl>
    <w:lvl w:ilvl="7" w:tplc="D3FC1B52">
      <w:start w:val="1"/>
      <w:numFmt w:val="bullet"/>
      <w:lvlText w:val=""/>
      <w:lvlJc w:val="left"/>
      <w:pPr>
        <w:ind w:left="2856" w:hanging="357"/>
      </w:pPr>
      <w:rPr>
        <w:rFonts w:ascii="Wingdings" w:hAnsi="Wingdings" w:hint="default"/>
        <w:sz w:val="10"/>
      </w:rPr>
    </w:lvl>
    <w:lvl w:ilvl="8" w:tplc="6DD855E0">
      <w:start w:val="1"/>
      <w:numFmt w:val="bullet"/>
      <w:lvlText w:val=""/>
      <w:lvlJc w:val="left"/>
      <w:pPr>
        <w:ind w:left="3213" w:hanging="357"/>
      </w:pPr>
      <w:rPr>
        <w:rFonts w:ascii="Wingdings" w:hAnsi="Wingdings" w:hint="default"/>
        <w:color w:val="000000" w:themeColor="text1"/>
        <w:sz w:val="10"/>
      </w:rPr>
    </w:lvl>
  </w:abstractNum>
  <w:abstractNum w:abstractNumId="32" w15:restartNumberingAfterBreak="0">
    <w:nsid w:val="5AF35F43"/>
    <w:multiLevelType w:val="hybridMultilevel"/>
    <w:tmpl w:val="0D8ABE32"/>
    <w:numStyleLink w:val="VariantaB-sla"/>
  </w:abstractNum>
  <w:abstractNum w:abstractNumId="33" w15:restartNumberingAfterBreak="0">
    <w:nsid w:val="6423642A"/>
    <w:multiLevelType w:val="hybridMultilevel"/>
    <w:tmpl w:val="B8366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66048FE"/>
    <w:multiLevelType w:val="hybridMultilevel"/>
    <w:tmpl w:val="FB78B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6AE6AC8"/>
    <w:multiLevelType w:val="hybridMultilevel"/>
    <w:tmpl w:val="63AC32AE"/>
    <w:lvl w:ilvl="0" w:tplc="A244A406">
      <w:start w:val="1"/>
      <w:numFmt w:val="decimal"/>
      <w:lvlText w:val="%1."/>
      <w:lvlJc w:val="left"/>
      <w:pPr>
        <w:ind w:left="360" w:hanging="360"/>
      </w:pPr>
      <w:rPr>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B821A06"/>
    <w:multiLevelType w:val="hybridMultilevel"/>
    <w:tmpl w:val="1F8C9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3DB60B9"/>
    <w:multiLevelType w:val="multilevel"/>
    <w:tmpl w:val="AD401D0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8" w15:restartNumberingAfterBreak="0">
    <w:nsid w:val="77A95E50"/>
    <w:multiLevelType w:val="hybridMultilevel"/>
    <w:tmpl w:val="C5A4C18C"/>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9" w15:restartNumberingAfterBreak="0">
    <w:nsid w:val="7C2F747D"/>
    <w:multiLevelType w:val="hybridMultilevel"/>
    <w:tmpl w:val="7FCC3282"/>
    <w:lvl w:ilvl="0" w:tplc="F12480C8">
      <w:start w:val="1"/>
      <w:numFmt w:val="lowerLetter"/>
      <w:lvlText w:val="%1."/>
      <w:lvlJc w:val="left"/>
      <w:pPr>
        <w:tabs>
          <w:tab w:val="num" w:pos="720"/>
        </w:tabs>
        <w:ind w:left="720" w:hanging="360"/>
      </w:pPr>
    </w:lvl>
    <w:lvl w:ilvl="1" w:tplc="E6F021D0">
      <w:start w:val="1"/>
      <w:numFmt w:val="lowerLetter"/>
      <w:lvlText w:val="%2."/>
      <w:lvlJc w:val="left"/>
      <w:pPr>
        <w:tabs>
          <w:tab w:val="num" w:pos="1440"/>
        </w:tabs>
        <w:ind w:left="1440" w:hanging="360"/>
      </w:pPr>
    </w:lvl>
    <w:lvl w:ilvl="2" w:tplc="92623006">
      <w:start w:val="1"/>
      <w:numFmt w:val="lowerLetter"/>
      <w:lvlText w:val="%3."/>
      <w:lvlJc w:val="left"/>
      <w:pPr>
        <w:tabs>
          <w:tab w:val="num" w:pos="2160"/>
        </w:tabs>
        <w:ind w:left="2160" w:hanging="360"/>
      </w:pPr>
    </w:lvl>
    <w:lvl w:ilvl="3" w:tplc="B888EC02">
      <w:start w:val="1"/>
      <w:numFmt w:val="lowerLetter"/>
      <w:lvlText w:val="%4."/>
      <w:lvlJc w:val="left"/>
      <w:pPr>
        <w:tabs>
          <w:tab w:val="num" w:pos="2880"/>
        </w:tabs>
        <w:ind w:left="2880" w:hanging="360"/>
      </w:pPr>
    </w:lvl>
    <w:lvl w:ilvl="4" w:tplc="8D6E4B96">
      <w:start w:val="1"/>
      <w:numFmt w:val="lowerLetter"/>
      <w:lvlText w:val="%5."/>
      <w:lvlJc w:val="left"/>
      <w:pPr>
        <w:tabs>
          <w:tab w:val="num" w:pos="3600"/>
        </w:tabs>
        <w:ind w:left="3600" w:hanging="360"/>
      </w:pPr>
    </w:lvl>
    <w:lvl w:ilvl="5" w:tplc="4BE02276">
      <w:start w:val="1"/>
      <w:numFmt w:val="lowerLetter"/>
      <w:lvlText w:val="%6."/>
      <w:lvlJc w:val="left"/>
      <w:pPr>
        <w:tabs>
          <w:tab w:val="num" w:pos="4320"/>
        </w:tabs>
        <w:ind w:left="4320" w:hanging="360"/>
      </w:pPr>
    </w:lvl>
    <w:lvl w:ilvl="6" w:tplc="70F4D492">
      <w:start w:val="1"/>
      <w:numFmt w:val="lowerLetter"/>
      <w:lvlText w:val="%7."/>
      <w:lvlJc w:val="left"/>
      <w:pPr>
        <w:tabs>
          <w:tab w:val="num" w:pos="5040"/>
        </w:tabs>
        <w:ind w:left="5040" w:hanging="360"/>
      </w:pPr>
    </w:lvl>
    <w:lvl w:ilvl="7" w:tplc="8B12AC00">
      <w:start w:val="1"/>
      <w:numFmt w:val="lowerLetter"/>
      <w:lvlText w:val="%8."/>
      <w:lvlJc w:val="left"/>
      <w:pPr>
        <w:tabs>
          <w:tab w:val="num" w:pos="5760"/>
        </w:tabs>
        <w:ind w:left="5760" w:hanging="360"/>
      </w:pPr>
    </w:lvl>
    <w:lvl w:ilvl="8" w:tplc="1AD49726">
      <w:start w:val="1"/>
      <w:numFmt w:val="lowerLetter"/>
      <w:lvlText w:val="%9."/>
      <w:lvlJc w:val="left"/>
      <w:pPr>
        <w:tabs>
          <w:tab w:val="num" w:pos="6480"/>
        </w:tabs>
        <w:ind w:left="6480" w:hanging="360"/>
      </w:pPr>
    </w:lvl>
  </w:abstractNum>
  <w:abstractNum w:abstractNumId="40" w15:restartNumberingAfterBreak="0">
    <w:nsid w:val="7D766823"/>
    <w:multiLevelType w:val="hybridMultilevel"/>
    <w:tmpl w:val="B718CA96"/>
    <w:lvl w:ilvl="0" w:tplc="24D0C654">
      <w:start w:val="4"/>
      <w:numFmt w:val="lowerLetter"/>
      <w:lvlText w:val="%1."/>
      <w:lvlJc w:val="left"/>
      <w:pPr>
        <w:tabs>
          <w:tab w:val="num" w:pos="720"/>
        </w:tabs>
        <w:ind w:left="720" w:hanging="360"/>
      </w:pPr>
    </w:lvl>
    <w:lvl w:ilvl="1" w:tplc="FC469E36">
      <w:start w:val="1"/>
      <w:numFmt w:val="lowerLetter"/>
      <w:lvlText w:val="%2."/>
      <w:lvlJc w:val="left"/>
      <w:pPr>
        <w:tabs>
          <w:tab w:val="num" w:pos="1440"/>
        </w:tabs>
        <w:ind w:left="1440" w:hanging="360"/>
      </w:pPr>
    </w:lvl>
    <w:lvl w:ilvl="2" w:tplc="F468E860">
      <w:start w:val="1"/>
      <w:numFmt w:val="lowerLetter"/>
      <w:lvlText w:val="%3."/>
      <w:lvlJc w:val="left"/>
      <w:pPr>
        <w:tabs>
          <w:tab w:val="num" w:pos="2160"/>
        </w:tabs>
        <w:ind w:left="2160" w:hanging="360"/>
      </w:pPr>
    </w:lvl>
    <w:lvl w:ilvl="3" w:tplc="26DE8D02">
      <w:start w:val="1"/>
      <w:numFmt w:val="lowerLetter"/>
      <w:lvlText w:val="%4."/>
      <w:lvlJc w:val="left"/>
      <w:pPr>
        <w:tabs>
          <w:tab w:val="num" w:pos="2880"/>
        </w:tabs>
        <w:ind w:left="2880" w:hanging="360"/>
      </w:pPr>
    </w:lvl>
    <w:lvl w:ilvl="4" w:tplc="215C3A7E">
      <w:start w:val="1"/>
      <w:numFmt w:val="lowerLetter"/>
      <w:lvlText w:val="%5."/>
      <w:lvlJc w:val="left"/>
      <w:pPr>
        <w:tabs>
          <w:tab w:val="num" w:pos="3600"/>
        </w:tabs>
        <w:ind w:left="3600" w:hanging="360"/>
      </w:pPr>
    </w:lvl>
    <w:lvl w:ilvl="5" w:tplc="418E5318">
      <w:start w:val="1"/>
      <w:numFmt w:val="lowerLetter"/>
      <w:lvlText w:val="%6."/>
      <w:lvlJc w:val="left"/>
      <w:pPr>
        <w:tabs>
          <w:tab w:val="num" w:pos="4320"/>
        </w:tabs>
        <w:ind w:left="4320" w:hanging="360"/>
      </w:pPr>
    </w:lvl>
    <w:lvl w:ilvl="6" w:tplc="2D9AD694">
      <w:start w:val="1"/>
      <w:numFmt w:val="lowerLetter"/>
      <w:lvlText w:val="%7."/>
      <w:lvlJc w:val="left"/>
      <w:pPr>
        <w:tabs>
          <w:tab w:val="num" w:pos="5040"/>
        </w:tabs>
        <w:ind w:left="5040" w:hanging="360"/>
      </w:pPr>
    </w:lvl>
    <w:lvl w:ilvl="7" w:tplc="92CADE46">
      <w:start w:val="1"/>
      <w:numFmt w:val="lowerLetter"/>
      <w:lvlText w:val="%8."/>
      <w:lvlJc w:val="left"/>
      <w:pPr>
        <w:tabs>
          <w:tab w:val="num" w:pos="5760"/>
        </w:tabs>
        <w:ind w:left="5760" w:hanging="360"/>
      </w:pPr>
    </w:lvl>
    <w:lvl w:ilvl="8" w:tplc="C914BA3A">
      <w:start w:val="1"/>
      <w:numFmt w:val="lowerLetter"/>
      <w:lvlText w:val="%9."/>
      <w:lvlJc w:val="left"/>
      <w:pPr>
        <w:tabs>
          <w:tab w:val="num" w:pos="6480"/>
        </w:tabs>
        <w:ind w:left="6480" w:hanging="360"/>
      </w:pPr>
    </w:lvl>
  </w:abstractNum>
  <w:abstractNum w:abstractNumId="41" w15:restartNumberingAfterBreak="0">
    <w:nsid w:val="7FEF3ACC"/>
    <w:multiLevelType w:val="multilevel"/>
    <w:tmpl w:val="B26673FE"/>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3"/>
  </w:num>
  <w:num w:numId="2">
    <w:abstractNumId w:val="25"/>
  </w:num>
  <w:num w:numId="3">
    <w:abstractNumId w:val="20"/>
  </w:num>
  <w:num w:numId="4">
    <w:abstractNumId w:val="7"/>
  </w:num>
  <w:num w:numId="5">
    <w:abstractNumId w:val="31"/>
  </w:num>
  <w:num w:numId="6">
    <w:abstractNumId w:val="26"/>
  </w:num>
  <w:num w:numId="7">
    <w:abstractNumId w:val="2"/>
  </w:num>
  <w:num w:numId="8">
    <w:abstractNumId w:val="32"/>
  </w:num>
  <w:num w:numId="9">
    <w:abstractNumId w:val="14"/>
  </w:num>
  <w:num w:numId="10">
    <w:abstractNumId w:val="8"/>
  </w:num>
  <w:num w:numId="11">
    <w:abstractNumId w:val="6"/>
  </w:num>
  <w:num w:numId="12">
    <w:abstractNumId w:val="27"/>
  </w:num>
  <w:num w:numId="13">
    <w:abstractNumId w:val="21"/>
  </w:num>
  <w:num w:numId="14">
    <w:abstractNumId w:val="11"/>
  </w:num>
  <w:num w:numId="15">
    <w:abstractNumId w:val="33"/>
  </w:num>
  <w:num w:numId="16">
    <w:abstractNumId w:val="29"/>
  </w:num>
  <w:num w:numId="17">
    <w:abstractNumId w:val="34"/>
  </w:num>
  <w:num w:numId="18">
    <w:abstractNumId w:val="36"/>
  </w:num>
  <w:num w:numId="19">
    <w:abstractNumId w:val="28"/>
  </w:num>
  <w:num w:numId="20">
    <w:abstractNumId w:val="5"/>
  </w:num>
  <w:num w:numId="21">
    <w:abstractNumId w:val="9"/>
  </w:num>
  <w:num w:numId="22">
    <w:abstractNumId w:val="16"/>
  </w:num>
  <w:num w:numId="23">
    <w:abstractNumId w:val="30"/>
  </w:num>
  <w:num w:numId="24">
    <w:abstractNumId w:val="13"/>
  </w:num>
  <w:num w:numId="25">
    <w:abstractNumId w:val="18"/>
  </w:num>
  <w:num w:numId="26">
    <w:abstractNumId w:val="24"/>
  </w:num>
  <w:num w:numId="27">
    <w:abstractNumId w:val="4"/>
  </w:num>
  <w:num w:numId="28">
    <w:abstractNumId w:val="19"/>
  </w:num>
  <w:num w:numId="29">
    <w:abstractNumId w:val="17"/>
  </w:num>
  <w:num w:numId="30">
    <w:abstractNumId w:val="15"/>
  </w:num>
  <w:num w:numId="31">
    <w:abstractNumId w:val="23"/>
  </w:num>
  <w:num w:numId="32">
    <w:abstractNumId w:val="3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8"/>
  </w:num>
  <w:num w:numId="41">
    <w:abstractNumId w:val="1"/>
  </w:num>
  <w:num w:numId="4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CF"/>
    <w:rsid w:val="000020B6"/>
    <w:rsid w:val="000054E3"/>
    <w:rsid w:val="00006149"/>
    <w:rsid w:val="00012276"/>
    <w:rsid w:val="00015306"/>
    <w:rsid w:val="0002674B"/>
    <w:rsid w:val="00030685"/>
    <w:rsid w:val="000312D9"/>
    <w:rsid w:val="000318FB"/>
    <w:rsid w:val="00032719"/>
    <w:rsid w:val="0004162E"/>
    <w:rsid w:val="000421C0"/>
    <w:rsid w:val="00042E63"/>
    <w:rsid w:val="0004786B"/>
    <w:rsid w:val="00057173"/>
    <w:rsid w:val="00060AB1"/>
    <w:rsid w:val="00063405"/>
    <w:rsid w:val="00064320"/>
    <w:rsid w:val="000662EA"/>
    <w:rsid w:val="00070134"/>
    <w:rsid w:val="00074B55"/>
    <w:rsid w:val="000809B9"/>
    <w:rsid w:val="00081843"/>
    <w:rsid w:val="00083DF4"/>
    <w:rsid w:val="00090B40"/>
    <w:rsid w:val="00095A0A"/>
    <w:rsid w:val="00095D2A"/>
    <w:rsid w:val="00095EBD"/>
    <w:rsid w:val="00097FB2"/>
    <w:rsid w:val="000A06F5"/>
    <w:rsid w:val="000A30C5"/>
    <w:rsid w:val="000A30FC"/>
    <w:rsid w:val="000B1B3D"/>
    <w:rsid w:val="000B4D24"/>
    <w:rsid w:val="000B656E"/>
    <w:rsid w:val="000C0598"/>
    <w:rsid w:val="000C4CAF"/>
    <w:rsid w:val="000C5199"/>
    <w:rsid w:val="000C5380"/>
    <w:rsid w:val="000C6AE7"/>
    <w:rsid w:val="000D64C0"/>
    <w:rsid w:val="000D652B"/>
    <w:rsid w:val="000E2207"/>
    <w:rsid w:val="000F0BB0"/>
    <w:rsid w:val="000F1328"/>
    <w:rsid w:val="000F1598"/>
    <w:rsid w:val="000F2C6D"/>
    <w:rsid w:val="000F404E"/>
    <w:rsid w:val="000F63B9"/>
    <w:rsid w:val="00120540"/>
    <w:rsid w:val="00121111"/>
    <w:rsid w:val="00121485"/>
    <w:rsid w:val="001268B0"/>
    <w:rsid w:val="001310F9"/>
    <w:rsid w:val="00131CE7"/>
    <w:rsid w:val="001343E7"/>
    <w:rsid w:val="00134982"/>
    <w:rsid w:val="0014159B"/>
    <w:rsid w:val="00144D38"/>
    <w:rsid w:val="0015052B"/>
    <w:rsid w:val="00151134"/>
    <w:rsid w:val="00154B73"/>
    <w:rsid w:val="00163959"/>
    <w:rsid w:val="001745AA"/>
    <w:rsid w:val="0017758B"/>
    <w:rsid w:val="001777B3"/>
    <w:rsid w:val="0018051B"/>
    <w:rsid w:val="001869AB"/>
    <w:rsid w:val="00190689"/>
    <w:rsid w:val="001A2A9E"/>
    <w:rsid w:val="001A32A8"/>
    <w:rsid w:val="001A507F"/>
    <w:rsid w:val="001B1E4A"/>
    <w:rsid w:val="001B58AA"/>
    <w:rsid w:val="001C093B"/>
    <w:rsid w:val="001C1029"/>
    <w:rsid w:val="001C4DFD"/>
    <w:rsid w:val="001D27C0"/>
    <w:rsid w:val="001D6977"/>
    <w:rsid w:val="001E4962"/>
    <w:rsid w:val="001E58E8"/>
    <w:rsid w:val="001E74C3"/>
    <w:rsid w:val="001F3CAF"/>
    <w:rsid w:val="001F6937"/>
    <w:rsid w:val="002059FE"/>
    <w:rsid w:val="00205D9B"/>
    <w:rsid w:val="00207688"/>
    <w:rsid w:val="00207FC3"/>
    <w:rsid w:val="00216373"/>
    <w:rsid w:val="00216B98"/>
    <w:rsid w:val="0021792E"/>
    <w:rsid w:val="00220C70"/>
    <w:rsid w:val="00220DE3"/>
    <w:rsid w:val="00236A82"/>
    <w:rsid w:val="00237CBB"/>
    <w:rsid w:val="002424D3"/>
    <w:rsid w:val="00245A82"/>
    <w:rsid w:val="00246021"/>
    <w:rsid w:val="0025290D"/>
    <w:rsid w:val="0025784E"/>
    <w:rsid w:val="00260372"/>
    <w:rsid w:val="00262DAF"/>
    <w:rsid w:val="00271F0F"/>
    <w:rsid w:val="002721CD"/>
    <w:rsid w:val="002765E6"/>
    <w:rsid w:val="002839FC"/>
    <w:rsid w:val="00285AED"/>
    <w:rsid w:val="002B2226"/>
    <w:rsid w:val="002B5375"/>
    <w:rsid w:val="002B5A72"/>
    <w:rsid w:val="002B65DF"/>
    <w:rsid w:val="002C20CF"/>
    <w:rsid w:val="002C4FCC"/>
    <w:rsid w:val="002D2B80"/>
    <w:rsid w:val="002D6385"/>
    <w:rsid w:val="002E0D11"/>
    <w:rsid w:val="002E19BA"/>
    <w:rsid w:val="002E2442"/>
    <w:rsid w:val="002F0E8C"/>
    <w:rsid w:val="002F4F40"/>
    <w:rsid w:val="0030086D"/>
    <w:rsid w:val="00301541"/>
    <w:rsid w:val="00304970"/>
    <w:rsid w:val="00310FA0"/>
    <w:rsid w:val="00313ECE"/>
    <w:rsid w:val="00320481"/>
    <w:rsid w:val="00321F02"/>
    <w:rsid w:val="003250CB"/>
    <w:rsid w:val="00333A9E"/>
    <w:rsid w:val="00336035"/>
    <w:rsid w:val="00351CAF"/>
    <w:rsid w:val="0035265B"/>
    <w:rsid w:val="0035523A"/>
    <w:rsid w:val="003603EE"/>
    <w:rsid w:val="00363201"/>
    <w:rsid w:val="0036402F"/>
    <w:rsid w:val="0037455E"/>
    <w:rsid w:val="003820C7"/>
    <w:rsid w:val="00384A07"/>
    <w:rsid w:val="0038545E"/>
    <w:rsid w:val="003869DF"/>
    <w:rsid w:val="0039063C"/>
    <w:rsid w:val="003920A6"/>
    <w:rsid w:val="003A46A8"/>
    <w:rsid w:val="003A51AA"/>
    <w:rsid w:val="003A7947"/>
    <w:rsid w:val="003B0E92"/>
    <w:rsid w:val="003B245B"/>
    <w:rsid w:val="003B565A"/>
    <w:rsid w:val="003C0D48"/>
    <w:rsid w:val="003C1E9D"/>
    <w:rsid w:val="003D00A1"/>
    <w:rsid w:val="003D3067"/>
    <w:rsid w:val="003E120E"/>
    <w:rsid w:val="003F3AF2"/>
    <w:rsid w:val="003F6790"/>
    <w:rsid w:val="003F7D17"/>
    <w:rsid w:val="004017BD"/>
    <w:rsid w:val="00405422"/>
    <w:rsid w:val="00406F2B"/>
    <w:rsid w:val="00407120"/>
    <w:rsid w:val="0041316B"/>
    <w:rsid w:val="0041427F"/>
    <w:rsid w:val="00417F9E"/>
    <w:rsid w:val="00421294"/>
    <w:rsid w:val="004263B1"/>
    <w:rsid w:val="004275B8"/>
    <w:rsid w:val="00437689"/>
    <w:rsid w:val="004452D3"/>
    <w:rsid w:val="004509E5"/>
    <w:rsid w:val="00455F8D"/>
    <w:rsid w:val="00456AD8"/>
    <w:rsid w:val="0046426E"/>
    <w:rsid w:val="004779DF"/>
    <w:rsid w:val="004800C7"/>
    <w:rsid w:val="00486FB9"/>
    <w:rsid w:val="004877B1"/>
    <w:rsid w:val="00492F1E"/>
    <w:rsid w:val="00493245"/>
    <w:rsid w:val="00493F79"/>
    <w:rsid w:val="004C0E2B"/>
    <w:rsid w:val="004C212A"/>
    <w:rsid w:val="004CD230"/>
    <w:rsid w:val="004E3BFD"/>
    <w:rsid w:val="004E506D"/>
    <w:rsid w:val="004E6019"/>
    <w:rsid w:val="004F11FA"/>
    <w:rsid w:val="004F56D9"/>
    <w:rsid w:val="00500232"/>
    <w:rsid w:val="005015C4"/>
    <w:rsid w:val="00502CAE"/>
    <w:rsid w:val="005031B0"/>
    <w:rsid w:val="00504668"/>
    <w:rsid w:val="00504DF6"/>
    <w:rsid w:val="00505EBF"/>
    <w:rsid w:val="00507E31"/>
    <w:rsid w:val="005119E2"/>
    <w:rsid w:val="00514E0A"/>
    <w:rsid w:val="005245EE"/>
    <w:rsid w:val="00526653"/>
    <w:rsid w:val="005307DD"/>
    <w:rsid w:val="005345C4"/>
    <w:rsid w:val="00536992"/>
    <w:rsid w:val="005455E1"/>
    <w:rsid w:val="00550250"/>
    <w:rsid w:val="005502BD"/>
    <w:rsid w:val="00556787"/>
    <w:rsid w:val="005627E9"/>
    <w:rsid w:val="00562EA5"/>
    <w:rsid w:val="00582276"/>
    <w:rsid w:val="005851BD"/>
    <w:rsid w:val="00586036"/>
    <w:rsid w:val="00587A19"/>
    <w:rsid w:val="0059057A"/>
    <w:rsid w:val="0059432D"/>
    <w:rsid w:val="005B0052"/>
    <w:rsid w:val="005B0632"/>
    <w:rsid w:val="005B0EE3"/>
    <w:rsid w:val="005B3F5C"/>
    <w:rsid w:val="005B7B2B"/>
    <w:rsid w:val="005C2560"/>
    <w:rsid w:val="005C4AD7"/>
    <w:rsid w:val="005D1A33"/>
    <w:rsid w:val="005E44E2"/>
    <w:rsid w:val="005E45F5"/>
    <w:rsid w:val="005F5EFF"/>
    <w:rsid w:val="005F7585"/>
    <w:rsid w:val="00603DA9"/>
    <w:rsid w:val="00605759"/>
    <w:rsid w:val="006074A6"/>
    <w:rsid w:val="0061255F"/>
    <w:rsid w:val="00613B65"/>
    <w:rsid w:val="006223AD"/>
    <w:rsid w:val="00626143"/>
    <w:rsid w:val="00633D0C"/>
    <w:rsid w:val="0064124C"/>
    <w:rsid w:val="006420F5"/>
    <w:rsid w:val="00650C6C"/>
    <w:rsid w:val="00652FE6"/>
    <w:rsid w:val="0066067E"/>
    <w:rsid w:val="00660826"/>
    <w:rsid w:val="00667898"/>
    <w:rsid w:val="00677DF6"/>
    <w:rsid w:val="00677FE0"/>
    <w:rsid w:val="00680996"/>
    <w:rsid w:val="006953C3"/>
    <w:rsid w:val="006A4922"/>
    <w:rsid w:val="006A73BB"/>
    <w:rsid w:val="006B6764"/>
    <w:rsid w:val="006C0197"/>
    <w:rsid w:val="006C2CC3"/>
    <w:rsid w:val="006C30EB"/>
    <w:rsid w:val="006C7199"/>
    <w:rsid w:val="006D04EF"/>
    <w:rsid w:val="006E0317"/>
    <w:rsid w:val="006E0EF7"/>
    <w:rsid w:val="006E2FB0"/>
    <w:rsid w:val="006E7A2D"/>
    <w:rsid w:val="006F1BEA"/>
    <w:rsid w:val="006F5196"/>
    <w:rsid w:val="006F7C06"/>
    <w:rsid w:val="00706CA9"/>
    <w:rsid w:val="007102D2"/>
    <w:rsid w:val="00712D72"/>
    <w:rsid w:val="00713948"/>
    <w:rsid w:val="007174B7"/>
    <w:rsid w:val="00717FD9"/>
    <w:rsid w:val="00720C51"/>
    <w:rsid w:val="00724ED6"/>
    <w:rsid w:val="0072734C"/>
    <w:rsid w:val="00741CFD"/>
    <w:rsid w:val="00742093"/>
    <w:rsid w:val="00742DD3"/>
    <w:rsid w:val="007500F7"/>
    <w:rsid w:val="00752767"/>
    <w:rsid w:val="00753A27"/>
    <w:rsid w:val="00755770"/>
    <w:rsid w:val="00762D8B"/>
    <w:rsid w:val="00763455"/>
    <w:rsid w:val="00773058"/>
    <w:rsid w:val="007825D5"/>
    <w:rsid w:val="0078665F"/>
    <w:rsid w:val="0079342A"/>
    <w:rsid w:val="007A2737"/>
    <w:rsid w:val="007B4949"/>
    <w:rsid w:val="007B52A8"/>
    <w:rsid w:val="007C012D"/>
    <w:rsid w:val="007C0655"/>
    <w:rsid w:val="007C0788"/>
    <w:rsid w:val="007C342A"/>
    <w:rsid w:val="007C6039"/>
    <w:rsid w:val="007C6A25"/>
    <w:rsid w:val="007D418D"/>
    <w:rsid w:val="007D471A"/>
    <w:rsid w:val="007D70DE"/>
    <w:rsid w:val="007E5213"/>
    <w:rsid w:val="007E55C0"/>
    <w:rsid w:val="007F0BC6"/>
    <w:rsid w:val="007F7208"/>
    <w:rsid w:val="008012E9"/>
    <w:rsid w:val="00802D45"/>
    <w:rsid w:val="00817792"/>
    <w:rsid w:val="00821D0B"/>
    <w:rsid w:val="00827525"/>
    <w:rsid w:val="008307FE"/>
    <w:rsid w:val="00831374"/>
    <w:rsid w:val="00841886"/>
    <w:rsid w:val="00842E5D"/>
    <w:rsid w:val="00852465"/>
    <w:rsid w:val="0085635B"/>
    <w:rsid w:val="00857580"/>
    <w:rsid w:val="00865238"/>
    <w:rsid w:val="00866685"/>
    <w:rsid w:val="008667BF"/>
    <w:rsid w:val="008673DB"/>
    <w:rsid w:val="00883080"/>
    <w:rsid w:val="0088573D"/>
    <w:rsid w:val="00890276"/>
    <w:rsid w:val="00891C82"/>
    <w:rsid w:val="00895645"/>
    <w:rsid w:val="008A42B9"/>
    <w:rsid w:val="008A7851"/>
    <w:rsid w:val="008B05FB"/>
    <w:rsid w:val="008C0603"/>
    <w:rsid w:val="008C3782"/>
    <w:rsid w:val="008D05A5"/>
    <w:rsid w:val="008D4A32"/>
    <w:rsid w:val="008D593A"/>
    <w:rsid w:val="008D6671"/>
    <w:rsid w:val="008D762A"/>
    <w:rsid w:val="008E7760"/>
    <w:rsid w:val="008F5EBD"/>
    <w:rsid w:val="0091766D"/>
    <w:rsid w:val="00922001"/>
    <w:rsid w:val="00922C17"/>
    <w:rsid w:val="009254C0"/>
    <w:rsid w:val="009325EA"/>
    <w:rsid w:val="009350FB"/>
    <w:rsid w:val="00941192"/>
    <w:rsid w:val="00942DDD"/>
    <w:rsid w:val="00944252"/>
    <w:rsid w:val="009516A8"/>
    <w:rsid w:val="009536A3"/>
    <w:rsid w:val="00956452"/>
    <w:rsid w:val="00964516"/>
    <w:rsid w:val="009648AB"/>
    <w:rsid w:val="00970AA1"/>
    <w:rsid w:val="0097705C"/>
    <w:rsid w:val="0098726B"/>
    <w:rsid w:val="00992741"/>
    <w:rsid w:val="00996DF6"/>
    <w:rsid w:val="009A68C0"/>
    <w:rsid w:val="009A69B5"/>
    <w:rsid w:val="009B500B"/>
    <w:rsid w:val="009B503A"/>
    <w:rsid w:val="009B5523"/>
    <w:rsid w:val="009C04D3"/>
    <w:rsid w:val="009C691A"/>
    <w:rsid w:val="009D59E3"/>
    <w:rsid w:val="009E368A"/>
    <w:rsid w:val="009E49C4"/>
    <w:rsid w:val="009E634F"/>
    <w:rsid w:val="009F393D"/>
    <w:rsid w:val="009F7F46"/>
    <w:rsid w:val="00A000BF"/>
    <w:rsid w:val="00A005F9"/>
    <w:rsid w:val="00A0587E"/>
    <w:rsid w:val="00A10FE4"/>
    <w:rsid w:val="00A16D07"/>
    <w:rsid w:val="00A24C1F"/>
    <w:rsid w:val="00A269E1"/>
    <w:rsid w:val="00A275BC"/>
    <w:rsid w:val="00A302AB"/>
    <w:rsid w:val="00A32041"/>
    <w:rsid w:val="00A32B58"/>
    <w:rsid w:val="00A356B5"/>
    <w:rsid w:val="00A35CE4"/>
    <w:rsid w:val="00A418BC"/>
    <w:rsid w:val="00A464B4"/>
    <w:rsid w:val="00A63D6B"/>
    <w:rsid w:val="00A703C0"/>
    <w:rsid w:val="00A8273E"/>
    <w:rsid w:val="00A84B52"/>
    <w:rsid w:val="00A8598A"/>
    <w:rsid w:val="00A8660F"/>
    <w:rsid w:val="00A87B13"/>
    <w:rsid w:val="00A95C48"/>
    <w:rsid w:val="00A96F3E"/>
    <w:rsid w:val="00AA7056"/>
    <w:rsid w:val="00AB31C6"/>
    <w:rsid w:val="00AB426D"/>
    <w:rsid w:val="00AB523B"/>
    <w:rsid w:val="00AD1F5A"/>
    <w:rsid w:val="00AD67C8"/>
    <w:rsid w:val="00AD7E40"/>
    <w:rsid w:val="00AE59E5"/>
    <w:rsid w:val="00AE69E0"/>
    <w:rsid w:val="00AF2980"/>
    <w:rsid w:val="00AF3BAB"/>
    <w:rsid w:val="00AF4815"/>
    <w:rsid w:val="00AF7CDD"/>
    <w:rsid w:val="00B02924"/>
    <w:rsid w:val="00B02F9D"/>
    <w:rsid w:val="00B06E00"/>
    <w:rsid w:val="00B07CC0"/>
    <w:rsid w:val="00B1114A"/>
    <w:rsid w:val="00B12278"/>
    <w:rsid w:val="00B1477A"/>
    <w:rsid w:val="00B149EE"/>
    <w:rsid w:val="00B15E20"/>
    <w:rsid w:val="00B1729A"/>
    <w:rsid w:val="00B20993"/>
    <w:rsid w:val="00B2204E"/>
    <w:rsid w:val="00B22A99"/>
    <w:rsid w:val="00B26B47"/>
    <w:rsid w:val="00B27EE7"/>
    <w:rsid w:val="00B27F7F"/>
    <w:rsid w:val="00B31350"/>
    <w:rsid w:val="00B314D8"/>
    <w:rsid w:val="00B32B72"/>
    <w:rsid w:val="00B33950"/>
    <w:rsid w:val="00B40121"/>
    <w:rsid w:val="00B42E96"/>
    <w:rsid w:val="00B50EE6"/>
    <w:rsid w:val="00B52185"/>
    <w:rsid w:val="00B6084E"/>
    <w:rsid w:val="00B72A4C"/>
    <w:rsid w:val="00B770F2"/>
    <w:rsid w:val="00B839FB"/>
    <w:rsid w:val="00B86167"/>
    <w:rsid w:val="00B9060C"/>
    <w:rsid w:val="00B942B1"/>
    <w:rsid w:val="00B94A2A"/>
    <w:rsid w:val="00B9753A"/>
    <w:rsid w:val="00BA251E"/>
    <w:rsid w:val="00BA5F8E"/>
    <w:rsid w:val="00BB19A1"/>
    <w:rsid w:val="00BB3BF4"/>
    <w:rsid w:val="00BB479C"/>
    <w:rsid w:val="00BB629E"/>
    <w:rsid w:val="00BC4720"/>
    <w:rsid w:val="00BC75D2"/>
    <w:rsid w:val="00BD02A5"/>
    <w:rsid w:val="00BD0B80"/>
    <w:rsid w:val="00BD4D6B"/>
    <w:rsid w:val="00BD75A2"/>
    <w:rsid w:val="00BF3DFE"/>
    <w:rsid w:val="00BF52CA"/>
    <w:rsid w:val="00C04715"/>
    <w:rsid w:val="00C1476E"/>
    <w:rsid w:val="00C2017A"/>
    <w:rsid w:val="00C2026B"/>
    <w:rsid w:val="00C20470"/>
    <w:rsid w:val="00C2090C"/>
    <w:rsid w:val="00C308E9"/>
    <w:rsid w:val="00C34B2F"/>
    <w:rsid w:val="00C36D6B"/>
    <w:rsid w:val="00C4641B"/>
    <w:rsid w:val="00C46D75"/>
    <w:rsid w:val="00C55DFB"/>
    <w:rsid w:val="00C57017"/>
    <w:rsid w:val="00C57166"/>
    <w:rsid w:val="00C6212B"/>
    <w:rsid w:val="00C6690E"/>
    <w:rsid w:val="00C703C5"/>
    <w:rsid w:val="00C76914"/>
    <w:rsid w:val="00C805F2"/>
    <w:rsid w:val="00C81810"/>
    <w:rsid w:val="00C925FB"/>
    <w:rsid w:val="00C96099"/>
    <w:rsid w:val="00C96EFE"/>
    <w:rsid w:val="00CA460E"/>
    <w:rsid w:val="00CA5825"/>
    <w:rsid w:val="00CC5E40"/>
    <w:rsid w:val="00CC6CBF"/>
    <w:rsid w:val="00CD6B18"/>
    <w:rsid w:val="00CE0581"/>
    <w:rsid w:val="00CE2335"/>
    <w:rsid w:val="00CE2748"/>
    <w:rsid w:val="00CE4B46"/>
    <w:rsid w:val="00CF104D"/>
    <w:rsid w:val="00CF21D8"/>
    <w:rsid w:val="00CF3324"/>
    <w:rsid w:val="00D01FA0"/>
    <w:rsid w:val="00D02FF4"/>
    <w:rsid w:val="00D04686"/>
    <w:rsid w:val="00D1569F"/>
    <w:rsid w:val="00D20B1E"/>
    <w:rsid w:val="00D20F4F"/>
    <w:rsid w:val="00D22462"/>
    <w:rsid w:val="00D230AC"/>
    <w:rsid w:val="00D302F8"/>
    <w:rsid w:val="00D3108D"/>
    <w:rsid w:val="00D32489"/>
    <w:rsid w:val="00D3349E"/>
    <w:rsid w:val="00D338AD"/>
    <w:rsid w:val="00D360BB"/>
    <w:rsid w:val="00D37673"/>
    <w:rsid w:val="00D420EA"/>
    <w:rsid w:val="00D448FD"/>
    <w:rsid w:val="00D51925"/>
    <w:rsid w:val="00D61F68"/>
    <w:rsid w:val="00D71EF7"/>
    <w:rsid w:val="00D727BA"/>
    <w:rsid w:val="00D73CB8"/>
    <w:rsid w:val="00D76F54"/>
    <w:rsid w:val="00D92C9C"/>
    <w:rsid w:val="00DA2A3F"/>
    <w:rsid w:val="00DA3A29"/>
    <w:rsid w:val="00DA7591"/>
    <w:rsid w:val="00DA7A2C"/>
    <w:rsid w:val="00DA7B3B"/>
    <w:rsid w:val="00DB1E5A"/>
    <w:rsid w:val="00DB2AE0"/>
    <w:rsid w:val="00DB6F34"/>
    <w:rsid w:val="00DC5DC3"/>
    <w:rsid w:val="00DC646D"/>
    <w:rsid w:val="00DD29DE"/>
    <w:rsid w:val="00DD7017"/>
    <w:rsid w:val="00DD739F"/>
    <w:rsid w:val="00DD7E4E"/>
    <w:rsid w:val="00DE0ED4"/>
    <w:rsid w:val="00DF4B2E"/>
    <w:rsid w:val="00DF7E7D"/>
    <w:rsid w:val="00E01FB5"/>
    <w:rsid w:val="00E040EA"/>
    <w:rsid w:val="00E0611B"/>
    <w:rsid w:val="00E06C80"/>
    <w:rsid w:val="00E1617F"/>
    <w:rsid w:val="00E237E4"/>
    <w:rsid w:val="00E32798"/>
    <w:rsid w:val="00E33CC8"/>
    <w:rsid w:val="00E33DC9"/>
    <w:rsid w:val="00E414A4"/>
    <w:rsid w:val="00E51C91"/>
    <w:rsid w:val="00E56F24"/>
    <w:rsid w:val="00E6024D"/>
    <w:rsid w:val="00E61F47"/>
    <w:rsid w:val="00E667C1"/>
    <w:rsid w:val="00E67EEC"/>
    <w:rsid w:val="00E71593"/>
    <w:rsid w:val="00E72788"/>
    <w:rsid w:val="00E809E9"/>
    <w:rsid w:val="00EA02FA"/>
    <w:rsid w:val="00EA20DA"/>
    <w:rsid w:val="00EB61CE"/>
    <w:rsid w:val="00EC2914"/>
    <w:rsid w:val="00EC3F88"/>
    <w:rsid w:val="00ED07B5"/>
    <w:rsid w:val="00ED337B"/>
    <w:rsid w:val="00ED36D8"/>
    <w:rsid w:val="00ED612A"/>
    <w:rsid w:val="00ED642D"/>
    <w:rsid w:val="00EE6BD7"/>
    <w:rsid w:val="00EE7FCF"/>
    <w:rsid w:val="00EF15B4"/>
    <w:rsid w:val="00EF374D"/>
    <w:rsid w:val="00F03B1C"/>
    <w:rsid w:val="00F0689D"/>
    <w:rsid w:val="00F07F25"/>
    <w:rsid w:val="00F10818"/>
    <w:rsid w:val="00F20843"/>
    <w:rsid w:val="00F25ABC"/>
    <w:rsid w:val="00F2674B"/>
    <w:rsid w:val="00F34B12"/>
    <w:rsid w:val="00F3526D"/>
    <w:rsid w:val="00F3580C"/>
    <w:rsid w:val="00F36A11"/>
    <w:rsid w:val="00F440F4"/>
    <w:rsid w:val="00F461AB"/>
    <w:rsid w:val="00F63717"/>
    <w:rsid w:val="00F63BB9"/>
    <w:rsid w:val="00F64CD0"/>
    <w:rsid w:val="00F7022D"/>
    <w:rsid w:val="00F8491A"/>
    <w:rsid w:val="00F95713"/>
    <w:rsid w:val="00FB01B5"/>
    <w:rsid w:val="00FB2FFA"/>
    <w:rsid w:val="00FB4603"/>
    <w:rsid w:val="00FC39F6"/>
    <w:rsid w:val="00FD4FDD"/>
    <w:rsid w:val="00FE4664"/>
    <w:rsid w:val="00FE4F4C"/>
    <w:rsid w:val="00FF126F"/>
    <w:rsid w:val="00FF6E6B"/>
    <w:rsid w:val="010AE9A6"/>
    <w:rsid w:val="01D1629F"/>
    <w:rsid w:val="0275ED4E"/>
    <w:rsid w:val="02939F48"/>
    <w:rsid w:val="02B8AEAF"/>
    <w:rsid w:val="03B64D8C"/>
    <w:rsid w:val="03DB39D4"/>
    <w:rsid w:val="049B0691"/>
    <w:rsid w:val="04A74FB4"/>
    <w:rsid w:val="0573FEC3"/>
    <w:rsid w:val="05C7597B"/>
    <w:rsid w:val="05E9043B"/>
    <w:rsid w:val="06A08965"/>
    <w:rsid w:val="06A9B535"/>
    <w:rsid w:val="06AC64F5"/>
    <w:rsid w:val="07265FC1"/>
    <w:rsid w:val="073383B6"/>
    <w:rsid w:val="075C50D3"/>
    <w:rsid w:val="085A561D"/>
    <w:rsid w:val="0914962E"/>
    <w:rsid w:val="09ACCE22"/>
    <w:rsid w:val="09E333B7"/>
    <w:rsid w:val="0A21F339"/>
    <w:rsid w:val="0A348FE8"/>
    <w:rsid w:val="0A51D085"/>
    <w:rsid w:val="0A69198C"/>
    <w:rsid w:val="0ABDB92C"/>
    <w:rsid w:val="0B3794D1"/>
    <w:rsid w:val="0B5BFD06"/>
    <w:rsid w:val="0B5D866A"/>
    <w:rsid w:val="0B83CD66"/>
    <w:rsid w:val="0C1D595C"/>
    <w:rsid w:val="0C38B540"/>
    <w:rsid w:val="0C734D39"/>
    <w:rsid w:val="0CE46EE4"/>
    <w:rsid w:val="0D78CBC9"/>
    <w:rsid w:val="0E0699E0"/>
    <w:rsid w:val="0E06FE3E"/>
    <w:rsid w:val="0E2A17D3"/>
    <w:rsid w:val="0E39E90C"/>
    <w:rsid w:val="101A9EB8"/>
    <w:rsid w:val="1072F9FF"/>
    <w:rsid w:val="10BAB60C"/>
    <w:rsid w:val="10CE0C50"/>
    <w:rsid w:val="10F8DF35"/>
    <w:rsid w:val="11C4B70F"/>
    <w:rsid w:val="11DE045C"/>
    <w:rsid w:val="11E1D3B4"/>
    <w:rsid w:val="127A2E70"/>
    <w:rsid w:val="12B57DCF"/>
    <w:rsid w:val="13206BB6"/>
    <w:rsid w:val="13881397"/>
    <w:rsid w:val="1395C4A3"/>
    <w:rsid w:val="13B4C6F3"/>
    <w:rsid w:val="140FEC41"/>
    <w:rsid w:val="14136682"/>
    <w:rsid w:val="14542625"/>
    <w:rsid w:val="15E1F833"/>
    <w:rsid w:val="16706530"/>
    <w:rsid w:val="169B4805"/>
    <w:rsid w:val="16C09923"/>
    <w:rsid w:val="16E106C2"/>
    <w:rsid w:val="17E7C3F4"/>
    <w:rsid w:val="18E3742F"/>
    <w:rsid w:val="19221038"/>
    <w:rsid w:val="1954386B"/>
    <w:rsid w:val="197C7FEC"/>
    <w:rsid w:val="19A29C4E"/>
    <w:rsid w:val="1B328B4B"/>
    <w:rsid w:val="1B4DE28B"/>
    <w:rsid w:val="1B527C10"/>
    <w:rsid w:val="1BD3B38E"/>
    <w:rsid w:val="1C2878CD"/>
    <w:rsid w:val="1C35A98A"/>
    <w:rsid w:val="1C4FFD6B"/>
    <w:rsid w:val="1D20FB92"/>
    <w:rsid w:val="1D2D22F1"/>
    <w:rsid w:val="1DF9E991"/>
    <w:rsid w:val="1E3C0B3A"/>
    <w:rsid w:val="1EAB2E7E"/>
    <w:rsid w:val="1EC5EAB9"/>
    <w:rsid w:val="1EC921FF"/>
    <w:rsid w:val="1F360EE9"/>
    <w:rsid w:val="1F6CC6E7"/>
    <w:rsid w:val="1F92DDBB"/>
    <w:rsid w:val="1FE4A4FC"/>
    <w:rsid w:val="203A10A4"/>
    <w:rsid w:val="206D906A"/>
    <w:rsid w:val="209E42B0"/>
    <w:rsid w:val="20BA0973"/>
    <w:rsid w:val="21835189"/>
    <w:rsid w:val="21B45BCE"/>
    <w:rsid w:val="220B7343"/>
    <w:rsid w:val="228BEB39"/>
    <w:rsid w:val="229883BA"/>
    <w:rsid w:val="22A3E0D0"/>
    <w:rsid w:val="2317B50D"/>
    <w:rsid w:val="23AD1024"/>
    <w:rsid w:val="240A4A2F"/>
    <w:rsid w:val="246D1879"/>
    <w:rsid w:val="24A0088C"/>
    <w:rsid w:val="25BFEB7F"/>
    <w:rsid w:val="264CA8B3"/>
    <w:rsid w:val="2726F1CA"/>
    <w:rsid w:val="280262AC"/>
    <w:rsid w:val="285F0CCD"/>
    <w:rsid w:val="29310848"/>
    <w:rsid w:val="29534469"/>
    <w:rsid w:val="29A419A4"/>
    <w:rsid w:val="2A21EA9A"/>
    <w:rsid w:val="2A6FCB9B"/>
    <w:rsid w:val="2A76D090"/>
    <w:rsid w:val="2A7A153E"/>
    <w:rsid w:val="2BC8D200"/>
    <w:rsid w:val="2C4404B5"/>
    <w:rsid w:val="2CDC4C02"/>
    <w:rsid w:val="2D53A057"/>
    <w:rsid w:val="2D5A28E4"/>
    <w:rsid w:val="2D64CEBC"/>
    <w:rsid w:val="2D873D67"/>
    <w:rsid w:val="2D8DF5EC"/>
    <w:rsid w:val="2DB997A7"/>
    <w:rsid w:val="2E48A8B3"/>
    <w:rsid w:val="2EDB3B02"/>
    <w:rsid w:val="2FB31ACE"/>
    <w:rsid w:val="3135B80A"/>
    <w:rsid w:val="3141B250"/>
    <w:rsid w:val="31D0DD12"/>
    <w:rsid w:val="3216B4C3"/>
    <w:rsid w:val="325908FE"/>
    <w:rsid w:val="325DADE1"/>
    <w:rsid w:val="328D3C17"/>
    <w:rsid w:val="32BE3F28"/>
    <w:rsid w:val="331C8147"/>
    <w:rsid w:val="34D4C6B7"/>
    <w:rsid w:val="34D74A54"/>
    <w:rsid w:val="3545260B"/>
    <w:rsid w:val="35633D6C"/>
    <w:rsid w:val="35C4480F"/>
    <w:rsid w:val="365F5162"/>
    <w:rsid w:val="366FBCD4"/>
    <w:rsid w:val="3714F750"/>
    <w:rsid w:val="37410BAA"/>
    <w:rsid w:val="383605A8"/>
    <w:rsid w:val="3909017B"/>
    <w:rsid w:val="394C3D6D"/>
    <w:rsid w:val="395EAC77"/>
    <w:rsid w:val="39F55338"/>
    <w:rsid w:val="3A4C9812"/>
    <w:rsid w:val="3A9618A6"/>
    <w:rsid w:val="3AAE634C"/>
    <w:rsid w:val="3ABD37AB"/>
    <w:rsid w:val="3AEB50F1"/>
    <w:rsid w:val="3B3349EE"/>
    <w:rsid w:val="3BAC79AD"/>
    <w:rsid w:val="3C101D38"/>
    <w:rsid w:val="3C4A9B91"/>
    <w:rsid w:val="3C55FE76"/>
    <w:rsid w:val="3CBD0DE3"/>
    <w:rsid w:val="3D0B1478"/>
    <w:rsid w:val="3D5955CE"/>
    <w:rsid w:val="3D835E38"/>
    <w:rsid w:val="3DE45ADF"/>
    <w:rsid w:val="3E1B9606"/>
    <w:rsid w:val="3ECA48DE"/>
    <w:rsid w:val="3ECF77E9"/>
    <w:rsid w:val="413064BE"/>
    <w:rsid w:val="413719B7"/>
    <w:rsid w:val="41792D74"/>
    <w:rsid w:val="41BEA7D1"/>
    <w:rsid w:val="421AC8C9"/>
    <w:rsid w:val="4260D39B"/>
    <w:rsid w:val="42ED0E70"/>
    <w:rsid w:val="454E589F"/>
    <w:rsid w:val="455475E5"/>
    <w:rsid w:val="45E45651"/>
    <w:rsid w:val="45EF0C6B"/>
    <w:rsid w:val="461E783F"/>
    <w:rsid w:val="46634AA8"/>
    <w:rsid w:val="46689A92"/>
    <w:rsid w:val="46EC52D1"/>
    <w:rsid w:val="47336A48"/>
    <w:rsid w:val="476D6E69"/>
    <w:rsid w:val="47D0B56C"/>
    <w:rsid w:val="47D4EF46"/>
    <w:rsid w:val="47DDF8AD"/>
    <w:rsid w:val="483E5862"/>
    <w:rsid w:val="485FDE43"/>
    <w:rsid w:val="48BA98C3"/>
    <w:rsid w:val="48C0EDFB"/>
    <w:rsid w:val="48C6E71B"/>
    <w:rsid w:val="4931779B"/>
    <w:rsid w:val="493FFFF7"/>
    <w:rsid w:val="49A6D6E9"/>
    <w:rsid w:val="4A029092"/>
    <w:rsid w:val="4A3FD7F8"/>
    <w:rsid w:val="4A62A854"/>
    <w:rsid w:val="4A81D42C"/>
    <w:rsid w:val="4B60E63B"/>
    <w:rsid w:val="4CEC6F79"/>
    <w:rsid w:val="4D9153D2"/>
    <w:rsid w:val="4E13A472"/>
    <w:rsid w:val="4E8240C0"/>
    <w:rsid w:val="4EF5EA00"/>
    <w:rsid w:val="4F7D30C0"/>
    <w:rsid w:val="4F7EC3AC"/>
    <w:rsid w:val="4FF9994F"/>
    <w:rsid w:val="508D6641"/>
    <w:rsid w:val="50981AFD"/>
    <w:rsid w:val="50AF197C"/>
    <w:rsid w:val="51166FE8"/>
    <w:rsid w:val="514C29E6"/>
    <w:rsid w:val="51F08B9C"/>
    <w:rsid w:val="520A5CC1"/>
    <w:rsid w:val="529E7E4D"/>
    <w:rsid w:val="52BCE40F"/>
    <w:rsid w:val="5308B538"/>
    <w:rsid w:val="5349B493"/>
    <w:rsid w:val="53EB760C"/>
    <w:rsid w:val="53FBAB55"/>
    <w:rsid w:val="54DE6BBA"/>
    <w:rsid w:val="54FE3CC0"/>
    <w:rsid w:val="55437EDF"/>
    <w:rsid w:val="5546BB68"/>
    <w:rsid w:val="567210E2"/>
    <w:rsid w:val="56812C79"/>
    <w:rsid w:val="56D68AB8"/>
    <w:rsid w:val="56D9D230"/>
    <w:rsid w:val="56E99E80"/>
    <w:rsid w:val="572E0307"/>
    <w:rsid w:val="57DB432A"/>
    <w:rsid w:val="57E74737"/>
    <w:rsid w:val="57F1F06C"/>
    <w:rsid w:val="57F422A3"/>
    <w:rsid w:val="581D92FA"/>
    <w:rsid w:val="58EC1D22"/>
    <w:rsid w:val="5A301A6E"/>
    <w:rsid w:val="5AD3009E"/>
    <w:rsid w:val="5AF30959"/>
    <w:rsid w:val="5BF2F6CA"/>
    <w:rsid w:val="5C78B14E"/>
    <w:rsid w:val="5CFAAB51"/>
    <w:rsid w:val="5D04B30C"/>
    <w:rsid w:val="5D14B801"/>
    <w:rsid w:val="5DA11185"/>
    <w:rsid w:val="5DB75F9F"/>
    <w:rsid w:val="5DFEF531"/>
    <w:rsid w:val="5E1956AE"/>
    <w:rsid w:val="5E6BA31D"/>
    <w:rsid w:val="5E8C829E"/>
    <w:rsid w:val="5ED66E3C"/>
    <w:rsid w:val="5EFEBB56"/>
    <w:rsid w:val="5F029356"/>
    <w:rsid w:val="5F0C83A7"/>
    <w:rsid w:val="5F7DB517"/>
    <w:rsid w:val="5FB1B847"/>
    <w:rsid w:val="5FBA8AB0"/>
    <w:rsid w:val="601872AD"/>
    <w:rsid w:val="606D7843"/>
    <w:rsid w:val="60B7A3E0"/>
    <w:rsid w:val="60BFDF30"/>
    <w:rsid w:val="60D30D84"/>
    <w:rsid w:val="6116E19C"/>
    <w:rsid w:val="61498092"/>
    <w:rsid w:val="6175CB69"/>
    <w:rsid w:val="62317338"/>
    <w:rsid w:val="62949B9B"/>
    <w:rsid w:val="6308C024"/>
    <w:rsid w:val="637FD20B"/>
    <w:rsid w:val="63E884E0"/>
    <w:rsid w:val="63F2A544"/>
    <w:rsid w:val="64277DAA"/>
    <w:rsid w:val="644E00AC"/>
    <w:rsid w:val="64804D2A"/>
    <w:rsid w:val="65189169"/>
    <w:rsid w:val="65945F63"/>
    <w:rsid w:val="65ABA437"/>
    <w:rsid w:val="65D438C5"/>
    <w:rsid w:val="65FC0112"/>
    <w:rsid w:val="66CA81D3"/>
    <w:rsid w:val="670E9A10"/>
    <w:rsid w:val="671E4327"/>
    <w:rsid w:val="676DCC98"/>
    <w:rsid w:val="686A8869"/>
    <w:rsid w:val="68E9E5BE"/>
    <w:rsid w:val="69626741"/>
    <w:rsid w:val="699BA728"/>
    <w:rsid w:val="6A897226"/>
    <w:rsid w:val="6C1239F5"/>
    <w:rsid w:val="6C3623FB"/>
    <w:rsid w:val="6C54F3A7"/>
    <w:rsid w:val="6C8AF0BD"/>
    <w:rsid w:val="6CDE4A0D"/>
    <w:rsid w:val="6D533520"/>
    <w:rsid w:val="6DF098A1"/>
    <w:rsid w:val="6DFA14E1"/>
    <w:rsid w:val="6E011EE0"/>
    <w:rsid w:val="6EA3A48F"/>
    <w:rsid w:val="6EB1976A"/>
    <w:rsid w:val="6EBE30F1"/>
    <w:rsid w:val="6EDF4BC5"/>
    <w:rsid w:val="6F46AFA9"/>
    <w:rsid w:val="6F858D71"/>
    <w:rsid w:val="6FAEC66B"/>
    <w:rsid w:val="6FD6F675"/>
    <w:rsid w:val="6FDF34C9"/>
    <w:rsid w:val="71E36747"/>
    <w:rsid w:val="720216A4"/>
    <w:rsid w:val="7209D0CE"/>
    <w:rsid w:val="72511157"/>
    <w:rsid w:val="72B128AB"/>
    <w:rsid w:val="733B0339"/>
    <w:rsid w:val="73BA50B8"/>
    <w:rsid w:val="73C9F058"/>
    <w:rsid w:val="73D99CDC"/>
    <w:rsid w:val="743C224C"/>
    <w:rsid w:val="745B7EDF"/>
    <w:rsid w:val="748A1A33"/>
    <w:rsid w:val="753AE0EF"/>
    <w:rsid w:val="75A8889C"/>
    <w:rsid w:val="75AA1814"/>
    <w:rsid w:val="763469F3"/>
    <w:rsid w:val="7669B158"/>
    <w:rsid w:val="76A040D9"/>
    <w:rsid w:val="76DB0ECF"/>
    <w:rsid w:val="76F21FE7"/>
    <w:rsid w:val="770B173E"/>
    <w:rsid w:val="77203F60"/>
    <w:rsid w:val="780C14CD"/>
    <w:rsid w:val="7861BE22"/>
    <w:rsid w:val="78BC0FC1"/>
    <w:rsid w:val="78C6B754"/>
    <w:rsid w:val="79287DAA"/>
    <w:rsid w:val="792A8290"/>
    <w:rsid w:val="7A294DE1"/>
    <w:rsid w:val="7A83CCE5"/>
    <w:rsid w:val="7A9BD152"/>
    <w:rsid w:val="7AA2D90B"/>
    <w:rsid w:val="7AA4364F"/>
    <w:rsid w:val="7AE57793"/>
    <w:rsid w:val="7B8E3E3E"/>
    <w:rsid w:val="7BE5CD96"/>
    <w:rsid w:val="7BFE72F9"/>
    <w:rsid w:val="7C63463A"/>
    <w:rsid w:val="7CE08B87"/>
    <w:rsid w:val="7DCCBFCB"/>
    <w:rsid w:val="7DE830CA"/>
    <w:rsid w:val="7E2AE601"/>
    <w:rsid w:val="7E3F5435"/>
    <w:rsid w:val="7E7C5BE8"/>
    <w:rsid w:val="7E87A984"/>
    <w:rsid w:val="7EE73852"/>
    <w:rsid w:val="7F9BCDF3"/>
    <w:rsid w:val="7FEDB2C9"/>
    <w:rsid w:val="7FF507C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9198F2"/>
  <w15:chartTrackingRefBased/>
  <w15:docId w15:val="{9CE5CF7E-876D-45A3-ADD2-AE09E8A0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nhideWhenUsed="1" w:qFormat="1"/>
    <w:lsdException w:name="Bibliography" w:semiHidden="1" w:uiPriority="3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A87B13"/>
    <w:pPr>
      <w:spacing w:after="160" w:line="293" w:lineRule="auto"/>
    </w:pPr>
    <w:rPr>
      <w:color w:val="000000" w:themeColor="text1"/>
    </w:rPr>
  </w:style>
  <w:style w:type="paragraph" w:styleId="Nadpis1">
    <w:name w:val="heading 1"/>
    <w:basedOn w:val="Normln"/>
    <w:next w:val="Normln"/>
    <w:link w:val="Nadpis1Char"/>
    <w:uiPriority w:val="7"/>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rsid w:val="009F7F46"/>
    <w:pPr>
      <w:ind w:left="720"/>
      <w:contextualSpacing/>
    </w:pPr>
  </w:style>
  <w:style w:type="numbering" w:customStyle="1" w:styleId="VariantaB-odrky">
    <w:name w:val="Varianta B - odrážky"/>
    <w:uiPriority w:val="99"/>
    <w:rsid w:val="007102D2"/>
    <w:pPr>
      <w:numPr>
        <w:numId w:val="4"/>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5"/>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7"/>
      </w:numPr>
    </w:pPr>
  </w:style>
  <w:style w:type="numbering" w:customStyle="1" w:styleId="VariantaB-sla">
    <w:name w:val="Varianta B - čísla"/>
    <w:uiPriority w:val="99"/>
    <w:rsid w:val="009F7F46"/>
    <w:pPr>
      <w:numPr>
        <w:numId w:val="6"/>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rsid w:val="00EE6BD7"/>
    <w:rPr>
      <w:b/>
      <w:i/>
      <w:iCs/>
      <w:color w:val="000000" w:themeColor="text1"/>
    </w:rPr>
  </w:style>
  <w:style w:type="paragraph" w:styleId="Vrazncitt">
    <w:name w:val="Intense Quote"/>
    <w:basedOn w:val="Normln"/>
    <w:next w:val="Normln"/>
    <w:link w:val="VrazncittChar"/>
    <w:uiPriority w:val="28"/>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rsid w:val="0039063C"/>
    <w:rPr>
      <w:b/>
      <w:bCs/>
      <w:smallCaps/>
      <w:color w:val="000000" w:themeColor="text1"/>
      <w:spacing w:val="5"/>
    </w:rPr>
  </w:style>
  <w:style w:type="paragraph" w:styleId="slovanseznam">
    <w:name w:val="List Number"/>
    <w:aliases w:val="Číslovaný seznam A"/>
    <w:basedOn w:val="Normln"/>
    <w:uiPriority w:val="15"/>
    <w:rsid w:val="001B1E4A"/>
    <w:pPr>
      <w:numPr>
        <w:numId w:val="10"/>
      </w:numPr>
      <w:spacing w:after="0"/>
    </w:pPr>
  </w:style>
  <w:style w:type="paragraph" w:styleId="slovanseznam2">
    <w:name w:val="List Number 2"/>
    <w:aliases w:val="Číslovaný seznam A 2"/>
    <w:basedOn w:val="Normln"/>
    <w:uiPriority w:val="15"/>
    <w:rsid w:val="001B1E4A"/>
    <w:pPr>
      <w:numPr>
        <w:ilvl w:val="1"/>
        <w:numId w:val="10"/>
      </w:numPr>
      <w:spacing w:after="0"/>
      <w:contextualSpacing/>
    </w:pPr>
  </w:style>
  <w:style w:type="paragraph" w:styleId="slovanseznam3">
    <w:name w:val="List Number 3"/>
    <w:aliases w:val="Číslovaný seznam A 3"/>
    <w:basedOn w:val="Normln"/>
    <w:uiPriority w:val="15"/>
    <w:rsid w:val="001B1E4A"/>
    <w:pPr>
      <w:numPr>
        <w:ilvl w:val="2"/>
        <w:numId w:val="10"/>
      </w:numPr>
      <w:spacing w:after="0"/>
      <w:contextualSpacing/>
    </w:pPr>
  </w:style>
  <w:style w:type="paragraph" w:styleId="slovanseznam4">
    <w:name w:val="List Number 4"/>
    <w:aliases w:val="Číslovaný seznam A 4"/>
    <w:basedOn w:val="Normln"/>
    <w:uiPriority w:val="15"/>
    <w:rsid w:val="001B1E4A"/>
    <w:pPr>
      <w:numPr>
        <w:ilvl w:val="3"/>
        <w:numId w:val="10"/>
      </w:numPr>
      <w:spacing w:after="0"/>
      <w:contextualSpacing/>
    </w:pPr>
  </w:style>
  <w:style w:type="paragraph" w:styleId="slovanseznam5">
    <w:name w:val="List Number 5"/>
    <w:aliases w:val="Číslovaný seznam A 5"/>
    <w:basedOn w:val="Normln"/>
    <w:uiPriority w:val="15"/>
    <w:rsid w:val="001B1E4A"/>
    <w:pPr>
      <w:numPr>
        <w:ilvl w:val="4"/>
        <w:numId w:val="10"/>
      </w:numPr>
      <w:spacing w:after="0"/>
      <w:contextualSpacing/>
    </w:pPr>
  </w:style>
  <w:style w:type="paragraph" w:customStyle="1" w:styleId="slovanseznamB">
    <w:name w:val="Číslovaný seznam B"/>
    <w:basedOn w:val="Normln"/>
    <w:uiPriority w:val="16"/>
    <w:rsid w:val="009F7F46"/>
    <w:pPr>
      <w:numPr>
        <w:numId w:val="8"/>
      </w:numPr>
      <w:spacing w:after="0"/>
    </w:pPr>
  </w:style>
  <w:style w:type="paragraph" w:customStyle="1" w:styleId="slovanseznamB2">
    <w:name w:val="Číslovaný seznam B 2"/>
    <w:basedOn w:val="Normln"/>
    <w:uiPriority w:val="16"/>
    <w:rsid w:val="009F7F46"/>
    <w:pPr>
      <w:numPr>
        <w:ilvl w:val="1"/>
        <w:numId w:val="8"/>
      </w:numPr>
      <w:spacing w:after="0"/>
    </w:pPr>
  </w:style>
  <w:style w:type="paragraph" w:customStyle="1" w:styleId="slovanseznamB3">
    <w:name w:val="Číslovaný seznam B 3"/>
    <w:basedOn w:val="Normln"/>
    <w:uiPriority w:val="16"/>
    <w:rsid w:val="009F7F46"/>
    <w:pPr>
      <w:numPr>
        <w:ilvl w:val="2"/>
        <w:numId w:val="8"/>
      </w:numPr>
      <w:spacing w:after="0"/>
    </w:pPr>
  </w:style>
  <w:style w:type="paragraph" w:customStyle="1" w:styleId="slovanseznamB4">
    <w:name w:val="Číslovaný seznam B 4"/>
    <w:basedOn w:val="Normln"/>
    <w:uiPriority w:val="16"/>
    <w:rsid w:val="009F7F46"/>
    <w:pPr>
      <w:numPr>
        <w:ilvl w:val="3"/>
        <w:numId w:val="8"/>
      </w:numPr>
      <w:spacing w:after="0"/>
    </w:pPr>
  </w:style>
  <w:style w:type="paragraph" w:customStyle="1" w:styleId="slovanseznamB5">
    <w:name w:val="Číslovaný seznam B 5"/>
    <w:basedOn w:val="Normln"/>
    <w:uiPriority w:val="16"/>
    <w:rsid w:val="009F7F46"/>
    <w:pPr>
      <w:numPr>
        <w:ilvl w:val="4"/>
        <w:numId w:val="8"/>
      </w:numPr>
      <w:spacing w:after="0"/>
    </w:pPr>
  </w:style>
  <w:style w:type="paragraph" w:styleId="Seznamsodrkami3">
    <w:name w:val="List Bullet 3"/>
    <w:aliases w:val="Seznam s odrážkami A 3"/>
    <w:basedOn w:val="Normln"/>
    <w:uiPriority w:val="10"/>
    <w:rsid w:val="00262DAF"/>
    <w:pPr>
      <w:numPr>
        <w:ilvl w:val="2"/>
        <w:numId w:val="9"/>
      </w:numPr>
      <w:spacing w:after="0"/>
      <w:contextualSpacing/>
    </w:pPr>
  </w:style>
  <w:style w:type="paragraph" w:styleId="Seznamsodrkami4">
    <w:name w:val="List Bullet 4"/>
    <w:aliases w:val="Seznam s odrážkami A 4"/>
    <w:basedOn w:val="Normln"/>
    <w:uiPriority w:val="10"/>
    <w:rsid w:val="00262DAF"/>
    <w:pPr>
      <w:numPr>
        <w:ilvl w:val="3"/>
        <w:numId w:val="9"/>
      </w:numPr>
      <w:spacing w:after="0"/>
      <w:contextualSpacing/>
    </w:pPr>
  </w:style>
  <w:style w:type="paragraph" w:styleId="Seznamsodrkami5">
    <w:name w:val="List Bullet 5"/>
    <w:aliases w:val="Seznam s odrážkami A 5"/>
    <w:basedOn w:val="Normln"/>
    <w:uiPriority w:val="10"/>
    <w:rsid w:val="00262DAF"/>
    <w:pPr>
      <w:numPr>
        <w:ilvl w:val="4"/>
        <w:numId w:val="9"/>
      </w:numPr>
      <w:spacing w:after="0"/>
    </w:pPr>
  </w:style>
  <w:style w:type="paragraph" w:styleId="Seznamsodrkami">
    <w:name w:val="List Bullet"/>
    <w:aliases w:val="Seznam s odrážkami A"/>
    <w:basedOn w:val="Normln"/>
    <w:uiPriority w:val="10"/>
    <w:rsid w:val="00262DAF"/>
    <w:pPr>
      <w:numPr>
        <w:numId w:val="9"/>
      </w:numPr>
      <w:spacing w:after="0"/>
      <w:contextualSpacing/>
    </w:pPr>
  </w:style>
  <w:style w:type="paragraph" w:styleId="Seznamsodrkami2">
    <w:name w:val="List Bullet 2"/>
    <w:aliases w:val="Seznam s odrážkami A 2"/>
    <w:basedOn w:val="Normln"/>
    <w:uiPriority w:val="10"/>
    <w:rsid w:val="00262DAF"/>
    <w:pPr>
      <w:numPr>
        <w:ilvl w:val="1"/>
        <w:numId w:val="9"/>
      </w:numPr>
      <w:spacing w:after="0"/>
      <w:contextualSpacing/>
    </w:pPr>
  </w:style>
  <w:style w:type="paragraph" w:customStyle="1" w:styleId="Nadpis1-mimoobsah">
    <w:name w:val="Nadpis 1 - mimo obsah"/>
    <w:basedOn w:val="Normln"/>
    <w:next w:val="Normln"/>
    <w:uiPriority w:val="8"/>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rsid w:val="00A275BC"/>
    <w:rPr>
      <w:i/>
      <w:iCs/>
      <w:color w:val="595959" w:themeColor="text1" w:themeTint="A6"/>
    </w:rPr>
  </w:style>
  <w:style w:type="character" w:styleId="Odkazjemn">
    <w:name w:val="Subtle Reference"/>
    <w:basedOn w:val="Standardnpsmoodstavce"/>
    <w:uiPriority w:val="23"/>
    <w:rsid w:val="00A275BC"/>
    <w:rPr>
      <w:smallCaps/>
      <w:color w:val="5A5A5A" w:themeColor="text1" w:themeTint="A5"/>
    </w:rPr>
  </w:style>
  <w:style w:type="paragraph" w:styleId="Citt">
    <w:name w:val="Quote"/>
    <w:basedOn w:val="Normln"/>
    <w:next w:val="Normln"/>
    <w:link w:val="CittChar"/>
    <w:uiPriority w:val="27"/>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rsid w:val="00713948"/>
    <w:rPr>
      <w:i/>
      <w:iCs/>
    </w:rPr>
  </w:style>
  <w:style w:type="paragraph" w:styleId="Nadpisobsahu">
    <w:name w:val="TOC Heading"/>
    <w:basedOn w:val="Nadpis1-mimoobsah"/>
    <w:next w:val="Normln"/>
    <w:uiPriority w:val="6"/>
    <w:unhideWhenUsed/>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rsid w:val="007102D2"/>
    <w:pPr>
      <w:numPr>
        <w:numId w:val="11"/>
      </w:numPr>
      <w:spacing w:after="0"/>
    </w:pPr>
  </w:style>
  <w:style w:type="paragraph" w:customStyle="1" w:styleId="SeznamsodrkamiB2">
    <w:name w:val="Seznam s odrážkami B 2"/>
    <w:basedOn w:val="Normln"/>
    <w:uiPriority w:val="11"/>
    <w:rsid w:val="007102D2"/>
    <w:pPr>
      <w:numPr>
        <w:ilvl w:val="1"/>
        <w:numId w:val="11"/>
      </w:numPr>
      <w:spacing w:after="0"/>
    </w:pPr>
  </w:style>
  <w:style w:type="paragraph" w:customStyle="1" w:styleId="SeznamsodrkamiB3">
    <w:name w:val="Seznam s odrážkami B 3"/>
    <w:basedOn w:val="Normln"/>
    <w:uiPriority w:val="11"/>
    <w:rsid w:val="007102D2"/>
    <w:pPr>
      <w:numPr>
        <w:ilvl w:val="2"/>
        <w:numId w:val="11"/>
      </w:numPr>
      <w:spacing w:after="0"/>
    </w:pPr>
  </w:style>
  <w:style w:type="paragraph" w:customStyle="1" w:styleId="SeznamsodrkamiB4">
    <w:name w:val="Seznam s odrážkami B 4"/>
    <w:basedOn w:val="Normln"/>
    <w:uiPriority w:val="11"/>
    <w:rsid w:val="007102D2"/>
    <w:pPr>
      <w:numPr>
        <w:ilvl w:val="3"/>
        <w:numId w:val="11"/>
      </w:numPr>
      <w:spacing w:after="0"/>
    </w:pPr>
  </w:style>
  <w:style w:type="paragraph" w:customStyle="1" w:styleId="SeznamsodrkamiB5">
    <w:name w:val="Seznam s odrážkami B 5"/>
    <w:basedOn w:val="Normln"/>
    <w:uiPriority w:val="11"/>
    <w:rsid w:val="007102D2"/>
    <w:pPr>
      <w:numPr>
        <w:ilvl w:val="4"/>
        <w:numId w:val="11"/>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paragraph" w:customStyle="1" w:styleId="Default">
    <w:name w:val="Default"/>
    <w:link w:val="DefaultChar"/>
    <w:rsid w:val="002C20CF"/>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unhideWhenUsed/>
    <w:rsid w:val="00CE0581"/>
    <w:pPr>
      <w:spacing w:after="0" w:line="240" w:lineRule="auto"/>
    </w:pPr>
    <w:rPr>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rsid w:val="00CE0581"/>
    <w:rPr>
      <w:color w:val="000000" w:themeColor="text1"/>
      <w:sz w:val="20"/>
      <w:szCs w:val="20"/>
    </w:rPr>
  </w:style>
  <w:style w:type="character" w:styleId="Znakapoznpodarou">
    <w:name w:val="footnote reference"/>
    <w:aliases w:val="EN Footnote Reference,PGI Fußnote Ziffer + Times New Roman,12 b.,Zúžené o ...,PGI Fußnote Ziffer"/>
    <w:basedOn w:val="Standardnpsmoodstavce"/>
    <w:uiPriority w:val="99"/>
    <w:unhideWhenUsed/>
    <w:rsid w:val="00CE0581"/>
    <w:rPr>
      <w:vertAlign w:val="superscript"/>
    </w:rPr>
  </w:style>
  <w:style w:type="character" w:customStyle="1" w:styleId="Nevyeenzmnka1">
    <w:name w:val="Nevyřešená zmínka1"/>
    <w:basedOn w:val="Standardnpsmoodstavce"/>
    <w:uiPriority w:val="99"/>
    <w:semiHidden/>
    <w:unhideWhenUsed/>
    <w:rsid w:val="009325EA"/>
    <w:rPr>
      <w:color w:val="605E5C"/>
      <w:shd w:val="clear" w:color="auto" w:fill="E1DFDD"/>
    </w:rPr>
  </w:style>
  <w:style w:type="paragraph" w:customStyle="1" w:styleId="K-Nadpis1">
    <w:name w:val="K-Nadpis1"/>
    <w:basedOn w:val="Nadpis1"/>
    <w:link w:val="K-Nadpis1Char"/>
    <w:qFormat/>
    <w:rsid w:val="00154B73"/>
    <w:rPr>
      <w:rFonts w:ascii="Times New Roman" w:hAnsi="Times New Roman" w:cs="Times New Roman"/>
      <w:sz w:val="32"/>
    </w:rPr>
  </w:style>
  <w:style w:type="paragraph" w:customStyle="1" w:styleId="K-Nadpis2">
    <w:name w:val="K-Nadpis2"/>
    <w:basedOn w:val="Nadpis2"/>
    <w:link w:val="K-Nadpis2Char"/>
    <w:qFormat/>
    <w:rsid w:val="00154B73"/>
    <w:rPr>
      <w:rFonts w:ascii="Times New Roman" w:hAnsi="Times New Roman" w:cs="Times New Roman"/>
      <w:sz w:val="28"/>
      <w:szCs w:val="28"/>
    </w:rPr>
  </w:style>
  <w:style w:type="character" w:customStyle="1" w:styleId="K-Nadpis1Char">
    <w:name w:val="K-Nadpis1 Char"/>
    <w:basedOn w:val="Nadpis1Char"/>
    <w:link w:val="K-Nadpis1"/>
    <w:rsid w:val="00154B73"/>
    <w:rPr>
      <w:rFonts w:ascii="Times New Roman" w:eastAsiaTheme="majorEastAsia" w:hAnsi="Times New Roman" w:cs="Times New Roman"/>
      <w:b/>
      <w:color w:val="000000" w:themeColor="text1"/>
      <w:sz w:val="32"/>
      <w:szCs w:val="32"/>
    </w:rPr>
  </w:style>
  <w:style w:type="paragraph" w:customStyle="1" w:styleId="K-Nadpis3">
    <w:name w:val="K-Nadpis3"/>
    <w:basedOn w:val="Default"/>
    <w:link w:val="K-Nadpis3Char"/>
    <w:qFormat/>
    <w:rsid w:val="00154B73"/>
    <w:pPr>
      <w:spacing w:after="120"/>
      <w:jc w:val="both"/>
    </w:pPr>
    <w:rPr>
      <w:b/>
      <w:szCs w:val="23"/>
    </w:rPr>
  </w:style>
  <w:style w:type="character" w:customStyle="1" w:styleId="K-Nadpis2Char">
    <w:name w:val="K-Nadpis2 Char"/>
    <w:basedOn w:val="Nadpis2Char"/>
    <w:link w:val="K-Nadpis2"/>
    <w:rsid w:val="00154B73"/>
    <w:rPr>
      <w:rFonts w:ascii="Times New Roman" w:eastAsiaTheme="majorEastAsia" w:hAnsi="Times New Roman" w:cs="Times New Roman"/>
      <w:b/>
      <w:color w:val="000000" w:themeColor="text1"/>
      <w:sz w:val="28"/>
      <w:szCs w:val="28"/>
    </w:rPr>
  </w:style>
  <w:style w:type="paragraph" w:customStyle="1" w:styleId="K-Text">
    <w:name w:val="K-Text"/>
    <w:basedOn w:val="Normln"/>
    <w:link w:val="K-TextChar"/>
    <w:qFormat/>
    <w:rsid w:val="006F1BEA"/>
    <w:pPr>
      <w:spacing w:after="120"/>
      <w:jc w:val="both"/>
    </w:pPr>
    <w:rPr>
      <w:rFonts w:ascii="Times New Roman" w:hAnsi="Times New Roman" w:cs="Times New Roman"/>
      <w:iCs/>
      <w:color w:val="auto"/>
      <w:sz w:val="23"/>
      <w:szCs w:val="23"/>
    </w:rPr>
  </w:style>
  <w:style w:type="character" w:customStyle="1" w:styleId="DefaultChar">
    <w:name w:val="Default Char"/>
    <w:basedOn w:val="Standardnpsmoodstavce"/>
    <w:link w:val="Default"/>
    <w:rsid w:val="00154B73"/>
    <w:rPr>
      <w:rFonts w:ascii="Times New Roman" w:hAnsi="Times New Roman" w:cs="Times New Roman"/>
      <w:color w:val="000000"/>
      <w:sz w:val="24"/>
      <w:szCs w:val="24"/>
    </w:rPr>
  </w:style>
  <w:style w:type="character" w:customStyle="1" w:styleId="K-Nadpis3Char">
    <w:name w:val="K-Nadpis3 Char"/>
    <w:basedOn w:val="DefaultChar"/>
    <w:link w:val="K-Nadpis3"/>
    <w:rsid w:val="00154B73"/>
    <w:rPr>
      <w:rFonts w:ascii="Times New Roman" w:hAnsi="Times New Roman" w:cs="Times New Roman"/>
      <w:b/>
      <w:color w:val="000000"/>
      <w:sz w:val="24"/>
      <w:szCs w:val="23"/>
    </w:rPr>
  </w:style>
  <w:style w:type="paragraph" w:customStyle="1" w:styleId="K-TextInfo">
    <w:name w:val="K-Text_Info"/>
    <w:basedOn w:val="Default"/>
    <w:link w:val="K-TextInfoChar"/>
    <w:qFormat/>
    <w:rsid w:val="00ED337B"/>
    <w:pPr>
      <w:spacing w:after="120"/>
      <w:jc w:val="both"/>
    </w:pPr>
    <w:rPr>
      <w:i/>
      <w:iCs/>
      <w:color w:val="2196FF" w:themeColor="text2" w:themeTint="99"/>
      <w:sz w:val="23"/>
      <w:szCs w:val="23"/>
    </w:rPr>
  </w:style>
  <w:style w:type="character" w:customStyle="1" w:styleId="K-TextChar">
    <w:name w:val="K-Text Char"/>
    <w:basedOn w:val="Standardnpsmoodstavce"/>
    <w:link w:val="K-Text"/>
    <w:rsid w:val="006F1BEA"/>
    <w:rPr>
      <w:rFonts w:ascii="Times New Roman" w:hAnsi="Times New Roman" w:cs="Times New Roman"/>
      <w:iCs/>
      <w:sz w:val="23"/>
      <w:szCs w:val="23"/>
    </w:rPr>
  </w:style>
  <w:style w:type="paragraph" w:customStyle="1" w:styleId="K-Tabulka">
    <w:name w:val="K-Tabulka"/>
    <w:basedOn w:val="Default"/>
    <w:link w:val="K-TabulkaChar"/>
    <w:qFormat/>
    <w:rsid w:val="00ED337B"/>
    <w:pPr>
      <w:spacing w:after="120"/>
      <w:jc w:val="both"/>
    </w:pPr>
    <w:rPr>
      <w:b/>
      <w:bCs/>
      <w:color w:val="auto"/>
      <w:sz w:val="23"/>
      <w:szCs w:val="23"/>
    </w:rPr>
  </w:style>
  <w:style w:type="character" w:customStyle="1" w:styleId="K-TextInfoChar">
    <w:name w:val="K-Text_Info Char"/>
    <w:basedOn w:val="DefaultChar"/>
    <w:link w:val="K-TextInfo"/>
    <w:rsid w:val="00ED337B"/>
    <w:rPr>
      <w:rFonts w:ascii="Times New Roman" w:hAnsi="Times New Roman" w:cs="Times New Roman"/>
      <w:i/>
      <w:iCs/>
      <w:color w:val="2196FF" w:themeColor="text2" w:themeTint="99"/>
      <w:sz w:val="23"/>
      <w:szCs w:val="23"/>
    </w:rPr>
  </w:style>
  <w:style w:type="paragraph" w:customStyle="1" w:styleId="K-TextPozn">
    <w:name w:val="K-Text_Pozn"/>
    <w:basedOn w:val="Textpoznpodarou"/>
    <w:link w:val="K-TextPoznChar"/>
    <w:qFormat/>
    <w:rsid w:val="00A87B13"/>
    <w:rPr>
      <w:rFonts w:ascii="Times New Roman" w:hAnsi="Times New Roman" w:cs="Times New Roman"/>
    </w:rPr>
  </w:style>
  <w:style w:type="character" w:customStyle="1" w:styleId="K-TabulkaChar">
    <w:name w:val="K-Tabulka Char"/>
    <w:basedOn w:val="DefaultChar"/>
    <w:link w:val="K-Tabulka"/>
    <w:rsid w:val="00ED337B"/>
    <w:rPr>
      <w:rFonts w:ascii="Times New Roman" w:hAnsi="Times New Roman" w:cs="Times New Roman"/>
      <w:b/>
      <w:bCs/>
      <w:color w:val="000000"/>
      <w:sz w:val="23"/>
      <w:szCs w:val="23"/>
    </w:rPr>
  </w:style>
  <w:style w:type="character" w:customStyle="1" w:styleId="K-TextPoznChar">
    <w:name w:val="K-Text_Pozn Char"/>
    <w:basedOn w:val="TextpoznpodarouChar"/>
    <w:link w:val="K-TextPozn"/>
    <w:rsid w:val="00A87B13"/>
    <w:rPr>
      <w:rFonts w:ascii="Times New Roman" w:hAnsi="Times New Roman" w:cs="Times New Roman"/>
      <w:color w:val="000000" w:themeColor="text1"/>
      <w:sz w:val="20"/>
      <w:szCs w:val="20"/>
    </w:rPr>
  </w:style>
  <w:style w:type="character" w:styleId="Odkaznakoment">
    <w:name w:val="annotation reference"/>
    <w:basedOn w:val="Standardnpsmoodstavce"/>
    <w:uiPriority w:val="99"/>
    <w:semiHidden/>
    <w:unhideWhenUsed/>
    <w:rsid w:val="00B1114A"/>
    <w:rPr>
      <w:sz w:val="16"/>
      <w:szCs w:val="16"/>
    </w:rPr>
  </w:style>
  <w:style w:type="paragraph" w:styleId="Textkomente">
    <w:name w:val="annotation text"/>
    <w:basedOn w:val="Normln"/>
    <w:link w:val="TextkomenteChar"/>
    <w:uiPriority w:val="99"/>
    <w:unhideWhenUsed/>
    <w:rsid w:val="00B1114A"/>
    <w:pPr>
      <w:spacing w:line="240" w:lineRule="auto"/>
    </w:pPr>
    <w:rPr>
      <w:sz w:val="20"/>
      <w:szCs w:val="20"/>
    </w:rPr>
  </w:style>
  <w:style w:type="character" w:customStyle="1" w:styleId="TextkomenteChar">
    <w:name w:val="Text komentáře Char"/>
    <w:basedOn w:val="Standardnpsmoodstavce"/>
    <w:link w:val="Textkomente"/>
    <w:uiPriority w:val="99"/>
    <w:rsid w:val="00B1114A"/>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1114A"/>
    <w:rPr>
      <w:b/>
      <w:bCs/>
    </w:rPr>
  </w:style>
  <w:style w:type="character" w:customStyle="1" w:styleId="PedmtkomenteChar">
    <w:name w:val="Předmět komentáře Char"/>
    <w:basedOn w:val="TextkomenteChar"/>
    <w:link w:val="Pedmtkomente"/>
    <w:uiPriority w:val="99"/>
    <w:semiHidden/>
    <w:rsid w:val="00B1114A"/>
    <w:rPr>
      <w:b/>
      <w:bCs/>
      <w:color w:val="000000" w:themeColor="text1"/>
      <w:sz w:val="20"/>
      <w:szCs w:val="20"/>
    </w:rPr>
  </w:style>
  <w:style w:type="paragraph" w:styleId="Textbubliny">
    <w:name w:val="Balloon Text"/>
    <w:basedOn w:val="Normln"/>
    <w:link w:val="TextbublinyChar"/>
    <w:uiPriority w:val="99"/>
    <w:semiHidden/>
    <w:unhideWhenUsed/>
    <w:rsid w:val="00B111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114A"/>
    <w:rPr>
      <w:rFonts w:ascii="Segoe UI" w:hAnsi="Segoe UI" w:cs="Segoe UI"/>
      <w:color w:val="000000" w:themeColor="text1"/>
      <w:sz w:val="18"/>
      <w:szCs w:val="18"/>
    </w:rPr>
  </w:style>
  <w:style w:type="table" w:styleId="Mkatabulky">
    <w:name w:val="Table Grid"/>
    <w:basedOn w:val="Normlntabulka"/>
    <w:uiPriority w:val="39"/>
    <w:rsid w:val="0085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inglist1">
    <w:name w:val="Briefing list 1"/>
    <w:basedOn w:val="Normln"/>
    <w:rsid w:val="005031B0"/>
    <w:pPr>
      <w:keepLines/>
      <w:tabs>
        <w:tab w:val="left" w:pos="284"/>
      </w:tabs>
      <w:spacing w:after="120" w:line="240" w:lineRule="auto"/>
      <w:ind w:left="284" w:hanging="284"/>
      <w:jc w:val="both"/>
    </w:pPr>
    <w:rPr>
      <w:rFonts w:ascii="Arial" w:eastAsia="Times New Roman" w:hAnsi="Arial" w:cs="Arial"/>
      <w:color w:val="auto"/>
      <w:szCs w:val="24"/>
      <w:lang w:val="en-GB"/>
    </w:rPr>
  </w:style>
  <w:style w:type="character" w:styleId="Siln">
    <w:name w:val="Strong"/>
    <w:basedOn w:val="Standardnpsmoodstavce"/>
    <w:uiPriority w:val="22"/>
    <w:qFormat/>
    <w:rsid w:val="000B656E"/>
    <w:rPr>
      <w:b/>
      <w:bCs/>
    </w:rPr>
  </w:style>
  <w:style w:type="paragraph" w:customStyle="1" w:styleId="paragraph">
    <w:name w:val="paragraph"/>
    <w:basedOn w:val="Normln"/>
    <w:rsid w:val="00DF7E7D"/>
    <w:pPr>
      <w:spacing w:before="100" w:beforeAutospacing="1" w:after="100" w:afterAutospacing="1" w:line="240" w:lineRule="auto"/>
    </w:pPr>
    <w:rPr>
      <w:rFonts w:ascii="Calibri" w:hAnsi="Calibri" w:cs="Calibri"/>
      <w:color w:val="auto"/>
      <w:lang w:eastAsia="cs-CZ"/>
    </w:rPr>
  </w:style>
  <w:style w:type="character" w:customStyle="1" w:styleId="normaltextrun">
    <w:name w:val="normaltextrun"/>
    <w:basedOn w:val="Standardnpsmoodstavce"/>
    <w:rsid w:val="00DF7E7D"/>
  </w:style>
  <w:style w:type="character" w:customStyle="1" w:styleId="eop">
    <w:name w:val="eop"/>
    <w:basedOn w:val="Standardnpsmoodstavce"/>
    <w:rsid w:val="00DF7E7D"/>
  </w:style>
  <w:style w:type="paragraph" w:styleId="Revize">
    <w:name w:val="Revision"/>
    <w:hidden/>
    <w:uiPriority w:val="99"/>
    <w:semiHidden/>
    <w:rsid w:val="002B2226"/>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9501">
      <w:bodyDiv w:val="1"/>
      <w:marLeft w:val="0"/>
      <w:marRight w:val="0"/>
      <w:marTop w:val="0"/>
      <w:marBottom w:val="0"/>
      <w:divBdr>
        <w:top w:val="none" w:sz="0" w:space="0" w:color="auto"/>
        <w:left w:val="none" w:sz="0" w:space="0" w:color="auto"/>
        <w:bottom w:val="none" w:sz="0" w:space="0" w:color="auto"/>
        <w:right w:val="none" w:sz="0" w:space="0" w:color="auto"/>
      </w:divBdr>
    </w:div>
    <w:div w:id="68816455">
      <w:bodyDiv w:val="1"/>
      <w:marLeft w:val="0"/>
      <w:marRight w:val="0"/>
      <w:marTop w:val="0"/>
      <w:marBottom w:val="0"/>
      <w:divBdr>
        <w:top w:val="none" w:sz="0" w:space="0" w:color="auto"/>
        <w:left w:val="none" w:sz="0" w:space="0" w:color="auto"/>
        <w:bottom w:val="none" w:sz="0" w:space="0" w:color="auto"/>
        <w:right w:val="none" w:sz="0" w:space="0" w:color="auto"/>
      </w:divBdr>
      <w:divsChild>
        <w:div w:id="699747307">
          <w:marLeft w:val="562"/>
          <w:marRight w:val="0"/>
          <w:marTop w:val="77"/>
          <w:marBottom w:val="0"/>
          <w:divBdr>
            <w:top w:val="none" w:sz="0" w:space="0" w:color="auto"/>
            <w:left w:val="none" w:sz="0" w:space="0" w:color="auto"/>
            <w:bottom w:val="none" w:sz="0" w:space="0" w:color="auto"/>
            <w:right w:val="none" w:sz="0" w:space="0" w:color="auto"/>
          </w:divBdr>
        </w:div>
      </w:divsChild>
    </w:div>
    <w:div w:id="153688717">
      <w:bodyDiv w:val="1"/>
      <w:marLeft w:val="0"/>
      <w:marRight w:val="0"/>
      <w:marTop w:val="0"/>
      <w:marBottom w:val="0"/>
      <w:divBdr>
        <w:top w:val="none" w:sz="0" w:space="0" w:color="auto"/>
        <w:left w:val="none" w:sz="0" w:space="0" w:color="auto"/>
        <w:bottom w:val="none" w:sz="0" w:space="0" w:color="auto"/>
        <w:right w:val="none" w:sz="0" w:space="0" w:color="auto"/>
      </w:divBdr>
    </w:div>
    <w:div w:id="240911321">
      <w:bodyDiv w:val="1"/>
      <w:marLeft w:val="0"/>
      <w:marRight w:val="0"/>
      <w:marTop w:val="0"/>
      <w:marBottom w:val="0"/>
      <w:divBdr>
        <w:top w:val="none" w:sz="0" w:space="0" w:color="auto"/>
        <w:left w:val="none" w:sz="0" w:space="0" w:color="auto"/>
        <w:bottom w:val="none" w:sz="0" w:space="0" w:color="auto"/>
        <w:right w:val="none" w:sz="0" w:space="0" w:color="auto"/>
      </w:divBdr>
    </w:div>
    <w:div w:id="306054753">
      <w:bodyDiv w:val="1"/>
      <w:marLeft w:val="0"/>
      <w:marRight w:val="0"/>
      <w:marTop w:val="0"/>
      <w:marBottom w:val="0"/>
      <w:divBdr>
        <w:top w:val="none" w:sz="0" w:space="0" w:color="auto"/>
        <w:left w:val="none" w:sz="0" w:space="0" w:color="auto"/>
        <w:bottom w:val="none" w:sz="0" w:space="0" w:color="auto"/>
        <w:right w:val="none" w:sz="0" w:space="0" w:color="auto"/>
      </w:divBdr>
    </w:div>
    <w:div w:id="347559460">
      <w:bodyDiv w:val="1"/>
      <w:marLeft w:val="0"/>
      <w:marRight w:val="0"/>
      <w:marTop w:val="0"/>
      <w:marBottom w:val="0"/>
      <w:divBdr>
        <w:top w:val="none" w:sz="0" w:space="0" w:color="auto"/>
        <w:left w:val="none" w:sz="0" w:space="0" w:color="auto"/>
        <w:bottom w:val="none" w:sz="0" w:space="0" w:color="auto"/>
        <w:right w:val="none" w:sz="0" w:space="0" w:color="auto"/>
      </w:divBdr>
    </w:div>
    <w:div w:id="377897478">
      <w:bodyDiv w:val="1"/>
      <w:marLeft w:val="0"/>
      <w:marRight w:val="0"/>
      <w:marTop w:val="0"/>
      <w:marBottom w:val="0"/>
      <w:divBdr>
        <w:top w:val="none" w:sz="0" w:space="0" w:color="auto"/>
        <w:left w:val="none" w:sz="0" w:space="0" w:color="auto"/>
        <w:bottom w:val="none" w:sz="0" w:space="0" w:color="auto"/>
        <w:right w:val="none" w:sz="0" w:space="0" w:color="auto"/>
      </w:divBdr>
    </w:div>
    <w:div w:id="397628066">
      <w:bodyDiv w:val="1"/>
      <w:marLeft w:val="0"/>
      <w:marRight w:val="0"/>
      <w:marTop w:val="0"/>
      <w:marBottom w:val="0"/>
      <w:divBdr>
        <w:top w:val="none" w:sz="0" w:space="0" w:color="auto"/>
        <w:left w:val="none" w:sz="0" w:space="0" w:color="auto"/>
        <w:bottom w:val="none" w:sz="0" w:space="0" w:color="auto"/>
        <w:right w:val="none" w:sz="0" w:space="0" w:color="auto"/>
      </w:divBdr>
    </w:div>
    <w:div w:id="418016893">
      <w:bodyDiv w:val="1"/>
      <w:marLeft w:val="0"/>
      <w:marRight w:val="0"/>
      <w:marTop w:val="0"/>
      <w:marBottom w:val="0"/>
      <w:divBdr>
        <w:top w:val="none" w:sz="0" w:space="0" w:color="auto"/>
        <w:left w:val="none" w:sz="0" w:space="0" w:color="auto"/>
        <w:bottom w:val="none" w:sz="0" w:space="0" w:color="auto"/>
        <w:right w:val="none" w:sz="0" w:space="0" w:color="auto"/>
      </w:divBdr>
    </w:div>
    <w:div w:id="420951611">
      <w:bodyDiv w:val="1"/>
      <w:marLeft w:val="0"/>
      <w:marRight w:val="0"/>
      <w:marTop w:val="0"/>
      <w:marBottom w:val="0"/>
      <w:divBdr>
        <w:top w:val="none" w:sz="0" w:space="0" w:color="auto"/>
        <w:left w:val="none" w:sz="0" w:space="0" w:color="auto"/>
        <w:bottom w:val="none" w:sz="0" w:space="0" w:color="auto"/>
        <w:right w:val="none" w:sz="0" w:space="0" w:color="auto"/>
      </w:divBdr>
      <w:divsChild>
        <w:div w:id="835800532">
          <w:marLeft w:val="562"/>
          <w:marRight w:val="0"/>
          <w:marTop w:val="77"/>
          <w:marBottom w:val="0"/>
          <w:divBdr>
            <w:top w:val="none" w:sz="0" w:space="0" w:color="auto"/>
            <w:left w:val="none" w:sz="0" w:space="0" w:color="auto"/>
            <w:bottom w:val="none" w:sz="0" w:space="0" w:color="auto"/>
            <w:right w:val="none" w:sz="0" w:space="0" w:color="auto"/>
          </w:divBdr>
        </w:div>
        <w:div w:id="2114470961">
          <w:marLeft w:val="562"/>
          <w:marRight w:val="0"/>
          <w:marTop w:val="77"/>
          <w:marBottom w:val="0"/>
          <w:divBdr>
            <w:top w:val="none" w:sz="0" w:space="0" w:color="auto"/>
            <w:left w:val="none" w:sz="0" w:space="0" w:color="auto"/>
            <w:bottom w:val="none" w:sz="0" w:space="0" w:color="auto"/>
            <w:right w:val="none" w:sz="0" w:space="0" w:color="auto"/>
          </w:divBdr>
        </w:div>
      </w:divsChild>
    </w:div>
    <w:div w:id="442112209">
      <w:bodyDiv w:val="1"/>
      <w:marLeft w:val="0"/>
      <w:marRight w:val="0"/>
      <w:marTop w:val="0"/>
      <w:marBottom w:val="0"/>
      <w:divBdr>
        <w:top w:val="none" w:sz="0" w:space="0" w:color="auto"/>
        <w:left w:val="none" w:sz="0" w:space="0" w:color="auto"/>
        <w:bottom w:val="none" w:sz="0" w:space="0" w:color="auto"/>
        <w:right w:val="none" w:sz="0" w:space="0" w:color="auto"/>
      </w:divBdr>
    </w:div>
    <w:div w:id="469828831">
      <w:bodyDiv w:val="1"/>
      <w:marLeft w:val="0"/>
      <w:marRight w:val="0"/>
      <w:marTop w:val="0"/>
      <w:marBottom w:val="0"/>
      <w:divBdr>
        <w:top w:val="none" w:sz="0" w:space="0" w:color="auto"/>
        <w:left w:val="none" w:sz="0" w:space="0" w:color="auto"/>
        <w:bottom w:val="none" w:sz="0" w:space="0" w:color="auto"/>
        <w:right w:val="none" w:sz="0" w:space="0" w:color="auto"/>
      </w:divBdr>
    </w:div>
    <w:div w:id="480853312">
      <w:bodyDiv w:val="1"/>
      <w:marLeft w:val="0"/>
      <w:marRight w:val="0"/>
      <w:marTop w:val="0"/>
      <w:marBottom w:val="0"/>
      <w:divBdr>
        <w:top w:val="none" w:sz="0" w:space="0" w:color="auto"/>
        <w:left w:val="none" w:sz="0" w:space="0" w:color="auto"/>
        <w:bottom w:val="none" w:sz="0" w:space="0" w:color="auto"/>
        <w:right w:val="none" w:sz="0" w:space="0" w:color="auto"/>
      </w:divBdr>
    </w:div>
    <w:div w:id="559049893">
      <w:bodyDiv w:val="1"/>
      <w:marLeft w:val="0"/>
      <w:marRight w:val="0"/>
      <w:marTop w:val="0"/>
      <w:marBottom w:val="0"/>
      <w:divBdr>
        <w:top w:val="none" w:sz="0" w:space="0" w:color="auto"/>
        <w:left w:val="none" w:sz="0" w:space="0" w:color="auto"/>
        <w:bottom w:val="none" w:sz="0" w:space="0" w:color="auto"/>
        <w:right w:val="none" w:sz="0" w:space="0" w:color="auto"/>
      </w:divBdr>
    </w:div>
    <w:div w:id="570501538">
      <w:bodyDiv w:val="1"/>
      <w:marLeft w:val="0"/>
      <w:marRight w:val="0"/>
      <w:marTop w:val="0"/>
      <w:marBottom w:val="0"/>
      <w:divBdr>
        <w:top w:val="none" w:sz="0" w:space="0" w:color="auto"/>
        <w:left w:val="none" w:sz="0" w:space="0" w:color="auto"/>
        <w:bottom w:val="none" w:sz="0" w:space="0" w:color="auto"/>
        <w:right w:val="none" w:sz="0" w:space="0" w:color="auto"/>
      </w:divBdr>
    </w:div>
    <w:div w:id="622537683">
      <w:bodyDiv w:val="1"/>
      <w:marLeft w:val="0"/>
      <w:marRight w:val="0"/>
      <w:marTop w:val="0"/>
      <w:marBottom w:val="0"/>
      <w:divBdr>
        <w:top w:val="none" w:sz="0" w:space="0" w:color="auto"/>
        <w:left w:val="none" w:sz="0" w:space="0" w:color="auto"/>
        <w:bottom w:val="none" w:sz="0" w:space="0" w:color="auto"/>
        <w:right w:val="none" w:sz="0" w:space="0" w:color="auto"/>
      </w:divBdr>
    </w:div>
    <w:div w:id="664556282">
      <w:bodyDiv w:val="1"/>
      <w:marLeft w:val="0"/>
      <w:marRight w:val="0"/>
      <w:marTop w:val="0"/>
      <w:marBottom w:val="0"/>
      <w:divBdr>
        <w:top w:val="none" w:sz="0" w:space="0" w:color="auto"/>
        <w:left w:val="none" w:sz="0" w:space="0" w:color="auto"/>
        <w:bottom w:val="none" w:sz="0" w:space="0" w:color="auto"/>
        <w:right w:val="none" w:sz="0" w:space="0" w:color="auto"/>
      </w:divBdr>
    </w:div>
    <w:div w:id="667640679">
      <w:bodyDiv w:val="1"/>
      <w:marLeft w:val="0"/>
      <w:marRight w:val="0"/>
      <w:marTop w:val="0"/>
      <w:marBottom w:val="0"/>
      <w:divBdr>
        <w:top w:val="none" w:sz="0" w:space="0" w:color="auto"/>
        <w:left w:val="none" w:sz="0" w:space="0" w:color="auto"/>
        <w:bottom w:val="none" w:sz="0" w:space="0" w:color="auto"/>
        <w:right w:val="none" w:sz="0" w:space="0" w:color="auto"/>
      </w:divBdr>
    </w:div>
    <w:div w:id="707026661">
      <w:bodyDiv w:val="1"/>
      <w:marLeft w:val="0"/>
      <w:marRight w:val="0"/>
      <w:marTop w:val="0"/>
      <w:marBottom w:val="0"/>
      <w:divBdr>
        <w:top w:val="none" w:sz="0" w:space="0" w:color="auto"/>
        <w:left w:val="none" w:sz="0" w:space="0" w:color="auto"/>
        <w:bottom w:val="none" w:sz="0" w:space="0" w:color="auto"/>
        <w:right w:val="none" w:sz="0" w:space="0" w:color="auto"/>
      </w:divBdr>
    </w:div>
    <w:div w:id="751271567">
      <w:bodyDiv w:val="1"/>
      <w:marLeft w:val="0"/>
      <w:marRight w:val="0"/>
      <w:marTop w:val="0"/>
      <w:marBottom w:val="0"/>
      <w:divBdr>
        <w:top w:val="none" w:sz="0" w:space="0" w:color="auto"/>
        <w:left w:val="none" w:sz="0" w:space="0" w:color="auto"/>
        <w:bottom w:val="none" w:sz="0" w:space="0" w:color="auto"/>
        <w:right w:val="none" w:sz="0" w:space="0" w:color="auto"/>
      </w:divBdr>
    </w:div>
    <w:div w:id="761877472">
      <w:bodyDiv w:val="1"/>
      <w:marLeft w:val="0"/>
      <w:marRight w:val="0"/>
      <w:marTop w:val="0"/>
      <w:marBottom w:val="0"/>
      <w:divBdr>
        <w:top w:val="none" w:sz="0" w:space="0" w:color="auto"/>
        <w:left w:val="none" w:sz="0" w:space="0" w:color="auto"/>
        <w:bottom w:val="none" w:sz="0" w:space="0" w:color="auto"/>
        <w:right w:val="none" w:sz="0" w:space="0" w:color="auto"/>
      </w:divBdr>
    </w:div>
    <w:div w:id="784498656">
      <w:bodyDiv w:val="1"/>
      <w:marLeft w:val="0"/>
      <w:marRight w:val="0"/>
      <w:marTop w:val="0"/>
      <w:marBottom w:val="0"/>
      <w:divBdr>
        <w:top w:val="none" w:sz="0" w:space="0" w:color="auto"/>
        <w:left w:val="none" w:sz="0" w:space="0" w:color="auto"/>
        <w:bottom w:val="none" w:sz="0" w:space="0" w:color="auto"/>
        <w:right w:val="none" w:sz="0" w:space="0" w:color="auto"/>
      </w:divBdr>
    </w:div>
    <w:div w:id="893154642">
      <w:bodyDiv w:val="1"/>
      <w:marLeft w:val="0"/>
      <w:marRight w:val="0"/>
      <w:marTop w:val="0"/>
      <w:marBottom w:val="0"/>
      <w:divBdr>
        <w:top w:val="none" w:sz="0" w:space="0" w:color="auto"/>
        <w:left w:val="none" w:sz="0" w:space="0" w:color="auto"/>
        <w:bottom w:val="none" w:sz="0" w:space="0" w:color="auto"/>
        <w:right w:val="none" w:sz="0" w:space="0" w:color="auto"/>
      </w:divBdr>
      <w:divsChild>
        <w:div w:id="279773510">
          <w:marLeft w:val="0"/>
          <w:marRight w:val="0"/>
          <w:marTop w:val="0"/>
          <w:marBottom w:val="0"/>
          <w:divBdr>
            <w:top w:val="none" w:sz="0" w:space="0" w:color="auto"/>
            <w:left w:val="none" w:sz="0" w:space="0" w:color="auto"/>
            <w:bottom w:val="none" w:sz="0" w:space="0" w:color="auto"/>
            <w:right w:val="none" w:sz="0" w:space="0" w:color="auto"/>
          </w:divBdr>
        </w:div>
      </w:divsChild>
    </w:div>
    <w:div w:id="901451855">
      <w:bodyDiv w:val="1"/>
      <w:marLeft w:val="0"/>
      <w:marRight w:val="0"/>
      <w:marTop w:val="0"/>
      <w:marBottom w:val="0"/>
      <w:divBdr>
        <w:top w:val="none" w:sz="0" w:space="0" w:color="auto"/>
        <w:left w:val="none" w:sz="0" w:space="0" w:color="auto"/>
        <w:bottom w:val="none" w:sz="0" w:space="0" w:color="auto"/>
        <w:right w:val="none" w:sz="0" w:space="0" w:color="auto"/>
      </w:divBdr>
    </w:div>
    <w:div w:id="933897123">
      <w:bodyDiv w:val="1"/>
      <w:marLeft w:val="0"/>
      <w:marRight w:val="0"/>
      <w:marTop w:val="0"/>
      <w:marBottom w:val="0"/>
      <w:divBdr>
        <w:top w:val="none" w:sz="0" w:space="0" w:color="auto"/>
        <w:left w:val="none" w:sz="0" w:space="0" w:color="auto"/>
        <w:bottom w:val="none" w:sz="0" w:space="0" w:color="auto"/>
        <w:right w:val="none" w:sz="0" w:space="0" w:color="auto"/>
      </w:divBdr>
    </w:div>
    <w:div w:id="946502872">
      <w:bodyDiv w:val="1"/>
      <w:marLeft w:val="0"/>
      <w:marRight w:val="0"/>
      <w:marTop w:val="0"/>
      <w:marBottom w:val="0"/>
      <w:divBdr>
        <w:top w:val="none" w:sz="0" w:space="0" w:color="auto"/>
        <w:left w:val="none" w:sz="0" w:space="0" w:color="auto"/>
        <w:bottom w:val="none" w:sz="0" w:space="0" w:color="auto"/>
        <w:right w:val="none" w:sz="0" w:space="0" w:color="auto"/>
      </w:divBdr>
    </w:div>
    <w:div w:id="955134611">
      <w:bodyDiv w:val="1"/>
      <w:marLeft w:val="0"/>
      <w:marRight w:val="0"/>
      <w:marTop w:val="0"/>
      <w:marBottom w:val="0"/>
      <w:divBdr>
        <w:top w:val="none" w:sz="0" w:space="0" w:color="auto"/>
        <w:left w:val="none" w:sz="0" w:space="0" w:color="auto"/>
        <w:bottom w:val="none" w:sz="0" w:space="0" w:color="auto"/>
        <w:right w:val="none" w:sz="0" w:space="0" w:color="auto"/>
      </w:divBdr>
    </w:div>
    <w:div w:id="1030498453">
      <w:bodyDiv w:val="1"/>
      <w:marLeft w:val="0"/>
      <w:marRight w:val="0"/>
      <w:marTop w:val="0"/>
      <w:marBottom w:val="0"/>
      <w:divBdr>
        <w:top w:val="none" w:sz="0" w:space="0" w:color="auto"/>
        <w:left w:val="none" w:sz="0" w:space="0" w:color="auto"/>
        <w:bottom w:val="none" w:sz="0" w:space="0" w:color="auto"/>
        <w:right w:val="none" w:sz="0" w:space="0" w:color="auto"/>
      </w:divBdr>
      <w:divsChild>
        <w:div w:id="1283877855">
          <w:marLeft w:val="562"/>
          <w:marRight w:val="0"/>
          <w:marTop w:val="77"/>
          <w:marBottom w:val="0"/>
          <w:divBdr>
            <w:top w:val="none" w:sz="0" w:space="0" w:color="auto"/>
            <w:left w:val="none" w:sz="0" w:space="0" w:color="auto"/>
            <w:bottom w:val="none" w:sz="0" w:space="0" w:color="auto"/>
            <w:right w:val="none" w:sz="0" w:space="0" w:color="auto"/>
          </w:divBdr>
        </w:div>
        <w:div w:id="1462305293">
          <w:marLeft w:val="562"/>
          <w:marRight w:val="0"/>
          <w:marTop w:val="77"/>
          <w:marBottom w:val="0"/>
          <w:divBdr>
            <w:top w:val="none" w:sz="0" w:space="0" w:color="auto"/>
            <w:left w:val="none" w:sz="0" w:space="0" w:color="auto"/>
            <w:bottom w:val="none" w:sz="0" w:space="0" w:color="auto"/>
            <w:right w:val="none" w:sz="0" w:space="0" w:color="auto"/>
          </w:divBdr>
        </w:div>
      </w:divsChild>
    </w:div>
    <w:div w:id="1049957987">
      <w:bodyDiv w:val="1"/>
      <w:marLeft w:val="0"/>
      <w:marRight w:val="0"/>
      <w:marTop w:val="0"/>
      <w:marBottom w:val="0"/>
      <w:divBdr>
        <w:top w:val="none" w:sz="0" w:space="0" w:color="auto"/>
        <w:left w:val="none" w:sz="0" w:space="0" w:color="auto"/>
        <w:bottom w:val="none" w:sz="0" w:space="0" w:color="auto"/>
        <w:right w:val="none" w:sz="0" w:space="0" w:color="auto"/>
      </w:divBdr>
    </w:div>
    <w:div w:id="1070230390">
      <w:bodyDiv w:val="1"/>
      <w:marLeft w:val="0"/>
      <w:marRight w:val="0"/>
      <w:marTop w:val="0"/>
      <w:marBottom w:val="0"/>
      <w:divBdr>
        <w:top w:val="none" w:sz="0" w:space="0" w:color="auto"/>
        <w:left w:val="none" w:sz="0" w:space="0" w:color="auto"/>
        <w:bottom w:val="none" w:sz="0" w:space="0" w:color="auto"/>
        <w:right w:val="none" w:sz="0" w:space="0" w:color="auto"/>
      </w:divBdr>
    </w:div>
    <w:div w:id="1140268746">
      <w:bodyDiv w:val="1"/>
      <w:marLeft w:val="0"/>
      <w:marRight w:val="0"/>
      <w:marTop w:val="0"/>
      <w:marBottom w:val="0"/>
      <w:divBdr>
        <w:top w:val="none" w:sz="0" w:space="0" w:color="auto"/>
        <w:left w:val="none" w:sz="0" w:space="0" w:color="auto"/>
        <w:bottom w:val="none" w:sz="0" w:space="0" w:color="auto"/>
        <w:right w:val="none" w:sz="0" w:space="0" w:color="auto"/>
      </w:divBdr>
    </w:div>
    <w:div w:id="1144081788">
      <w:bodyDiv w:val="1"/>
      <w:marLeft w:val="0"/>
      <w:marRight w:val="0"/>
      <w:marTop w:val="0"/>
      <w:marBottom w:val="0"/>
      <w:divBdr>
        <w:top w:val="none" w:sz="0" w:space="0" w:color="auto"/>
        <w:left w:val="none" w:sz="0" w:space="0" w:color="auto"/>
        <w:bottom w:val="none" w:sz="0" w:space="0" w:color="auto"/>
        <w:right w:val="none" w:sz="0" w:space="0" w:color="auto"/>
      </w:divBdr>
      <w:divsChild>
        <w:div w:id="801000284">
          <w:marLeft w:val="0"/>
          <w:marRight w:val="0"/>
          <w:marTop w:val="0"/>
          <w:marBottom w:val="0"/>
          <w:divBdr>
            <w:top w:val="none" w:sz="0" w:space="0" w:color="auto"/>
            <w:left w:val="none" w:sz="0" w:space="0" w:color="auto"/>
            <w:bottom w:val="none" w:sz="0" w:space="0" w:color="auto"/>
            <w:right w:val="none" w:sz="0" w:space="0" w:color="auto"/>
          </w:divBdr>
        </w:div>
        <w:div w:id="1226334170">
          <w:marLeft w:val="-150"/>
          <w:marRight w:val="-150"/>
          <w:marTop w:val="0"/>
          <w:marBottom w:val="0"/>
          <w:divBdr>
            <w:top w:val="none" w:sz="0" w:space="0" w:color="auto"/>
            <w:left w:val="none" w:sz="0" w:space="0" w:color="auto"/>
            <w:bottom w:val="none" w:sz="0" w:space="0" w:color="auto"/>
            <w:right w:val="none" w:sz="0" w:space="0" w:color="auto"/>
          </w:divBdr>
          <w:divsChild>
            <w:div w:id="1738094161">
              <w:marLeft w:val="0"/>
              <w:marRight w:val="0"/>
              <w:marTop w:val="0"/>
              <w:marBottom w:val="0"/>
              <w:divBdr>
                <w:top w:val="none" w:sz="0" w:space="0" w:color="auto"/>
                <w:left w:val="none" w:sz="0" w:space="0" w:color="auto"/>
                <w:bottom w:val="none" w:sz="0" w:space="0" w:color="auto"/>
                <w:right w:val="none" w:sz="0" w:space="0" w:color="auto"/>
              </w:divBdr>
              <w:divsChild>
                <w:div w:id="842402246">
                  <w:marLeft w:val="0"/>
                  <w:marRight w:val="0"/>
                  <w:marTop w:val="0"/>
                  <w:marBottom w:val="0"/>
                  <w:divBdr>
                    <w:top w:val="none" w:sz="0" w:space="0" w:color="auto"/>
                    <w:left w:val="none" w:sz="0" w:space="0" w:color="auto"/>
                    <w:bottom w:val="none" w:sz="0" w:space="0" w:color="auto"/>
                    <w:right w:val="none" w:sz="0" w:space="0" w:color="auto"/>
                  </w:divBdr>
                  <w:divsChild>
                    <w:div w:id="561212939">
                      <w:marLeft w:val="0"/>
                      <w:marRight w:val="0"/>
                      <w:marTop w:val="0"/>
                      <w:marBottom w:val="0"/>
                      <w:divBdr>
                        <w:top w:val="none" w:sz="0" w:space="0" w:color="auto"/>
                        <w:left w:val="none" w:sz="0" w:space="0" w:color="auto"/>
                        <w:bottom w:val="none" w:sz="0" w:space="0" w:color="auto"/>
                        <w:right w:val="none" w:sz="0" w:space="0" w:color="auto"/>
                      </w:divBdr>
                    </w:div>
                  </w:divsChild>
                </w:div>
                <w:div w:id="1965385381">
                  <w:marLeft w:val="-150"/>
                  <w:marRight w:val="-150"/>
                  <w:marTop w:val="0"/>
                  <w:marBottom w:val="0"/>
                  <w:divBdr>
                    <w:top w:val="none" w:sz="0" w:space="0" w:color="auto"/>
                    <w:left w:val="none" w:sz="0" w:space="0" w:color="auto"/>
                    <w:bottom w:val="none" w:sz="0" w:space="0" w:color="auto"/>
                    <w:right w:val="none" w:sz="0" w:space="0" w:color="auto"/>
                  </w:divBdr>
                  <w:divsChild>
                    <w:div w:id="1649162320">
                      <w:marLeft w:val="0"/>
                      <w:marRight w:val="0"/>
                      <w:marTop w:val="0"/>
                      <w:marBottom w:val="0"/>
                      <w:divBdr>
                        <w:top w:val="none" w:sz="0" w:space="0" w:color="auto"/>
                        <w:left w:val="none" w:sz="0" w:space="0" w:color="auto"/>
                        <w:bottom w:val="none" w:sz="0" w:space="0" w:color="auto"/>
                        <w:right w:val="none" w:sz="0" w:space="0" w:color="auto"/>
                      </w:divBdr>
                      <w:divsChild>
                        <w:div w:id="1309827074">
                          <w:marLeft w:val="0"/>
                          <w:marRight w:val="0"/>
                          <w:marTop w:val="0"/>
                          <w:marBottom w:val="0"/>
                          <w:divBdr>
                            <w:top w:val="none" w:sz="0" w:space="0" w:color="auto"/>
                            <w:left w:val="none" w:sz="0" w:space="0" w:color="auto"/>
                            <w:bottom w:val="none" w:sz="0" w:space="0" w:color="auto"/>
                            <w:right w:val="none" w:sz="0" w:space="0" w:color="auto"/>
                          </w:divBdr>
                          <w:divsChild>
                            <w:div w:id="11659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2702">
                      <w:marLeft w:val="0"/>
                      <w:marRight w:val="0"/>
                      <w:marTop w:val="0"/>
                      <w:marBottom w:val="0"/>
                      <w:divBdr>
                        <w:top w:val="none" w:sz="0" w:space="0" w:color="auto"/>
                        <w:left w:val="none" w:sz="0" w:space="0" w:color="auto"/>
                        <w:bottom w:val="none" w:sz="0" w:space="0" w:color="auto"/>
                        <w:right w:val="none" w:sz="0" w:space="0" w:color="auto"/>
                      </w:divBdr>
                    </w:div>
                  </w:divsChild>
                </w:div>
                <w:div w:id="1129205278">
                  <w:marLeft w:val="0"/>
                  <w:marRight w:val="0"/>
                  <w:marTop w:val="0"/>
                  <w:marBottom w:val="0"/>
                  <w:divBdr>
                    <w:top w:val="none" w:sz="0" w:space="0" w:color="auto"/>
                    <w:left w:val="none" w:sz="0" w:space="0" w:color="auto"/>
                    <w:bottom w:val="none" w:sz="0" w:space="0" w:color="auto"/>
                    <w:right w:val="none" w:sz="0" w:space="0" w:color="auto"/>
                  </w:divBdr>
                  <w:divsChild>
                    <w:div w:id="1412891259">
                      <w:marLeft w:val="0"/>
                      <w:marRight w:val="0"/>
                      <w:marTop w:val="0"/>
                      <w:marBottom w:val="0"/>
                      <w:divBdr>
                        <w:top w:val="none" w:sz="0" w:space="0" w:color="auto"/>
                        <w:left w:val="none" w:sz="0" w:space="0" w:color="auto"/>
                        <w:bottom w:val="none" w:sz="0" w:space="0" w:color="auto"/>
                        <w:right w:val="none" w:sz="0" w:space="0" w:color="auto"/>
                      </w:divBdr>
                    </w:div>
                  </w:divsChild>
                </w:div>
                <w:div w:id="1680620834">
                  <w:marLeft w:val="0"/>
                  <w:marRight w:val="0"/>
                  <w:marTop w:val="450"/>
                  <w:marBottom w:val="450"/>
                  <w:divBdr>
                    <w:top w:val="none" w:sz="0" w:space="0" w:color="auto"/>
                    <w:left w:val="none" w:sz="0" w:space="0" w:color="auto"/>
                    <w:bottom w:val="none" w:sz="0" w:space="0" w:color="auto"/>
                    <w:right w:val="none" w:sz="0" w:space="0" w:color="auto"/>
                  </w:divBdr>
                  <w:divsChild>
                    <w:div w:id="1255088707">
                      <w:marLeft w:val="0"/>
                      <w:marRight w:val="0"/>
                      <w:marTop w:val="0"/>
                      <w:marBottom w:val="0"/>
                      <w:divBdr>
                        <w:top w:val="none" w:sz="0" w:space="0" w:color="auto"/>
                        <w:left w:val="none" w:sz="0" w:space="0" w:color="auto"/>
                        <w:bottom w:val="none" w:sz="0" w:space="0" w:color="auto"/>
                        <w:right w:val="none" w:sz="0" w:space="0" w:color="auto"/>
                      </w:divBdr>
                    </w:div>
                    <w:div w:id="750396247">
                      <w:marLeft w:val="0"/>
                      <w:marRight w:val="0"/>
                      <w:marTop w:val="0"/>
                      <w:marBottom w:val="0"/>
                      <w:divBdr>
                        <w:top w:val="none" w:sz="0" w:space="0" w:color="auto"/>
                        <w:left w:val="none" w:sz="0" w:space="0" w:color="auto"/>
                        <w:bottom w:val="none" w:sz="0" w:space="0" w:color="auto"/>
                        <w:right w:val="none" w:sz="0" w:space="0" w:color="auto"/>
                      </w:divBdr>
                    </w:div>
                  </w:divsChild>
                </w:div>
                <w:div w:id="1361468549">
                  <w:marLeft w:val="0"/>
                  <w:marRight w:val="0"/>
                  <w:marTop w:val="0"/>
                  <w:marBottom w:val="0"/>
                  <w:divBdr>
                    <w:top w:val="none" w:sz="0" w:space="0" w:color="auto"/>
                    <w:left w:val="none" w:sz="0" w:space="0" w:color="auto"/>
                    <w:bottom w:val="none" w:sz="0" w:space="0" w:color="auto"/>
                    <w:right w:val="none" w:sz="0" w:space="0" w:color="auto"/>
                  </w:divBdr>
                  <w:divsChild>
                    <w:div w:id="1556087553">
                      <w:marLeft w:val="0"/>
                      <w:marRight w:val="0"/>
                      <w:marTop w:val="0"/>
                      <w:marBottom w:val="0"/>
                      <w:divBdr>
                        <w:top w:val="none" w:sz="0" w:space="0" w:color="auto"/>
                        <w:left w:val="none" w:sz="0" w:space="0" w:color="auto"/>
                        <w:bottom w:val="none" w:sz="0" w:space="0" w:color="auto"/>
                        <w:right w:val="none" w:sz="0" w:space="0" w:color="auto"/>
                      </w:divBdr>
                    </w:div>
                  </w:divsChild>
                </w:div>
                <w:div w:id="1721510754">
                  <w:marLeft w:val="-150"/>
                  <w:marRight w:val="-150"/>
                  <w:marTop w:val="0"/>
                  <w:marBottom w:val="0"/>
                  <w:divBdr>
                    <w:top w:val="none" w:sz="0" w:space="0" w:color="auto"/>
                    <w:left w:val="none" w:sz="0" w:space="0" w:color="auto"/>
                    <w:bottom w:val="none" w:sz="0" w:space="0" w:color="auto"/>
                    <w:right w:val="none" w:sz="0" w:space="0" w:color="auto"/>
                  </w:divBdr>
                  <w:divsChild>
                    <w:div w:id="1747611128">
                      <w:marLeft w:val="0"/>
                      <w:marRight w:val="0"/>
                      <w:marTop w:val="0"/>
                      <w:marBottom w:val="0"/>
                      <w:divBdr>
                        <w:top w:val="none" w:sz="0" w:space="0" w:color="auto"/>
                        <w:left w:val="none" w:sz="0" w:space="0" w:color="auto"/>
                        <w:bottom w:val="none" w:sz="0" w:space="0" w:color="auto"/>
                        <w:right w:val="none" w:sz="0" w:space="0" w:color="auto"/>
                      </w:divBdr>
                      <w:divsChild>
                        <w:div w:id="1030648211">
                          <w:marLeft w:val="0"/>
                          <w:marRight w:val="0"/>
                          <w:marTop w:val="0"/>
                          <w:marBottom w:val="0"/>
                          <w:divBdr>
                            <w:top w:val="none" w:sz="0" w:space="0" w:color="auto"/>
                            <w:left w:val="none" w:sz="0" w:space="0" w:color="auto"/>
                            <w:bottom w:val="none" w:sz="0" w:space="0" w:color="auto"/>
                            <w:right w:val="none" w:sz="0" w:space="0" w:color="auto"/>
                          </w:divBdr>
                          <w:divsChild>
                            <w:div w:id="851458611">
                              <w:marLeft w:val="0"/>
                              <w:marRight w:val="0"/>
                              <w:marTop w:val="0"/>
                              <w:marBottom w:val="0"/>
                              <w:divBdr>
                                <w:top w:val="none" w:sz="0" w:space="0" w:color="auto"/>
                                <w:left w:val="none" w:sz="0" w:space="0" w:color="auto"/>
                                <w:bottom w:val="none" w:sz="0" w:space="0" w:color="auto"/>
                                <w:right w:val="none" w:sz="0" w:space="0" w:color="auto"/>
                              </w:divBdr>
                            </w:div>
                          </w:divsChild>
                        </w:div>
                        <w:div w:id="257523126">
                          <w:marLeft w:val="0"/>
                          <w:marRight w:val="0"/>
                          <w:marTop w:val="0"/>
                          <w:marBottom w:val="0"/>
                          <w:divBdr>
                            <w:top w:val="none" w:sz="0" w:space="0" w:color="auto"/>
                            <w:left w:val="none" w:sz="0" w:space="0" w:color="auto"/>
                            <w:bottom w:val="none" w:sz="0" w:space="0" w:color="auto"/>
                            <w:right w:val="none" w:sz="0" w:space="0" w:color="auto"/>
                          </w:divBdr>
                          <w:divsChild>
                            <w:div w:id="2512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02998">
                      <w:marLeft w:val="0"/>
                      <w:marRight w:val="0"/>
                      <w:marTop w:val="0"/>
                      <w:marBottom w:val="0"/>
                      <w:divBdr>
                        <w:top w:val="none" w:sz="0" w:space="0" w:color="auto"/>
                        <w:left w:val="none" w:sz="0" w:space="0" w:color="auto"/>
                        <w:bottom w:val="none" w:sz="0" w:space="0" w:color="auto"/>
                        <w:right w:val="none" w:sz="0" w:space="0" w:color="auto"/>
                      </w:divBdr>
                    </w:div>
                  </w:divsChild>
                </w:div>
                <w:div w:id="200288715">
                  <w:marLeft w:val="0"/>
                  <w:marRight w:val="0"/>
                  <w:marTop w:val="0"/>
                  <w:marBottom w:val="0"/>
                  <w:divBdr>
                    <w:top w:val="none" w:sz="0" w:space="0" w:color="auto"/>
                    <w:left w:val="none" w:sz="0" w:space="0" w:color="auto"/>
                    <w:bottom w:val="none" w:sz="0" w:space="0" w:color="auto"/>
                    <w:right w:val="none" w:sz="0" w:space="0" w:color="auto"/>
                  </w:divBdr>
                  <w:divsChild>
                    <w:div w:id="870993058">
                      <w:marLeft w:val="0"/>
                      <w:marRight w:val="0"/>
                      <w:marTop w:val="0"/>
                      <w:marBottom w:val="0"/>
                      <w:divBdr>
                        <w:top w:val="none" w:sz="0" w:space="0" w:color="auto"/>
                        <w:left w:val="none" w:sz="0" w:space="0" w:color="auto"/>
                        <w:bottom w:val="none" w:sz="0" w:space="0" w:color="auto"/>
                        <w:right w:val="none" w:sz="0" w:space="0" w:color="auto"/>
                      </w:divBdr>
                    </w:div>
                  </w:divsChild>
                </w:div>
                <w:div w:id="1854538155">
                  <w:marLeft w:val="0"/>
                  <w:marRight w:val="0"/>
                  <w:marTop w:val="0"/>
                  <w:marBottom w:val="0"/>
                  <w:divBdr>
                    <w:top w:val="none" w:sz="0" w:space="0" w:color="auto"/>
                    <w:left w:val="none" w:sz="0" w:space="0" w:color="auto"/>
                    <w:bottom w:val="none" w:sz="0" w:space="0" w:color="auto"/>
                    <w:right w:val="none" w:sz="0" w:space="0" w:color="auto"/>
                  </w:divBdr>
                  <w:divsChild>
                    <w:div w:id="1410738018">
                      <w:marLeft w:val="0"/>
                      <w:marRight w:val="0"/>
                      <w:marTop w:val="0"/>
                      <w:marBottom w:val="0"/>
                      <w:divBdr>
                        <w:top w:val="none" w:sz="0" w:space="0" w:color="auto"/>
                        <w:left w:val="none" w:sz="0" w:space="0" w:color="auto"/>
                        <w:bottom w:val="none" w:sz="0" w:space="0" w:color="auto"/>
                        <w:right w:val="none" w:sz="0" w:space="0" w:color="auto"/>
                      </w:divBdr>
                    </w:div>
                  </w:divsChild>
                </w:div>
                <w:div w:id="339743906">
                  <w:marLeft w:val="-150"/>
                  <w:marRight w:val="-150"/>
                  <w:marTop w:val="0"/>
                  <w:marBottom w:val="0"/>
                  <w:divBdr>
                    <w:top w:val="none" w:sz="0" w:space="0" w:color="auto"/>
                    <w:left w:val="none" w:sz="0" w:space="0" w:color="auto"/>
                    <w:bottom w:val="none" w:sz="0" w:space="0" w:color="auto"/>
                    <w:right w:val="none" w:sz="0" w:space="0" w:color="auto"/>
                  </w:divBdr>
                  <w:divsChild>
                    <w:div w:id="1459034059">
                      <w:marLeft w:val="0"/>
                      <w:marRight w:val="0"/>
                      <w:marTop w:val="0"/>
                      <w:marBottom w:val="0"/>
                      <w:divBdr>
                        <w:top w:val="none" w:sz="0" w:space="0" w:color="auto"/>
                        <w:left w:val="none" w:sz="0" w:space="0" w:color="auto"/>
                        <w:bottom w:val="none" w:sz="0" w:space="0" w:color="auto"/>
                        <w:right w:val="none" w:sz="0" w:space="0" w:color="auto"/>
                      </w:divBdr>
                      <w:divsChild>
                        <w:div w:id="514655387">
                          <w:marLeft w:val="0"/>
                          <w:marRight w:val="0"/>
                          <w:marTop w:val="0"/>
                          <w:marBottom w:val="0"/>
                          <w:divBdr>
                            <w:top w:val="none" w:sz="0" w:space="0" w:color="auto"/>
                            <w:left w:val="none" w:sz="0" w:space="0" w:color="auto"/>
                            <w:bottom w:val="none" w:sz="0" w:space="0" w:color="auto"/>
                            <w:right w:val="none" w:sz="0" w:space="0" w:color="auto"/>
                          </w:divBdr>
                          <w:divsChild>
                            <w:div w:id="594823124">
                              <w:marLeft w:val="0"/>
                              <w:marRight w:val="0"/>
                              <w:marTop w:val="0"/>
                              <w:marBottom w:val="0"/>
                              <w:divBdr>
                                <w:top w:val="none" w:sz="0" w:space="0" w:color="auto"/>
                                <w:left w:val="none" w:sz="0" w:space="0" w:color="auto"/>
                                <w:bottom w:val="none" w:sz="0" w:space="0" w:color="auto"/>
                                <w:right w:val="none" w:sz="0" w:space="0" w:color="auto"/>
                              </w:divBdr>
                            </w:div>
                          </w:divsChild>
                        </w:div>
                        <w:div w:id="1034386626">
                          <w:marLeft w:val="0"/>
                          <w:marRight w:val="0"/>
                          <w:marTop w:val="0"/>
                          <w:marBottom w:val="0"/>
                          <w:divBdr>
                            <w:top w:val="none" w:sz="0" w:space="0" w:color="auto"/>
                            <w:left w:val="none" w:sz="0" w:space="0" w:color="auto"/>
                            <w:bottom w:val="none" w:sz="0" w:space="0" w:color="auto"/>
                            <w:right w:val="none" w:sz="0" w:space="0" w:color="auto"/>
                          </w:divBdr>
                          <w:divsChild>
                            <w:div w:id="2044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80345">
      <w:bodyDiv w:val="1"/>
      <w:marLeft w:val="0"/>
      <w:marRight w:val="0"/>
      <w:marTop w:val="0"/>
      <w:marBottom w:val="0"/>
      <w:divBdr>
        <w:top w:val="none" w:sz="0" w:space="0" w:color="auto"/>
        <w:left w:val="none" w:sz="0" w:space="0" w:color="auto"/>
        <w:bottom w:val="none" w:sz="0" w:space="0" w:color="auto"/>
        <w:right w:val="none" w:sz="0" w:space="0" w:color="auto"/>
      </w:divBdr>
    </w:div>
    <w:div w:id="1149595904">
      <w:bodyDiv w:val="1"/>
      <w:marLeft w:val="0"/>
      <w:marRight w:val="0"/>
      <w:marTop w:val="0"/>
      <w:marBottom w:val="0"/>
      <w:divBdr>
        <w:top w:val="none" w:sz="0" w:space="0" w:color="auto"/>
        <w:left w:val="none" w:sz="0" w:space="0" w:color="auto"/>
        <w:bottom w:val="none" w:sz="0" w:space="0" w:color="auto"/>
        <w:right w:val="none" w:sz="0" w:space="0" w:color="auto"/>
      </w:divBdr>
    </w:div>
    <w:div w:id="1178345727">
      <w:bodyDiv w:val="1"/>
      <w:marLeft w:val="0"/>
      <w:marRight w:val="0"/>
      <w:marTop w:val="0"/>
      <w:marBottom w:val="0"/>
      <w:divBdr>
        <w:top w:val="none" w:sz="0" w:space="0" w:color="auto"/>
        <w:left w:val="none" w:sz="0" w:space="0" w:color="auto"/>
        <w:bottom w:val="none" w:sz="0" w:space="0" w:color="auto"/>
        <w:right w:val="none" w:sz="0" w:space="0" w:color="auto"/>
      </w:divBdr>
    </w:div>
    <w:div w:id="1187327864">
      <w:bodyDiv w:val="1"/>
      <w:marLeft w:val="0"/>
      <w:marRight w:val="0"/>
      <w:marTop w:val="0"/>
      <w:marBottom w:val="0"/>
      <w:divBdr>
        <w:top w:val="none" w:sz="0" w:space="0" w:color="auto"/>
        <w:left w:val="none" w:sz="0" w:space="0" w:color="auto"/>
        <w:bottom w:val="none" w:sz="0" w:space="0" w:color="auto"/>
        <w:right w:val="none" w:sz="0" w:space="0" w:color="auto"/>
      </w:divBdr>
      <w:divsChild>
        <w:div w:id="1183664014">
          <w:marLeft w:val="562"/>
          <w:marRight w:val="0"/>
          <w:marTop w:val="77"/>
          <w:marBottom w:val="0"/>
          <w:divBdr>
            <w:top w:val="none" w:sz="0" w:space="0" w:color="auto"/>
            <w:left w:val="none" w:sz="0" w:space="0" w:color="auto"/>
            <w:bottom w:val="none" w:sz="0" w:space="0" w:color="auto"/>
            <w:right w:val="none" w:sz="0" w:space="0" w:color="auto"/>
          </w:divBdr>
        </w:div>
        <w:div w:id="163670360">
          <w:marLeft w:val="562"/>
          <w:marRight w:val="0"/>
          <w:marTop w:val="77"/>
          <w:marBottom w:val="0"/>
          <w:divBdr>
            <w:top w:val="none" w:sz="0" w:space="0" w:color="auto"/>
            <w:left w:val="none" w:sz="0" w:space="0" w:color="auto"/>
            <w:bottom w:val="none" w:sz="0" w:space="0" w:color="auto"/>
            <w:right w:val="none" w:sz="0" w:space="0" w:color="auto"/>
          </w:divBdr>
        </w:div>
        <w:div w:id="1143352602">
          <w:marLeft w:val="562"/>
          <w:marRight w:val="0"/>
          <w:marTop w:val="77"/>
          <w:marBottom w:val="0"/>
          <w:divBdr>
            <w:top w:val="none" w:sz="0" w:space="0" w:color="auto"/>
            <w:left w:val="none" w:sz="0" w:space="0" w:color="auto"/>
            <w:bottom w:val="none" w:sz="0" w:space="0" w:color="auto"/>
            <w:right w:val="none" w:sz="0" w:space="0" w:color="auto"/>
          </w:divBdr>
        </w:div>
      </w:divsChild>
    </w:div>
    <w:div w:id="1215391083">
      <w:bodyDiv w:val="1"/>
      <w:marLeft w:val="0"/>
      <w:marRight w:val="0"/>
      <w:marTop w:val="0"/>
      <w:marBottom w:val="0"/>
      <w:divBdr>
        <w:top w:val="none" w:sz="0" w:space="0" w:color="auto"/>
        <w:left w:val="none" w:sz="0" w:space="0" w:color="auto"/>
        <w:bottom w:val="none" w:sz="0" w:space="0" w:color="auto"/>
        <w:right w:val="none" w:sz="0" w:space="0" w:color="auto"/>
      </w:divBdr>
      <w:divsChild>
        <w:div w:id="686754117">
          <w:marLeft w:val="0"/>
          <w:marRight w:val="0"/>
          <w:marTop w:val="0"/>
          <w:marBottom w:val="0"/>
          <w:divBdr>
            <w:top w:val="none" w:sz="0" w:space="0" w:color="auto"/>
            <w:left w:val="none" w:sz="0" w:space="0" w:color="auto"/>
            <w:bottom w:val="none" w:sz="0" w:space="0" w:color="auto"/>
            <w:right w:val="none" w:sz="0" w:space="0" w:color="auto"/>
          </w:divBdr>
        </w:div>
      </w:divsChild>
    </w:div>
    <w:div w:id="1251163844">
      <w:bodyDiv w:val="1"/>
      <w:marLeft w:val="0"/>
      <w:marRight w:val="0"/>
      <w:marTop w:val="0"/>
      <w:marBottom w:val="0"/>
      <w:divBdr>
        <w:top w:val="none" w:sz="0" w:space="0" w:color="auto"/>
        <w:left w:val="none" w:sz="0" w:space="0" w:color="auto"/>
        <w:bottom w:val="none" w:sz="0" w:space="0" w:color="auto"/>
        <w:right w:val="none" w:sz="0" w:space="0" w:color="auto"/>
      </w:divBdr>
    </w:div>
    <w:div w:id="1341665161">
      <w:bodyDiv w:val="1"/>
      <w:marLeft w:val="0"/>
      <w:marRight w:val="0"/>
      <w:marTop w:val="0"/>
      <w:marBottom w:val="0"/>
      <w:divBdr>
        <w:top w:val="none" w:sz="0" w:space="0" w:color="auto"/>
        <w:left w:val="none" w:sz="0" w:space="0" w:color="auto"/>
        <w:bottom w:val="none" w:sz="0" w:space="0" w:color="auto"/>
        <w:right w:val="none" w:sz="0" w:space="0" w:color="auto"/>
      </w:divBdr>
    </w:div>
    <w:div w:id="1371955812">
      <w:bodyDiv w:val="1"/>
      <w:marLeft w:val="0"/>
      <w:marRight w:val="0"/>
      <w:marTop w:val="0"/>
      <w:marBottom w:val="0"/>
      <w:divBdr>
        <w:top w:val="none" w:sz="0" w:space="0" w:color="auto"/>
        <w:left w:val="none" w:sz="0" w:space="0" w:color="auto"/>
        <w:bottom w:val="none" w:sz="0" w:space="0" w:color="auto"/>
        <w:right w:val="none" w:sz="0" w:space="0" w:color="auto"/>
      </w:divBdr>
    </w:div>
    <w:div w:id="1380786989">
      <w:bodyDiv w:val="1"/>
      <w:marLeft w:val="0"/>
      <w:marRight w:val="0"/>
      <w:marTop w:val="0"/>
      <w:marBottom w:val="0"/>
      <w:divBdr>
        <w:top w:val="none" w:sz="0" w:space="0" w:color="auto"/>
        <w:left w:val="none" w:sz="0" w:space="0" w:color="auto"/>
        <w:bottom w:val="none" w:sz="0" w:space="0" w:color="auto"/>
        <w:right w:val="none" w:sz="0" w:space="0" w:color="auto"/>
      </w:divBdr>
    </w:div>
    <w:div w:id="1389652098">
      <w:bodyDiv w:val="1"/>
      <w:marLeft w:val="0"/>
      <w:marRight w:val="0"/>
      <w:marTop w:val="0"/>
      <w:marBottom w:val="0"/>
      <w:divBdr>
        <w:top w:val="none" w:sz="0" w:space="0" w:color="auto"/>
        <w:left w:val="none" w:sz="0" w:space="0" w:color="auto"/>
        <w:bottom w:val="none" w:sz="0" w:space="0" w:color="auto"/>
        <w:right w:val="none" w:sz="0" w:space="0" w:color="auto"/>
      </w:divBdr>
    </w:div>
    <w:div w:id="1397511223">
      <w:bodyDiv w:val="1"/>
      <w:marLeft w:val="0"/>
      <w:marRight w:val="0"/>
      <w:marTop w:val="0"/>
      <w:marBottom w:val="0"/>
      <w:divBdr>
        <w:top w:val="none" w:sz="0" w:space="0" w:color="auto"/>
        <w:left w:val="none" w:sz="0" w:space="0" w:color="auto"/>
        <w:bottom w:val="none" w:sz="0" w:space="0" w:color="auto"/>
        <w:right w:val="none" w:sz="0" w:space="0" w:color="auto"/>
      </w:divBdr>
    </w:div>
    <w:div w:id="1467239451">
      <w:bodyDiv w:val="1"/>
      <w:marLeft w:val="0"/>
      <w:marRight w:val="0"/>
      <w:marTop w:val="0"/>
      <w:marBottom w:val="0"/>
      <w:divBdr>
        <w:top w:val="none" w:sz="0" w:space="0" w:color="auto"/>
        <w:left w:val="none" w:sz="0" w:space="0" w:color="auto"/>
        <w:bottom w:val="none" w:sz="0" w:space="0" w:color="auto"/>
        <w:right w:val="none" w:sz="0" w:space="0" w:color="auto"/>
      </w:divBdr>
    </w:div>
    <w:div w:id="1478300026">
      <w:bodyDiv w:val="1"/>
      <w:marLeft w:val="0"/>
      <w:marRight w:val="0"/>
      <w:marTop w:val="0"/>
      <w:marBottom w:val="0"/>
      <w:divBdr>
        <w:top w:val="none" w:sz="0" w:space="0" w:color="auto"/>
        <w:left w:val="none" w:sz="0" w:space="0" w:color="auto"/>
        <w:bottom w:val="none" w:sz="0" w:space="0" w:color="auto"/>
        <w:right w:val="none" w:sz="0" w:space="0" w:color="auto"/>
      </w:divBdr>
    </w:div>
    <w:div w:id="1481313190">
      <w:bodyDiv w:val="1"/>
      <w:marLeft w:val="0"/>
      <w:marRight w:val="0"/>
      <w:marTop w:val="0"/>
      <w:marBottom w:val="0"/>
      <w:divBdr>
        <w:top w:val="none" w:sz="0" w:space="0" w:color="auto"/>
        <w:left w:val="none" w:sz="0" w:space="0" w:color="auto"/>
        <w:bottom w:val="none" w:sz="0" w:space="0" w:color="auto"/>
        <w:right w:val="none" w:sz="0" w:space="0" w:color="auto"/>
      </w:divBdr>
    </w:div>
    <w:div w:id="1543782988">
      <w:bodyDiv w:val="1"/>
      <w:marLeft w:val="0"/>
      <w:marRight w:val="0"/>
      <w:marTop w:val="0"/>
      <w:marBottom w:val="0"/>
      <w:divBdr>
        <w:top w:val="none" w:sz="0" w:space="0" w:color="auto"/>
        <w:left w:val="none" w:sz="0" w:space="0" w:color="auto"/>
        <w:bottom w:val="none" w:sz="0" w:space="0" w:color="auto"/>
        <w:right w:val="none" w:sz="0" w:space="0" w:color="auto"/>
      </w:divBdr>
    </w:div>
    <w:div w:id="1672180036">
      <w:bodyDiv w:val="1"/>
      <w:marLeft w:val="0"/>
      <w:marRight w:val="0"/>
      <w:marTop w:val="0"/>
      <w:marBottom w:val="0"/>
      <w:divBdr>
        <w:top w:val="none" w:sz="0" w:space="0" w:color="auto"/>
        <w:left w:val="none" w:sz="0" w:space="0" w:color="auto"/>
        <w:bottom w:val="none" w:sz="0" w:space="0" w:color="auto"/>
        <w:right w:val="none" w:sz="0" w:space="0" w:color="auto"/>
      </w:divBdr>
    </w:div>
    <w:div w:id="1691177915">
      <w:bodyDiv w:val="1"/>
      <w:marLeft w:val="0"/>
      <w:marRight w:val="0"/>
      <w:marTop w:val="0"/>
      <w:marBottom w:val="0"/>
      <w:divBdr>
        <w:top w:val="none" w:sz="0" w:space="0" w:color="auto"/>
        <w:left w:val="none" w:sz="0" w:space="0" w:color="auto"/>
        <w:bottom w:val="none" w:sz="0" w:space="0" w:color="auto"/>
        <w:right w:val="none" w:sz="0" w:space="0" w:color="auto"/>
      </w:divBdr>
    </w:div>
    <w:div w:id="1717504862">
      <w:bodyDiv w:val="1"/>
      <w:marLeft w:val="0"/>
      <w:marRight w:val="0"/>
      <w:marTop w:val="0"/>
      <w:marBottom w:val="0"/>
      <w:divBdr>
        <w:top w:val="none" w:sz="0" w:space="0" w:color="auto"/>
        <w:left w:val="none" w:sz="0" w:space="0" w:color="auto"/>
        <w:bottom w:val="none" w:sz="0" w:space="0" w:color="auto"/>
        <w:right w:val="none" w:sz="0" w:space="0" w:color="auto"/>
      </w:divBdr>
    </w:div>
    <w:div w:id="1748652177">
      <w:bodyDiv w:val="1"/>
      <w:marLeft w:val="0"/>
      <w:marRight w:val="0"/>
      <w:marTop w:val="0"/>
      <w:marBottom w:val="0"/>
      <w:divBdr>
        <w:top w:val="none" w:sz="0" w:space="0" w:color="auto"/>
        <w:left w:val="none" w:sz="0" w:space="0" w:color="auto"/>
        <w:bottom w:val="none" w:sz="0" w:space="0" w:color="auto"/>
        <w:right w:val="none" w:sz="0" w:space="0" w:color="auto"/>
      </w:divBdr>
    </w:div>
    <w:div w:id="1787697856">
      <w:bodyDiv w:val="1"/>
      <w:marLeft w:val="0"/>
      <w:marRight w:val="0"/>
      <w:marTop w:val="0"/>
      <w:marBottom w:val="0"/>
      <w:divBdr>
        <w:top w:val="none" w:sz="0" w:space="0" w:color="auto"/>
        <w:left w:val="none" w:sz="0" w:space="0" w:color="auto"/>
        <w:bottom w:val="none" w:sz="0" w:space="0" w:color="auto"/>
        <w:right w:val="none" w:sz="0" w:space="0" w:color="auto"/>
      </w:divBdr>
    </w:div>
    <w:div w:id="1793473254">
      <w:bodyDiv w:val="1"/>
      <w:marLeft w:val="0"/>
      <w:marRight w:val="0"/>
      <w:marTop w:val="0"/>
      <w:marBottom w:val="0"/>
      <w:divBdr>
        <w:top w:val="none" w:sz="0" w:space="0" w:color="auto"/>
        <w:left w:val="none" w:sz="0" w:space="0" w:color="auto"/>
        <w:bottom w:val="none" w:sz="0" w:space="0" w:color="auto"/>
        <w:right w:val="none" w:sz="0" w:space="0" w:color="auto"/>
      </w:divBdr>
    </w:div>
    <w:div w:id="1813595739">
      <w:bodyDiv w:val="1"/>
      <w:marLeft w:val="0"/>
      <w:marRight w:val="0"/>
      <w:marTop w:val="0"/>
      <w:marBottom w:val="0"/>
      <w:divBdr>
        <w:top w:val="none" w:sz="0" w:space="0" w:color="auto"/>
        <w:left w:val="none" w:sz="0" w:space="0" w:color="auto"/>
        <w:bottom w:val="none" w:sz="0" w:space="0" w:color="auto"/>
        <w:right w:val="none" w:sz="0" w:space="0" w:color="auto"/>
      </w:divBdr>
    </w:div>
    <w:div w:id="2002998987">
      <w:bodyDiv w:val="1"/>
      <w:marLeft w:val="0"/>
      <w:marRight w:val="0"/>
      <w:marTop w:val="0"/>
      <w:marBottom w:val="0"/>
      <w:divBdr>
        <w:top w:val="none" w:sz="0" w:space="0" w:color="auto"/>
        <w:left w:val="none" w:sz="0" w:space="0" w:color="auto"/>
        <w:bottom w:val="none" w:sz="0" w:space="0" w:color="auto"/>
        <w:right w:val="none" w:sz="0" w:space="0" w:color="auto"/>
      </w:divBdr>
    </w:div>
    <w:div w:id="2057270200">
      <w:bodyDiv w:val="1"/>
      <w:marLeft w:val="0"/>
      <w:marRight w:val="0"/>
      <w:marTop w:val="0"/>
      <w:marBottom w:val="0"/>
      <w:divBdr>
        <w:top w:val="none" w:sz="0" w:space="0" w:color="auto"/>
        <w:left w:val="none" w:sz="0" w:space="0" w:color="auto"/>
        <w:bottom w:val="none" w:sz="0" w:space="0" w:color="auto"/>
        <w:right w:val="none" w:sz="0" w:space="0" w:color="auto"/>
      </w:divBdr>
    </w:div>
    <w:div w:id="20982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eitec.eu/" TargetMode="External"/><Relationship Id="rId13" Type="http://schemas.openxmlformats.org/officeDocument/2006/relationships/hyperlink" Target="https://www.fraunhofer.de/en/institutes.html" TargetMode="External"/><Relationship Id="rId18" Type="http://schemas.openxmlformats.org/officeDocument/2006/relationships/hyperlink" Target="https://ideaapps.cerge-ei.cz/Performance2017/" TargetMode="External"/><Relationship Id="rId26" Type="http://schemas.openxmlformats.org/officeDocument/2006/relationships/hyperlink" Target="https://www.fnusa-icrc.org/en" TargetMode="External"/><Relationship Id="rId3" Type="http://schemas.openxmlformats.org/officeDocument/2006/relationships/hyperlink" Target="https://www.czso.cz/documents/10180/90577099/26000519k3_1.pdf/90c9db8f-65b4-4cf2-9f44-d26228d62a5e?version=1.0" TargetMode="External"/><Relationship Id="rId21" Type="http://schemas.openxmlformats.org/officeDocument/2006/relationships/hyperlink" Target="https://doi.org/10.1111/hir.12311" TargetMode="External"/><Relationship Id="rId7" Type="http://schemas.openxmlformats.org/officeDocument/2006/relationships/hyperlink" Target="https://www.isvavai.cz/cep?s=jednoduche-vyhledavani&amp;ss=detail&amp;n=0&amp;h=LQ1601" TargetMode="External"/><Relationship Id="rId12" Type="http://schemas.openxmlformats.org/officeDocument/2006/relationships/hyperlink" Target="https://www.mpg.de/institutes" TargetMode="External"/><Relationship Id="rId17" Type="http://schemas.openxmlformats.org/officeDocument/2006/relationships/hyperlink" Target="https://www.vyzkum.cz/FrontClanek.aspx?idsekce=847179" TargetMode="External"/><Relationship Id="rId25" Type="http://schemas.openxmlformats.org/officeDocument/2006/relationships/hyperlink" Target="https://www.ceitec.eu/" TargetMode="External"/><Relationship Id="rId2" Type="http://schemas.openxmlformats.org/officeDocument/2006/relationships/hyperlink" Target="https://www.czso.cz/csu/czso/ceska-republika-podle-pohlavi-a-veku-2010-2019" TargetMode="External"/><Relationship Id="rId16" Type="http://schemas.openxmlformats.org/officeDocument/2006/relationships/hyperlink" Target="https://koronavirus.mzcr.cz/wp-content/uploads/2020/11/Data-o-celkov%C3%A9-mortalit%C4%9B-a-o-p%C5%99%C3%AD%C4%8Din%C3%A1ch-%C3%BAmrt%C3%AD-pacient%C5%AF-s-covid-19.pdf" TargetMode="External"/><Relationship Id="rId20" Type="http://schemas.openxmlformats.org/officeDocument/2006/relationships/hyperlink" Target="https://opvvv.msmt.cz/balicek-dokumentu/vyhodnoceni-vyzvy-rozvoj-kapacit-pro-vav.htm" TargetMode="External"/><Relationship Id="rId1" Type="http://schemas.openxmlformats.org/officeDocument/2006/relationships/hyperlink" Target="https://www.czso.cz/csu/czso/v-roce-2020-zemrelo-pres-129-tisic-obyvatel-ceska" TargetMode="External"/><Relationship Id="rId6" Type="http://schemas.openxmlformats.org/officeDocument/2006/relationships/hyperlink" Target="https://www.isvavai.cz/cea?s=programy&amp;ss=detail&amp;n=0&amp;h=LQ" TargetMode="External"/><Relationship Id="rId11" Type="http://schemas.openxmlformats.org/officeDocument/2006/relationships/hyperlink" Target="https://www.isvavai.cz/" TargetMode="External"/><Relationship Id="rId24" Type="http://schemas.openxmlformats.org/officeDocument/2006/relationships/hyperlink" Target="https://www.biocev.eu/en/researc%20;%20" TargetMode="External"/><Relationship Id="rId5" Type="http://schemas.openxmlformats.org/officeDocument/2006/relationships/hyperlink" Target="https://doi.org/10.1111/hir.12311" TargetMode="External"/><Relationship Id="rId15" Type="http://schemas.openxmlformats.org/officeDocument/2006/relationships/hyperlink" Target="https://www.czso.cz/csu/czso/ceska-republika-podle-pohlavi-a-veku-2010-2019" TargetMode="External"/><Relationship Id="rId23" Type="http://schemas.openxmlformats.org/officeDocument/2006/relationships/hyperlink" Target="https://zdravi2030.mzcr.cz/" TargetMode="External"/><Relationship Id="rId28" Type="http://schemas.openxmlformats.org/officeDocument/2006/relationships/hyperlink" Target="https://www.isvavai.cz/cea?s=programy&amp;ss=detail&amp;n=0&amp;h=LQ" TargetMode="External"/><Relationship Id="rId10" Type="http://schemas.openxmlformats.org/officeDocument/2006/relationships/hyperlink" Target="https://www.isvavai.cz/cep?s=jednoduche-vyhledavani&amp;ss=detail&amp;n=0&amp;h=LQ1605" TargetMode="External"/><Relationship Id="rId19" Type="http://schemas.openxmlformats.org/officeDocument/2006/relationships/hyperlink" Target="https://opvvv.msmt.cz/balicek-dokumentu/vyhodnoceni-pokryti-podporovanych-aktivit-prioritni-osy-1-a-2-vyzvami-operacniho-programu-vyzkum-vyvoj-a-vzdelavani.htm" TargetMode="External"/><Relationship Id="rId4" Type="http://schemas.openxmlformats.org/officeDocument/2006/relationships/hyperlink" Target="https://doi.org/10.1038/s41591-020-1011-4" TargetMode="External"/><Relationship Id="rId9" Type="http://schemas.openxmlformats.org/officeDocument/2006/relationships/hyperlink" Target="https://www.ceitec.cz/" TargetMode="External"/><Relationship Id="rId14" Type="http://schemas.openxmlformats.org/officeDocument/2006/relationships/hyperlink" Target="https://www.czso.cz/csu/czso/v-roce-2020-zemrelo-pres-129-tisic-obyvatel-ceska" TargetMode="External"/><Relationship Id="rId22" Type="http://schemas.openxmlformats.org/officeDocument/2006/relationships/hyperlink" Target="https://genderaveda.cz/vyzkum" TargetMode="External"/><Relationship Id="rId27" Type="http://schemas.openxmlformats.org/officeDocument/2006/relationships/hyperlink" Target="https://www.isvavai.cz/" TargetMode="Externa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10" ma:contentTypeDescription="Vytvoří nový dokument" ma:contentTypeScope="" ma:versionID="98d6cc77a46b5b92d15fcdff8b361900">
  <xsd:schema xmlns:xsd="http://www.w3.org/2001/XMLSchema" xmlns:xs="http://www.w3.org/2001/XMLSchema" xmlns:p="http://schemas.microsoft.com/office/2006/metadata/properties" xmlns:ns2="c901dcab-5c60-4e8e-adc9-0c7b361f0e15" xmlns:ns3="513a4330-68e5-46ad-8e16-8cb7e185a001" targetNamespace="http://schemas.microsoft.com/office/2006/metadata/properties" ma:root="true" ma:fieldsID="1a18521a795ce75b392771daa3c97262" ns2:_="" ns3:_="">
    <xsd:import namespace="c901dcab-5c60-4e8e-adc9-0c7b361f0e15"/>
    <xsd:import namespace="513a4330-68e5-46ad-8e16-8cb7e185a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a4330-68e5-46ad-8e16-8cb7e185a001"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F5E84-47A9-4C74-9832-7DADC55C9F29}">
  <ds:schemaRefs>
    <ds:schemaRef ds:uri="http://schemas.microsoft.com/sharepoint/v3/contenttype/forms"/>
  </ds:schemaRefs>
</ds:datastoreItem>
</file>

<file path=customXml/itemProps2.xml><?xml version="1.0" encoding="utf-8"?>
<ds:datastoreItem xmlns:ds="http://schemas.openxmlformats.org/officeDocument/2006/customXml" ds:itemID="{BF530B55-2B4D-48DD-8DBE-32D68F7F8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513a4330-68e5-46ad-8e16-8cb7e185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B1758E-458E-400C-A4E9-7E535E591B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BCFDA3-BA49-40FE-81F0-EA08BA9F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9363ACE3.dotm</Template>
  <TotalTime>1</TotalTime>
  <Pages>14</Pages>
  <Words>7872</Words>
  <Characters>46446</Characters>
  <Application>Microsoft Office Word</Application>
  <DocSecurity>0</DocSecurity>
  <Lines>387</Lines>
  <Paragraphs>108</Paragraphs>
  <ScaleCrop>false</ScaleCrop>
  <Company>Ministerstvo průmyslu a obchodu</Company>
  <LinksUpToDate>false</LinksUpToDate>
  <CharactersWithSpaces>54210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Pápai Adam</dc:creator>
  <cp:keywords/>
  <dc:description/>
  <cp:lastModifiedBy>Pápai Adam</cp:lastModifiedBy>
  <cp:revision>11</cp:revision>
  <dcterms:created xsi:type="dcterms:W3CDTF">2021-05-14T14:17:00Z</dcterms:created>
  <dcterms:modified xsi:type="dcterms:W3CDTF">2021-09-06T12:27:00Z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Veřejně přístupné informace</vt:lpwstr>
  </property>
  <property fmtid="{D5CDD505-2E9C-101B-9397-08002B2CF9AE}" pid="6" name="MSIP_Label_8d94c5f0-83f8-4bf2-af20-ac59dfc3b7e2_Enabled">
    <vt:lpwstr>True</vt:lpwstr>
  </property>
  <property fmtid="{D5CDD505-2E9C-101B-9397-08002B2CF9AE}" pid="7" name="MSIP_Label_8d94c5f0-83f8-4bf2-af20-ac59dfc3b7e2_SiteId">
    <vt:lpwstr>1f9775f0-c6d0-40f3-b27c-91cb5bbd294a</vt:lpwstr>
  </property>
  <property fmtid="{D5CDD505-2E9C-101B-9397-08002B2CF9AE}" pid="8" name="MSIP_Label_8d94c5f0-83f8-4bf2-af20-ac59dfc3b7e2_ActionId">
    <vt:lpwstr>60bbedab-f4cb-49c6-b747-4841e7741ed8</vt:lpwstr>
  </property>
  <property fmtid="{D5CDD505-2E9C-101B-9397-08002B2CF9AE}" pid="9" name="MSIP_Label_8d94c5f0-83f8-4bf2-af20-ac59dfc3b7e2_Method">
    <vt:lpwstr>Privileged</vt:lpwstr>
  </property>
  <property fmtid="{D5CDD505-2E9C-101B-9397-08002B2CF9AE}" pid="10" name="MSIP_Label_8d94c5f0-83f8-4bf2-af20-ac59dfc3b7e2_SetDate">
    <vt:lpwstr>2021-05-14T14:17:18Z</vt:lpwstr>
  </property>
  <property fmtid="{D5CDD505-2E9C-101B-9397-08002B2CF9AE}" pid="11" name="MSIP_Label_8d94c5f0-83f8-4bf2-af20-ac59dfc3b7e2_Name">
    <vt:lpwstr>Veřejné</vt:lpwstr>
  </property>
  <property fmtid="{D5CDD505-2E9C-101B-9397-08002B2CF9AE}" pid="12" name="MSIP_Label_8d94c5f0-83f8-4bf2-af20-ac59dfc3b7e2_ContentBits">
    <vt:lpwstr>1</vt:lpwstr>
  </property>
</Properties>
</file>